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1227C3" w:rsidRDefault="001227C3" w:rsidP="000D733F">
      <w:pPr>
        <w:pStyle w:val="Title"/>
        <w:ind w:left="2694" w:right="-624"/>
        <w:rPr>
          <w:noProof/>
          <w:color w:val="FFFFFF"/>
          <w:spacing w:val="0"/>
          <w:sz w:val="50"/>
          <w:szCs w:val="50"/>
          <w:lang w:val="en-US"/>
        </w:rPr>
      </w:pPr>
    </w:p>
    <w:p w:rsidR="000D733F" w:rsidRPr="001227C3" w:rsidRDefault="000D733F" w:rsidP="000D733F">
      <w:pPr>
        <w:pStyle w:val="Title"/>
        <w:ind w:left="2694" w:right="-624"/>
        <w:rPr>
          <w:noProof/>
          <w:color w:val="FFFFFF"/>
          <w:spacing w:val="0"/>
          <w:sz w:val="50"/>
          <w:szCs w:val="50"/>
          <w:lang w:val="en-US"/>
        </w:rPr>
      </w:pPr>
      <w:r w:rsidRPr="001227C3">
        <w:rPr>
          <w:noProof/>
          <w:color w:val="FFFFFF"/>
          <w:spacing w:val="0"/>
          <w:sz w:val="50"/>
          <w:szCs w:val="50"/>
          <w:lang w:val="en-US"/>
        </w:rPr>
        <w:t xml:space="preserve">Aid Program Performance Report 2013-14 </w:t>
      </w:r>
      <w:r w:rsidRPr="001227C3">
        <w:rPr>
          <w:noProof/>
          <w:color w:val="FFFFFF"/>
          <w:spacing w:val="0"/>
          <w:sz w:val="50"/>
          <w:szCs w:val="50"/>
          <w:lang w:eastAsia="en-AU"/>
        </w:rPr>
        <w:drawing>
          <wp:anchor distT="0" distB="0" distL="114300" distR="114300" simplePos="0" relativeHeight="251662336" behindDoc="1" locked="1" layoutInCell="1" allowOverlap="1" wp14:anchorId="01629164" wp14:editId="3D704D38">
            <wp:simplePos x="0" y="0"/>
            <wp:positionH relativeFrom="page">
              <wp:align>left</wp:align>
            </wp:positionH>
            <wp:positionV relativeFrom="page">
              <wp:align>top</wp:align>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EF7609" w:rsidP="000D733F">
      <w:pPr>
        <w:pStyle w:val="Subtitle"/>
        <w:ind w:left="2694" w:right="-624"/>
        <w:rPr>
          <w:noProof/>
          <w:color w:val="FFFFFF"/>
          <w:spacing w:val="0"/>
          <w:sz w:val="32"/>
          <w:szCs w:val="32"/>
          <w:lang w:val="en-US"/>
        </w:rPr>
      </w:pPr>
      <w:r>
        <w:rPr>
          <w:noProof/>
          <w:color w:val="FFFFFF"/>
          <w:spacing w:val="0"/>
          <w:sz w:val="32"/>
          <w:szCs w:val="32"/>
          <w:lang w:val="en-US"/>
        </w:rPr>
        <w:t>Pacific</w:t>
      </w:r>
      <w:r w:rsidR="000D733F" w:rsidRPr="001227C3">
        <w:rPr>
          <w:noProof/>
          <w:color w:val="FFFFFF"/>
          <w:spacing w:val="0"/>
          <w:sz w:val="32"/>
          <w:szCs w:val="32"/>
          <w:lang w:val="en-US"/>
        </w:rPr>
        <w:t xml:space="preserve"> Regional  </w:t>
      </w:r>
    </w:p>
    <w:p w:rsidR="000D733F" w:rsidRDefault="000D733F" w:rsidP="001227C3">
      <w:pPr>
        <w:pStyle w:val="Date"/>
        <w:spacing w:before="200" w:after="600" w:line="380" w:lineRule="atLeast"/>
        <w:ind w:left="2694" w:right="-624"/>
        <w:rPr>
          <w:rFonts w:ascii="Helvetica" w:hAnsi="Helvetica"/>
          <w:noProof/>
          <w:color w:val="FFFFFF"/>
          <w:kern w:val="28"/>
          <w:sz w:val="24"/>
          <w:lang w:val="en-US"/>
        </w:rPr>
      </w:pPr>
      <w:r w:rsidRPr="001227C3">
        <w:rPr>
          <w:rFonts w:ascii="Helvetica" w:hAnsi="Helvetica"/>
          <w:noProof/>
          <w:color w:val="FFFFFF"/>
          <w:kern w:val="28"/>
          <w:sz w:val="24"/>
          <w:lang w:val="en-US"/>
        </w:rPr>
        <w:t>September 2014</w:t>
      </w:r>
    </w:p>
    <w:p w:rsidR="001D6059" w:rsidRDefault="001D6059" w:rsidP="00CD061B">
      <w:pPr>
        <w:rPr>
          <w:lang w:val="en-US"/>
        </w:rPr>
      </w:pPr>
    </w:p>
    <w:p w:rsidR="00AC6F49" w:rsidRDefault="00AC6F49">
      <w:pPr>
        <w:spacing w:after="200" w:line="276" w:lineRule="auto"/>
        <w:rPr>
          <w:lang w:val="en-US"/>
        </w:rPr>
      </w:pPr>
      <w:r>
        <w:rPr>
          <w:lang w:val="en-US"/>
        </w:rPr>
        <w:br w:type="page"/>
      </w:r>
    </w:p>
    <w:p w:rsidR="005B42EE" w:rsidRPr="00CD061B" w:rsidRDefault="005B42EE" w:rsidP="00CD061B">
      <w:pPr>
        <w:rPr>
          <w:lang w:val="en-US"/>
        </w:rPr>
        <w:sectPr w:rsidR="005B42EE" w:rsidRPr="00CD061B" w:rsidSect="000D733F">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0D733F" w:rsidRDefault="00EF7609" w:rsidP="00C63048">
      <w:pPr>
        <w:pStyle w:val="ListBullet"/>
        <w:numPr>
          <w:ilvl w:val="0"/>
          <w:numId w:val="0"/>
        </w:numPr>
        <w:tabs>
          <w:tab w:val="clear" w:pos="284"/>
        </w:tabs>
      </w:pPr>
      <w:r>
        <w:t xml:space="preserve">This Aid Program Performance Report </w:t>
      </w:r>
      <w:r w:rsidR="00C63048">
        <w:t xml:space="preserve">(APPR) </w:t>
      </w:r>
      <w:r>
        <w:t xml:space="preserve">summarises the achievements and development </w:t>
      </w:r>
      <w:r w:rsidR="00E62764">
        <w:t>results of Australia’s Pacific R</w:t>
      </w:r>
      <w:r>
        <w:t xml:space="preserve">egional aid program </w:t>
      </w:r>
      <w:r w:rsidRPr="006222EA">
        <w:t xml:space="preserve">over the </w:t>
      </w:r>
      <w:r>
        <w:t>period July 2013 to June 2014.</w:t>
      </w:r>
    </w:p>
    <w:p w:rsidR="00C63048" w:rsidRPr="00610DC4" w:rsidRDefault="00C63048" w:rsidP="00C63048">
      <w:pPr>
        <w:pStyle w:val="ListBullet"/>
        <w:numPr>
          <w:ilvl w:val="0"/>
          <w:numId w:val="0"/>
        </w:numPr>
        <w:tabs>
          <w:tab w:val="clear" w:pos="284"/>
        </w:tabs>
      </w:pPr>
      <w:r>
        <w:t>Key findings in this report are:</w:t>
      </w:r>
    </w:p>
    <w:p w:rsidR="006B2FD9" w:rsidRDefault="00633918" w:rsidP="00024FC6">
      <w:pPr>
        <w:pStyle w:val="BodyText"/>
        <w:numPr>
          <w:ilvl w:val="0"/>
          <w:numId w:val="21"/>
        </w:numPr>
      </w:pPr>
      <w:r w:rsidRPr="003060E1">
        <w:rPr>
          <w:b/>
        </w:rPr>
        <w:t xml:space="preserve">Australia continues to play an active role in advancing Pacific </w:t>
      </w:r>
      <w:r w:rsidR="00BC5795">
        <w:rPr>
          <w:b/>
        </w:rPr>
        <w:t>r</w:t>
      </w:r>
      <w:r w:rsidRPr="003060E1">
        <w:rPr>
          <w:b/>
        </w:rPr>
        <w:t xml:space="preserve">egionalism and </w:t>
      </w:r>
      <w:r w:rsidR="00920562" w:rsidRPr="003060E1">
        <w:rPr>
          <w:b/>
        </w:rPr>
        <w:t xml:space="preserve">supporting </w:t>
      </w:r>
      <w:r w:rsidRPr="003060E1">
        <w:rPr>
          <w:b/>
        </w:rPr>
        <w:t xml:space="preserve">regional approaches to </w:t>
      </w:r>
      <w:r w:rsidR="00BC5795">
        <w:rPr>
          <w:b/>
        </w:rPr>
        <w:t>P</w:t>
      </w:r>
      <w:r w:rsidR="00920562" w:rsidRPr="003060E1">
        <w:rPr>
          <w:b/>
        </w:rPr>
        <w:t xml:space="preserve">acific prosperity, </w:t>
      </w:r>
      <w:r w:rsidRPr="003060E1">
        <w:rPr>
          <w:b/>
        </w:rPr>
        <w:t>development</w:t>
      </w:r>
      <w:r w:rsidR="00920562" w:rsidRPr="003060E1">
        <w:rPr>
          <w:b/>
        </w:rPr>
        <w:t xml:space="preserve"> and stability.</w:t>
      </w:r>
      <w:r w:rsidR="00920562">
        <w:t xml:space="preserve">  </w:t>
      </w:r>
      <w:r w:rsidR="002C2C4F" w:rsidRPr="002C2C4F">
        <w:t>A</w:t>
      </w:r>
      <w:r w:rsidR="007A53C6" w:rsidRPr="002C2C4F">
        <w:t>ustralia has actively support</w:t>
      </w:r>
      <w:r w:rsidR="002C2C4F">
        <w:t>ed</w:t>
      </w:r>
      <w:r w:rsidR="007A53C6" w:rsidRPr="002C2C4F">
        <w:t xml:space="preserve"> </w:t>
      </w:r>
      <w:r w:rsidR="00ED1EC2" w:rsidRPr="002C2C4F">
        <w:t xml:space="preserve">significant </w:t>
      </w:r>
      <w:r w:rsidR="00BC5795">
        <w:t>developments in Pacific islands r</w:t>
      </w:r>
      <w:r w:rsidR="00ED1EC2" w:rsidRPr="002C2C4F">
        <w:t>egionalism in the past year</w:t>
      </w:r>
      <w:r w:rsidR="00341589">
        <w:t>,</w:t>
      </w:r>
      <w:r w:rsidR="003060E1">
        <w:t xml:space="preserve"> most notably </w:t>
      </w:r>
      <w:r w:rsidR="00FF49AD">
        <w:t>leaders’</w:t>
      </w:r>
      <w:r w:rsidR="00AD593C">
        <w:t xml:space="preserve"> approval of a </w:t>
      </w:r>
      <w:r w:rsidR="00341589">
        <w:t>new</w:t>
      </w:r>
      <w:r w:rsidR="007A53C6" w:rsidRPr="007A53C6">
        <w:t xml:space="preserve"> </w:t>
      </w:r>
      <w:r w:rsidR="007A53C6">
        <w:t>‘F</w:t>
      </w:r>
      <w:r w:rsidR="007A53C6" w:rsidRPr="007A53C6">
        <w:t xml:space="preserve">ramework </w:t>
      </w:r>
      <w:r w:rsidR="007A53C6">
        <w:t>for Pacific Regionalism’</w:t>
      </w:r>
      <w:r w:rsidR="003060E1">
        <w:t xml:space="preserve">.  </w:t>
      </w:r>
    </w:p>
    <w:p w:rsidR="00ED1EC2" w:rsidRPr="002C2C4F" w:rsidRDefault="006B2FD9" w:rsidP="00024FC6">
      <w:pPr>
        <w:pStyle w:val="BodyText"/>
        <w:numPr>
          <w:ilvl w:val="0"/>
          <w:numId w:val="21"/>
        </w:numPr>
      </w:pPr>
      <w:r w:rsidRPr="006B2FD9">
        <w:rPr>
          <w:b/>
        </w:rPr>
        <w:t xml:space="preserve">The Pacific Regional program </w:t>
      </w:r>
      <w:r w:rsidR="00AD593C">
        <w:rPr>
          <w:b/>
        </w:rPr>
        <w:t xml:space="preserve">is delivering strong results.  </w:t>
      </w:r>
      <w:r w:rsidR="00AD593C" w:rsidRPr="00AD593C">
        <w:t xml:space="preserve">The program </w:t>
      </w:r>
      <w:r w:rsidRPr="00AD593C">
        <w:t>accounted for 4.47 per cent of the total aggregate results for the aid program in 2013-14 compared to 0.03 per cent in 2012-13 and 0.85 per cent in the 2011-12</w:t>
      </w:r>
      <w:r w:rsidRPr="006B2FD9">
        <w:t xml:space="preserve">. These results include </w:t>
      </w:r>
      <w:r>
        <w:t>i</w:t>
      </w:r>
      <w:r w:rsidR="00894C1C" w:rsidRPr="006B2FD9">
        <w:t>mproving access to financial services for over 300,000 poor men and women, training of over 800 public servants and providing counselling to over 900 women survivors of violence.</w:t>
      </w:r>
    </w:p>
    <w:p w:rsidR="00FF49AD" w:rsidRPr="00FF49AD" w:rsidRDefault="003060E1" w:rsidP="00024FC6">
      <w:pPr>
        <w:pStyle w:val="BodyText"/>
        <w:numPr>
          <w:ilvl w:val="0"/>
          <w:numId w:val="21"/>
        </w:numPr>
      </w:pPr>
      <w:r>
        <w:rPr>
          <w:b/>
        </w:rPr>
        <w:t xml:space="preserve">The program is </w:t>
      </w:r>
      <w:r w:rsidR="002C2C4F">
        <w:rPr>
          <w:rFonts w:cstheme="minorHAnsi"/>
          <w:b/>
          <w:szCs w:val="21"/>
        </w:rPr>
        <w:t>well placed to support the Government</w:t>
      </w:r>
      <w:r w:rsidR="00BC5795">
        <w:rPr>
          <w:rFonts w:cstheme="minorHAnsi"/>
          <w:b/>
          <w:szCs w:val="21"/>
        </w:rPr>
        <w:t>’</w:t>
      </w:r>
      <w:r w:rsidR="002C2C4F">
        <w:rPr>
          <w:rFonts w:cstheme="minorHAnsi"/>
          <w:b/>
          <w:szCs w:val="21"/>
        </w:rPr>
        <w:t>s new development policy and performance framework</w:t>
      </w:r>
      <w:r w:rsidR="00C13D5A">
        <w:rPr>
          <w:rFonts w:cstheme="minorHAnsi"/>
          <w:b/>
          <w:szCs w:val="21"/>
        </w:rPr>
        <w:t xml:space="preserve"> and has taken early opportunities to achieve greater alignment</w:t>
      </w:r>
      <w:r w:rsidR="002C2C4F">
        <w:rPr>
          <w:rFonts w:cstheme="minorHAnsi"/>
          <w:b/>
          <w:szCs w:val="21"/>
        </w:rPr>
        <w:t xml:space="preserve">. </w:t>
      </w:r>
      <w:r w:rsidR="00C13D5A">
        <w:rPr>
          <w:rFonts w:cstheme="minorHAnsi"/>
          <w:b/>
          <w:szCs w:val="21"/>
        </w:rPr>
        <w:t xml:space="preserve"> </w:t>
      </w:r>
      <w:r w:rsidR="00C13D5A">
        <w:rPr>
          <w:rFonts w:cstheme="minorHAnsi"/>
          <w:szCs w:val="21"/>
        </w:rPr>
        <w:t>This has included the establishment of new partn</w:t>
      </w:r>
      <w:r w:rsidR="00BC5795">
        <w:rPr>
          <w:rFonts w:cstheme="minorHAnsi"/>
          <w:szCs w:val="21"/>
        </w:rPr>
        <w:t>erships with the major Pacific regional o</w:t>
      </w:r>
      <w:r w:rsidR="00C13D5A">
        <w:rPr>
          <w:rFonts w:cstheme="minorHAnsi"/>
          <w:szCs w:val="21"/>
        </w:rPr>
        <w:t>rganisations</w:t>
      </w:r>
      <w:r w:rsidR="00BC5795">
        <w:rPr>
          <w:rFonts w:cstheme="minorHAnsi"/>
          <w:szCs w:val="21"/>
        </w:rPr>
        <w:t xml:space="preserve"> (PROs)</w:t>
      </w:r>
      <w:r w:rsidR="00C13D5A">
        <w:rPr>
          <w:rFonts w:cstheme="minorHAnsi"/>
          <w:szCs w:val="21"/>
        </w:rPr>
        <w:t xml:space="preserve">, enhanced support to regional fisheries and </w:t>
      </w:r>
      <w:r w:rsidR="00C13D5A" w:rsidRPr="00223909">
        <w:rPr>
          <w:rFonts w:cstheme="minorHAnsi"/>
          <w:szCs w:val="21"/>
        </w:rPr>
        <w:t>improved focus of the regional economic growth portfolio</w:t>
      </w:r>
      <w:r w:rsidR="00C13D5A">
        <w:rPr>
          <w:rFonts w:cstheme="minorHAnsi"/>
          <w:szCs w:val="21"/>
        </w:rPr>
        <w:t xml:space="preserve"> to support the regional economic diplomacy agenda.  </w:t>
      </w:r>
    </w:p>
    <w:p w:rsidR="002C2C4F" w:rsidRDefault="00C13D5A" w:rsidP="00024FC6">
      <w:pPr>
        <w:pStyle w:val="BodyText"/>
        <w:numPr>
          <w:ilvl w:val="0"/>
          <w:numId w:val="21"/>
        </w:numPr>
      </w:pPr>
      <w:r w:rsidRPr="00FF49AD">
        <w:rPr>
          <w:rFonts w:cstheme="minorHAnsi"/>
          <w:b/>
          <w:szCs w:val="21"/>
        </w:rPr>
        <w:t>T</w:t>
      </w:r>
      <w:r w:rsidR="002C2C4F" w:rsidRPr="00FF49AD">
        <w:rPr>
          <w:b/>
        </w:rPr>
        <w:t>he program is set to</w:t>
      </w:r>
      <w:r w:rsidR="00BA5CCE" w:rsidRPr="00FF49AD">
        <w:rPr>
          <w:b/>
        </w:rPr>
        <w:t xml:space="preserve"> deliver strong results </w:t>
      </w:r>
      <w:r w:rsidR="002C2C4F" w:rsidRPr="00FF49AD">
        <w:rPr>
          <w:b/>
        </w:rPr>
        <w:t xml:space="preserve">over the next 3 years </w:t>
      </w:r>
      <w:r w:rsidR="002C2C4F" w:rsidRPr="00322F46">
        <w:t>including:</w:t>
      </w:r>
    </w:p>
    <w:p w:rsidR="002C2C4F" w:rsidRPr="00DC01F2" w:rsidRDefault="002C2C4F" w:rsidP="00024FC6">
      <w:pPr>
        <w:pStyle w:val="BodyText"/>
        <w:numPr>
          <w:ilvl w:val="1"/>
          <w:numId w:val="21"/>
        </w:numPr>
        <w:spacing w:after="0"/>
        <w:ind w:left="1434" w:hanging="357"/>
      </w:pPr>
      <w:r w:rsidRPr="00DC01F2">
        <w:t>US$50m in lending from financial institutions to 1000</w:t>
      </w:r>
      <w:r>
        <w:t xml:space="preserve"> </w:t>
      </w:r>
      <w:r w:rsidR="00BC5795">
        <w:t>small and medium enterprise</w:t>
      </w:r>
      <w:r>
        <w:t>s</w:t>
      </w:r>
      <w:r w:rsidR="00BC5795">
        <w:t xml:space="preserve"> (SMEs)</w:t>
      </w:r>
      <w:r w:rsidR="00267733">
        <w:t>;</w:t>
      </w:r>
    </w:p>
    <w:p w:rsidR="002C2C4F" w:rsidRPr="00322F46" w:rsidRDefault="002C2C4F" w:rsidP="00024FC6">
      <w:pPr>
        <w:pStyle w:val="BodyText"/>
        <w:numPr>
          <w:ilvl w:val="1"/>
          <w:numId w:val="21"/>
        </w:numPr>
        <w:spacing w:after="0"/>
        <w:ind w:left="1434" w:hanging="357"/>
      </w:pPr>
      <w:r>
        <w:t>US</w:t>
      </w:r>
      <w:r w:rsidRPr="00322F46">
        <w:t>$750m in new private sector investment</w:t>
      </w:r>
      <w:r w:rsidR="00267733">
        <w:t>;</w:t>
      </w:r>
      <w:r w:rsidRPr="00322F46">
        <w:t xml:space="preserve"> </w:t>
      </w:r>
    </w:p>
    <w:p w:rsidR="002C2C4F" w:rsidRPr="00322F46" w:rsidRDefault="002C2C4F" w:rsidP="00024FC6">
      <w:pPr>
        <w:pStyle w:val="BodyText"/>
        <w:numPr>
          <w:ilvl w:val="1"/>
          <w:numId w:val="21"/>
        </w:numPr>
        <w:spacing w:after="0"/>
        <w:ind w:left="1434" w:hanging="357"/>
      </w:pPr>
      <w:r w:rsidRPr="00322F46">
        <w:t>Annual 5</w:t>
      </w:r>
      <w:r w:rsidR="00737052">
        <w:t>per cent</w:t>
      </w:r>
      <w:r w:rsidRPr="00322F46">
        <w:t xml:space="preserve"> increases in government revenue from offshore tuna fisheries</w:t>
      </w:r>
      <w:r w:rsidR="00267733">
        <w:t>;</w:t>
      </w:r>
    </w:p>
    <w:p w:rsidR="002C2C4F" w:rsidRPr="00322F46" w:rsidRDefault="002C2C4F" w:rsidP="00024FC6">
      <w:pPr>
        <w:pStyle w:val="BodyText"/>
        <w:numPr>
          <w:ilvl w:val="1"/>
          <w:numId w:val="21"/>
        </w:numPr>
        <w:spacing w:after="0"/>
        <w:ind w:left="1434" w:hanging="357"/>
      </w:pPr>
      <w:r w:rsidRPr="00322F46">
        <w:t xml:space="preserve">3150 graduates with internationally recognised </w:t>
      </w:r>
      <w:r w:rsidR="00BC5795">
        <w:t>technical vocational education and training (</w:t>
      </w:r>
      <w:r w:rsidRPr="00322F46">
        <w:t>TVET</w:t>
      </w:r>
      <w:r w:rsidR="00BC5795">
        <w:t>)</w:t>
      </w:r>
      <w:r w:rsidRPr="00322F46">
        <w:t xml:space="preserve"> qualifications</w:t>
      </w:r>
      <w:r w:rsidR="00267733">
        <w:t>; and</w:t>
      </w:r>
    </w:p>
    <w:p w:rsidR="003060E1" w:rsidRPr="003060E1" w:rsidRDefault="002C2C4F" w:rsidP="00024FC6">
      <w:pPr>
        <w:pStyle w:val="BodyText"/>
        <w:numPr>
          <w:ilvl w:val="1"/>
          <w:numId w:val="21"/>
        </w:numPr>
        <w:spacing w:after="0"/>
        <w:ind w:left="1434" w:hanging="357"/>
        <w:rPr>
          <w:sz w:val="24"/>
        </w:rPr>
      </w:pPr>
      <w:r w:rsidRPr="00322F46">
        <w:t>280 tertiary graduates with internationally recognised clinical qualifications</w:t>
      </w:r>
      <w:r>
        <w:t xml:space="preserve"> in </w:t>
      </w:r>
      <w:r w:rsidR="00267733">
        <w:t xml:space="preserve">the </w:t>
      </w:r>
      <w:r>
        <w:t>health sector</w:t>
      </w:r>
      <w:r w:rsidR="00267733">
        <w:t>.</w:t>
      </w:r>
    </w:p>
    <w:p w:rsidR="003060E1" w:rsidRPr="002C2C4F" w:rsidRDefault="003060E1" w:rsidP="003060E1">
      <w:pPr>
        <w:pStyle w:val="BodyText"/>
        <w:spacing w:after="0"/>
        <w:ind w:left="1434"/>
        <w:rPr>
          <w:sz w:val="24"/>
        </w:rPr>
      </w:pPr>
    </w:p>
    <w:p w:rsidR="00AD593C" w:rsidRDefault="00767DA5" w:rsidP="00AD593C">
      <w:pPr>
        <w:pStyle w:val="BodyText"/>
        <w:numPr>
          <w:ilvl w:val="0"/>
          <w:numId w:val="21"/>
        </w:numPr>
        <w:spacing w:after="120"/>
        <w:rPr>
          <w:rFonts w:cstheme="minorHAnsi"/>
          <w:szCs w:val="21"/>
        </w:rPr>
      </w:pPr>
      <w:r>
        <w:rPr>
          <w:rFonts w:cstheme="minorHAnsi"/>
          <w:b/>
          <w:szCs w:val="21"/>
        </w:rPr>
        <w:t>The R</w:t>
      </w:r>
      <w:r w:rsidR="003060E1" w:rsidRPr="00AD593C">
        <w:rPr>
          <w:rFonts w:cstheme="minorHAnsi"/>
          <w:b/>
          <w:szCs w:val="21"/>
        </w:rPr>
        <w:t>egional program has made steady progress to improve areas of underperformance; and generally ensured a better focus on</w:t>
      </w:r>
      <w:r w:rsidR="00BA5CCE" w:rsidRPr="00AD593C">
        <w:rPr>
          <w:rFonts w:cstheme="minorHAnsi"/>
          <w:b/>
          <w:szCs w:val="21"/>
        </w:rPr>
        <w:t xml:space="preserve"> measurable outcomes</w:t>
      </w:r>
      <w:r w:rsidR="006B5220" w:rsidRPr="00AD593C">
        <w:rPr>
          <w:rFonts w:cstheme="minorHAnsi"/>
          <w:b/>
          <w:szCs w:val="21"/>
        </w:rPr>
        <w:t>.</w:t>
      </w:r>
      <w:r w:rsidR="00AD593C" w:rsidRPr="00AD593C">
        <w:rPr>
          <w:rFonts w:cstheme="minorHAnsi"/>
          <w:szCs w:val="21"/>
          <w:lang w:val="en-GB"/>
        </w:rPr>
        <w:t xml:space="preserve"> There is now a stronger focus on country-level reporting and for the first time this </w:t>
      </w:r>
      <w:r w:rsidR="00B04528">
        <w:rPr>
          <w:rFonts w:cstheme="minorHAnsi"/>
          <w:szCs w:val="21"/>
          <w:lang w:val="en-GB"/>
        </w:rPr>
        <w:t xml:space="preserve">APPR includes </w:t>
      </w:r>
      <w:r w:rsidR="00AD593C" w:rsidRPr="00AD593C">
        <w:rPr>
          <w:rFonts w:cstheme="minorHAnsi"/>
          <w:szCs w:val="21"/>
          <w:lang w:val="en-GB"/>
        </w:rPr>
        <w:t>country</w:t>
      </w:r>
      <w:r w:rsidR="00FF49AD">
        <w:rPr>
          <w:rFonts w:cstheme="minorHAnsi"/>
          <w:szCs w:val="21"/>
          <w:lang w:val="en-GB"/>
        </w:rPr>
        <w:t xml:space="preserve"> reports as</w:t>
      </w:r>
      <w:r w:rsidR="00B04528">
        <w:rPr>
          <w:rFonts w:cstheme="minorHAnsi"/>
          <w:szCs w:val="21"/>
          <w:lang w:val="en-GB"/>
        </w:rPr>
        <w:t xml:space="preserve"> annexes</w:t>
      </w:r>
      <w:r w:rsidR="00AD593C" w:rsidRPr="00AD593C">
        <w:rPr>
          <w:rFonts w:cstheme="minorHAnsi"/>
          <w:szCs w:val="21"/>
          <w:lang w:val="en-GB"/>
        </w:rPr>
        <w:t>.</w:t>
      </w:r>
    </w:p>
    <w:p w:rsidR="00BC5795" w:rsidRPr="00BC5795" w:rsidRDefault="003060E1" w:rsidP="00AD593C">
      <w:pPr>
        <w:pStyle w:val="BodyText"/>
        <w:numPr>
          <w:ilvl w:val="0"/>
          <w:numId w:val="21"/>
        </w:numPr>
        <w:spacing w:after="120"/>
        <w:rPr>
          <w:rFonts w:cstheme="minorHAnsi"/>
          <w:szCs w:val="21"/>
        </w:rPr>
      </w:pPr>
      <w:r w:rsidRPr="00AD593C">
        <w:rPr>
          <w:rFonts w:cstheme="minorHAnsi"/>
          <w:b/>
          <w:szCs w:val="21"/>
        </w:rPr>
        <w:t>Budget rationalisation and restructuring was undertaken in early 2014</w:t>
      </w:r>
      <w:r w:rsidR="00BA5CCE" w:rsidRPr="00AD593C">
        <w:rPr>
          <w:rFonts w:cstheme="minorHAnsi"/>
          <w:szCs w:val="21"/>
        </w:rPr>
        <w:t xml:space="preserve"> providing for s</w:t>
      </w:r>
      <w:r w:rsidR="00341589" w:rsidRPr="00AD593C">
        <w:rPr>
          <w:rFonts w:cstheme="minorHAnsi"/>
          <w:szCs w:val="21"/>
        </w:rPr>
        <w:t xml:space="preserve">ectoral budget management, </w:t>
      </w:r>
      <w:r w:rsidRPr="00AD593C">
        <w:rPr>
          <w:rFonts w:cstheme="minorHAnsi"/>
          <w:szCs w:val="21"/>
        </w:rPr>
        <w:t xml:space="preserve">better </w:t>
      </w:r>
      <w:r w:rsidR="00341589" w:rsidRPr="00AD593C">
        <w:rPr>
          <w:rFonts w:cstheme="minorHAnsi"/>
          <w:szCs w:val="21"/>
        </w:rPr>
        <w:t xml:space="preserve">pipeline </w:t>
      </w:r>
      <w:r w:rsidRPr="00AD593C">
        <w:rPr>
          <w:rFonts w:cstheme="minorHAnsi"/>
          <w:szCs w:val="21"/>
        </w:rPr>
        <w:t xml:space="preserve">planning and management </w:t>
      </w:r>
      <w:r w:rsidR="00BA5CCE" w:rsidRPr="00AD593C">
        <w:rPr>
          <w:rFonts w:cstheme="minorHAnsi"/>
          <w:szCs w:val="21"/>
        </w:rPr>
        <w:t xml:space="preserve">of </w:t>
      </w:r>
      <w:r w:rsidR="00341589" w:rsidRPr="00AD593C">
        <w:rPr>
          <w:rFonts w:cstheme="minorHAnsi"/>
          <w:szCs w:val="21"/>
        </w:rPr>
        <w:t>budgets between Canberra and Suva</w:t>
      </w:r>
      <w:r w:rsidRPr="00AD593C">
        <w:rPr>
          <w:rFonts w:cstheme="minorHAnsi"/>
          <w:szCs w:val="21"/>
        </w:rPr>
        <w:t>.</w:t>
      </w:r>
      <w:r w:rsidR="00B04528">
        <w:rPr>
          <w:rFonts w:cstheme="minorHAnsi"/>
          <w:szCs w:val="21"/>
        </w:rPr>
        <w:t xml:space="preserve"> </w:t>
      </w:r>
      <w:r w:rsidR="00ED1EC2" w:rsidRPr="00AD593C">
        <w:rPr>
          <w:rFonts w:cstheme="minorHAnsi"/>
          <w:iCs/>
          <w:szCs w:val="21"/>
        </w:rPr>
        <w:t>A new Regional Aid Investment Plan will provide a comprehensive basis against which to report performance in 2014–15</w:t>
      </w:r>
      <w:r w:rsidR="00341589" w:rsidRPr="00AD593C">
        <w:rPr>
          <w:rFonts w:cstheme="minorHAnsi"/>
          <w:iCs/>
          <w:szCs w:val="21"/>
        </w:rPr>
        <w:t xml:space="preserve"> and allow for greater c</w:t>
      </w:r>
      <w:r w:rsidRPr="00AD593C">
        <w:rPr>
          <w:rFonts w:cstheme="minorHAnsi"/>
          <w:szCs w:val="21"/>
        </w:rPr>
        <w:t>onsolidation</w:t>
      </w:r>
      <w:r w:rsidR="00BA5CCE" w:rsidRPr="00AD593C">
        <w:rPr>
          <w:szCs w:val="21"/>
        </w:rPr>
        <w:t>.</w:t>
      </w:r>
    </w:p>
    <w:p w:rsidR="00BC5795" w:rsidRDefault="00BC5795" w:rsidP="00BC5795">
      <w:pPr>
        <w:pStyle w:val="BodyText"/>
        <w:spacing w:after="120"/>
        <w:rPr>
          <w:sz w:val="28"/>
        </w:rPr>
      </w:pPr>
    </w:p>
    <w:p w:rsidR="008D0C12" w:rsidRDefault="008D0C12" w:rsidP="00BC5795">
      <w:pPr>
        <w:pStyle w:val="BodyText"/>
        <w:spacing w:after="120"/>
        <w:rPr>
          <w:sz w:val="28"/>
        </w:rPr>
      </w:pPr>
    </w:p>
    <w:p w:rsidR="00FF49AD" w:rsidRDefault="00FF49AD" w:rsidP="00BC5795">
      <w:pPr>
        <w:pStyle w:val="BodyText"/>
        <w:spacing w:after="120"/>
        <w:rPr>
          <w:sz w:val="28"/>
        </w:rPr>
      </w:pPr>
    </w:p>
    <w:p w:rsidR="006270AD" w:rsidRPr="00BC5795" w:rsidRDefault="000D733F" w:rsidP="00BC5795">
      <w:pPr>
        <w:pStyle w:val="Heading2"/>
        <w:rPr>
          <w:sz w:val="28"/>
        </w:rPr>
      </w:pPr>
      <w:r w:rsidRPr="00BC5795">
        <w:rPr>
          <w:sz w:val="28"/>
        </w:rPr>
        <w:lastRenderedPageBreak/>
        <w:t xml:space="preserve">Context </w:t>
      </w:r>
      <w:r w:rsidRPr="00BC5795">
        <w:rPr>
          <w:sz w:val="28"/>
        </w:rPr>
        <w:tab/>
      </w:r>
    </w:p>
    <w:p w:rsidR="006B5220" w:rsidRDefault="006B5220" w:rsidP="006B5220">
      <w:pPr>
        <w:pStyle w:val="BodyText"/>
        <w:rPr>
          <w:rFonts w:cs="Arial"/>
          <w:lang w:val="en"/>
        </w:rPr>
      </w:pPr>
      <w:r>
        <w:rPr>
          <w:rFonts w:cs="Arial"/>
          <w:lang w:val="en"/>
        </w:rPr>
        <w:t>In the last year</w:t>
      </w:r>
      <w:r w:rsidR="00B04528">
        <w:rPr>
          <w:rFonts w:cs="Arial"/>
          <w:lang w:val="en"/>
        </w:rPr>
        <w:t>,</w:t>
      </w:r>
      <w:r>
        <w:rPr>
          <w:rFonts w:cs="Arial"/>
          <w:lang w:val="en"/>
        </w:rPr>
        <w:t xml:space="preserve"> a </w:t>
      </w:r>
      <w:r w:rsidRPr="006B5220">
        <w:rPr>
          <w:rFonts w:cs="Arial"/>
          <w:lang w:val="en"/>
        </w:rPr>
        <w:t>comprehensive review of the Pacific Plan</w:t>
      </w:r>
      <w:r w:rsidRPr="00B01EFE">
        <w:rPr>
          <w:rStyle w:val="FootnoteReference"/>
          <w:rFonts w:ascii="Franklin Gothic Book" w:hAnsi="Franklin Gothic Book" w:cstheme="minorHAnsi"/>
          <w:sz w:val="21"/>
          <w:szCs w:val="21"/>
          <w:vertAlign w:val="superscript"/>
        </w:rPr>
        <w:footnoteReference w:id="1"/>
      </w:r>
      <w:r w:rsidRPr="006B5220">
        <w:rPr>
          <w:rFonts w:cs="Arial"/>
          <w:lang w:val="en"/>
        </w:rPr>
        <w:t xml:space="preserve"> </w:t>
      </w:r>
      <w:r w:rsidR="00135F88">
        <w:rPr>
          <w:rFonts w:cs="Arial"/>
          <w:lang w:val="en"/>
        </w:rPr>
        <w:t xml:space="preserve">has provided a renewed focus on </w:t>
      </w:r>
      <w:r w:rsidR="00BC5795">
        <w:rPr>
          <w:rFonts w:cs="Arial"/>
          <w:lang w:val="en"/>
        </w:rPr>
        <w:t>Pacific islands regionalism.</w:t>
      </w:r>
      <w:r w:rsidR="00135F88">
        <w:rPr>
          <w:rFonts w:cs="Arial"/>
          <w:lang w:val="en"/>
        </w:rPr>
        <w:t xml:space="preserve"> The review </w:t>
      </w:r>
      <w:r w:rsidR="00BC5795">
        <w:rPr>
          <w:rFonts w:cs="Arial"/>
          <w:lang w:val="en"/>
        </w:rPr>
        <w:t>found the P</w:t>
      </w:r>
      <w:r w:rsidRPr="006B5220">
        <w:rPr>
          <w:rFonts w:cs="Arial"/>
          <w:lang w:val="en"/>
        </w:rPr>
        <w:t xml:space="preserve">acific region </w:t>
      </w:r>
      <w:r w:rsidR="00267733">
        <w:rPr>
          <w:rFonts w:cs="Arial"/>
          <w:lang w:val="en"/>
        </w:rPr>
        <w:t xml:space="preserve">was </w:t>
      </w:r>
      <w:r w:rsidRPr="006B5220">
        <w:rPr>
          <w:rFonts w:cs="Arial"/>
          <w:lang w:val="en"/>
        </w:rPr>
        <w:t xml:space="preserve">experiencing significant social, economic and environmental challenges and on a trajectory to become the slowest growing region on </w:t>
      </w:r>
      <w:r w:rsidR="00DC45E2">
        <w:rPr>
          <w:rFonts w:cs="Arial"/>
          <w:lang w:val="en"/>
        </w:rPr>
        <w:t>E</w:t>
      </w:r>
      <w:r w:rsidR="00BC5795">
        <w:rPr>
          <w:rFonts w:cs="Arial"/>
          <w:lang w:val="en"/>
        </w:rPr>
        <w:t xml:space="preserve">arth. </w:t>
      </w:r>
      <w:r w:rsidRPr="006B5220">
        <w:rPr>
          <w:rFonts w:cs="Arial"/>
          <w:lang w:val="en"/>
        </w:rPr>
        <w:t>The</w:t>
      </w:r>
      <w:r w:rsidR="00267733">
        <w:rPr>
          <w:rFonts w:cs="Arial"/>
          <w:lang w:val="en"/>
        </w:rPr>
        <w:t xml:space="preserve"> review authors</w:t>
      </w:r>
      <w:r w:rsidRPr="006B5220">
        <w:rPr>
          <w:rFonts w:cs="Arial"/>
          <w:lang w:val="en"/>
        </w:rPr>
        <w:t xml:space="preserve"> found a desire </w:t>
      </w:r>
      <w:r w:rsidR="00135F88">
        <w:rPr>
          <w:rFonts w:cs="Arial"/>
          <w:lang w:val="en"/>
        </w:rPr>
        <w:t xml:space="preserve">across the region </w:t>
      </w:r>
      <w:r w:rsidRPr="006B5220">
        <w:rPr>
          <w:rFonts w:cs="Arial"/>
          <w:lang w:val="en"/>
        </w:rPr>
        <w:t xml:space="preserve">for higher quality political debate, policy and cooperation at the regional level to deliver bigger results – to be genuinely </w:t>
      </w:r>
      <w:r w:rsidR="00267733">
        <w:rPr>
          <w:rFonts w:cs="Arial"/>
          <w:lang w:val="en"/>
        </w:rPr>
        <w:t>‘</w:t>
      </w:r>
      <w:r w:rsidRPr="006B5220">
        <w:rPr>
          <w:rFonts w:cs="Arial"/>
          <w:lang w:val="en"/>
        </w:rPr>
        <w:t>game-changing</w:t>
      </w:r>
      <w:r w:rsidR="00267733">
        <w:rPr>
          <w:rFonts w:cs="Arial"/>
          <w:lang w:val="en"/>
        </w:rPr>
        <w:t>’</w:t>
      </w:r>
      <w:r w:rsidRPr="006B5220">
        <w:rPr>
          <w:rFonts w:cs="Arial"/>
          <w:lang w:val="en"/>
        </w:rPr>
        <w:t xml:space="preserve"> in terms of mitigating the region’s growing vulnerabilities and dependencies.</w:t>
      </w:r>
      <w:r>
        <w:rPr>
          <w:rFonts w:cs="Arial"/>
          <w:lang w:val="en"/>
        </w:rPr>
        <w:t xml:space="preserve"> </w:t>
      </w:r>
      <w:r w:rsidR="00135F88">
        <w:rPr>
          <w:rFonts w:cs="Arial"/>
          <w:lang w:val="en"/>
        </w:rPr>
        <w:t>The review found</w:t>
      </w:r>
      <w:r w:rsidRPr="006B5220">
        <w:rPr>
          <w:rFonts w:cs="Arial"/>
          <w:lang w:val="en"/>
        </w:rPr>
        <w:t xml:space="preserve"> the Pacific Plan had </w:t>
      </w:r>
      <w:r w:rsidR="00267733">
        <w:rPr>
          <w:rFonts w:cs="Arial"/>
          <w:lang w:val="en"/>
        </w:rPr>
        <w:t>‘</w:t>
      </w:r>
      <w:r w:rsidRPr="006B5220">
        <w:rPr>
          <w:rFonts w:cs="Arial"/>
          <w:lang w:val="en"/>
        </w:rPr>
        <w:t>lost its way</w:t>
      </w:r>
      <w:r w:rsidR="00267733">
        <w:rPr>
          <w:rFonts w:cs="Arial"/>
          <w:lang w:val="en"/>
        </w:rPr>
        <w:t>’</w:t>
      </w:r>
      <w:r w:rsidRPr="006B5220">
        <w:rPr>
          <w:rFonts w:cs="Arial"/>
          <w:lang w:val="en"/>
        </w:rPr>
        <w:t>, had limited ownership at the political level an</w:t>
      </w:r>
      <w:r w:rsidR="00135F88">
        <w:rPr>
          <w:rFonts w:cs="Arial"/>
          <w:lang w:val="en"/>
        </w:rPr>
        <w:t>d was not driving regionalism.</w:t>
      </w:r>
    </w:p>
    <w:p w:rsidR="006B5220" w:rsidRPr="006B5220" w:rsidRDefault="006B5220" w:rsidP="006B5220">
      <w:pPr>
        <w:pStyle w:val="BodyText"/>
        <w:rPr>
          <w:rFonts w:cs="Arial"/>
          <w:lang w:val="en"/>
        </w:rPr>
      </w:pPr>
      <w:r>
        <w:rPr>
          <w:rFonts w:cs="Arial"/>
          <w:lang w:val="en"/>
        </w:rPr>
        <w:t xml:space="preserve">The review </w:t>
      </w:r>
      <w:r w:rsidR="00267733">
        <w:rPr>
          <w:rFonts w:cs="Arial"/>
          <w:lang w:val="en"/>
        </w:rPr>
        <w:t xml:space="preserve">also </w:t>
      </w:r>
      <w:r w:rsidRPr="006B5220">
        <w:rPr>
          <w:rFonts w:cs="Arial"/>
          <w:lang w:val="en"/>
        </w:rPr>
        <w:t>found Forum processes largely officials-led, with little space for leaders to have political conversations</w:t>
      </w:r>
      <w:r w:rsidR="00B04528">
        <w:rPr>
          <w:rFonts w:cs="Arial"/>
          <w:lang w:val="en"/>
        </w:rPr>
        <w:t>,</w:t>
      </w:r>
      <w:r w:rsidRPr="006B5220">
        <w:rPr>
          <w:rFonts w:cs="Arial"/>
          <w:lang w:val="en"/>
        </w:rPr>
        <w:t xml:space="preserve"> </w:t>
      </w:r>
      <w:r>
        <w:rPr>
          <w:rFonts w:cs="Arial"/>
          <w:lang w:val="en"/>
        </w:rPr>
        <w:t xml:space="preserve">and </w:t>
      </w:r>
      <w:r w:rsidRPr="006B5220">
        <w:rPr>
          <w:rFonts w:cs="Arial"/>
          <w:lang w:val="en"/>
        </w:rPr>
        <w:t xml:space="preserve">incentives skewed to encourage each regional organisation and country to prosecute its own (mainly technical) agenda. </w:t>
      </w:r>
      <w:r>
        <w:rPr>
          <w:rFonts w:cs="Arial"/>
          <w:lang w:val="en"/>
        </w:rPr>
        <w:t>It found the financing of</w:t>
      </w:r>
      <w:r w:rsidRPr="006B5220">
        <w:rPr>
          <w:rFonts w:cs="Arial"/>
          <w:lang w:val="en"/>
        </w:rPr>
        <w:t xml:space="preserve"> regional organisations heavily dependent on donor support, leading to tensions around donor ‘control’ and a trend of ‘bilateralisation’ whereby regional organisations were becoming ‘project hotels’, their mandates derailed by </w:t>
      </w:r>
      <w:r w:rsidR="00267733">
        <w:rPr>
          <w:rFonts w:cs="Arial"/>
          <w:lang w:val="en"/>
        </w:rPr>
        <w:t>‘</w:t>
      </w:r>
      <w:r w:rsidRPr="006B5220">
        <w:rPr>
          <w:rFonts w:cs="Arial"/>
          <w:lang w:val="en"/>
        </w:rPr>
        <w:t>an increasingly diverse and off-mandate set of transactional activities</w:t>
      </w:r>
      <w:r w:rsidR="00267733">
        <w:rPr>
          <w:rFonts w:cs="Arial"/>
          <w:lang w:val="en"/>
        </w:rPr>
        <w:t>’</w:t>
      </w:r>
      <w:r w:rsidRPr="006B5220">
        <w:rPr>
          <w:rFonts w:cs="Arial"/>
          <w:lang w:val="en"/>
        </w:rPr>
        <w:t>. On the wider network of regional organisations, they found reform of the regional institutional arc</w:t>
      </w:r>
      <w:r w:rsidR="00135F88">
        <w:rPr>
          <w:rFonts w:cs="Arial"/>
          <w:lang w:val="en"/>
        </w:rPr>
        <w:t xml:space="preserve">hitecture </w:t>
      </w:r>
      <w:r w:rsidR="00267733">
        <w:rPr>
          <w:rFonts w:cs="Arial"/>
          <w:lang w:val="en"/>
        </w:rPr>
        <w:t>‘</w:t>
      </w:r>
      <w:r w:rsidR="00135F88">
        <w:rPr>
          <w:rFonts w:cs="Arial"/>
          <w:lang w:val="en"/>
        </w:rPr>
        <w:t>unfinished business</w:t>
      </w:r>
      <w:r w:rsidR="00267733">
        <w:rPr>
          <w:rFonts w:cs="Arial"/>
          <w:lang w:val="en"/>
        </w:rPr>
        <w:t>’</w:t>
      </w:r>
      <w:r w:rsidR="00135F88">
        <w:rPr>
          <w:rFonts w:cs="Arial"/>
          <w:lang w:val="en"/>
        </w:rPr>
        <w:t>.</w:t>
      </w:r>
    </w:p>
    <w:p w:rsidR="006B5220" w:rsidRPr="006B5220" w:rsidRDefault="006B5220" w:rsidP="006B5220">
      <w:pPr>
        <w:pStyle w:val="BodyText"/>
        <w:rPr>
          <w:rFonts w:cs="Arial"/>
          <w:lang w:val="en"/>
        </w:rPr>
      </w:pPr>
      <w:r>
        <w:rPr>
          <w:rFonts w:cs="Arial"/>
          <w:lang w:val="en"/>
        </w:rPr>
        <w:t>At the time of writing</w:t>
      </w:r>
      <w:r w:rsidR="00BC5795">
        <w:rPr>
          <w:rFonts w:cs="Arial"/>
          <w:lang w:val="en"/>
        </w:rPr>
        <w:t>,</w:t>
      </w:r>
      <w:r>
        <w:rPr>
          <w:rFonts w:cs="Arial"/>
          <w:lang w:val="en"/>
        </w:rPr>
        <w:t xml:space="preserve"> </w:t>
      </w:r>
      <w:r w:rsidRPr="006B5220">
        <w:rPr>
          <w:rFonts w:cs="Arial"/>
          <w:lang w:val="en"/>
        </w:rPr>
        <w:t xml:space="preserve">leaders </w:t>
      </w:r>
      <w:r w:rsidR="00135F88">
        <w:rPr>
          <w:rFonts w:cs="Arial"/>
          <w:lang w:val="en"/>
        </w:rPr>
        <w:t xml:space="preserve">had </w:t>
      </w:r>
      <w:r w:rsidRPr="006B5220">
        <w:rPr>
          <w:rFonts w:cs="Arial"/>
          <w:lang w:val="en"/>
        </w:rPr>
        <w:t xml:space="preserve">endorsed </w:t>
      </w:r>
      <w:r>
        <w:rPr>
          <w:rFonts w:cs="Arial"/>
          <w:lang w:val="en"/>
        </w:rPr>
        <w:t>recasting the</w:t>
      </w:r>
      <w:r w:rsidRPr="006B5220">
        <w:rPr>
          <w:rFonts w:cs="Arial"/>
          <w:lang w:val="en"/>
        </w:rPr>
        <w:t xml:space="preserve"> Pacific Plan </w:t>
      </w:r>
      <w:r>
        <w:rPr>
          <w:rFonts w:cs="Arial"/>
          <w:lang w:val="en"/>
        </w:rPr>
        <w:t>as a ‘F</w:t>
      </w:r>
      <w:r w:rsidRPr="006B5220">
        <w:rPr>
          <w:rFonts w:cs="Arial"/>
          <w:lang w:val="en"/>
        </w:rPr>
        <w:t xml:space="preserve">ramework </w:t>
      </w:r>
      <w:r>
        <w:rPr>
          <w:rFonts w:cs="Arial"/>
          <w:lang w:val="en"/>
        </w:rPr>
        <w:t xml:space="preserve">for Pacific Regionalism’ that would be </w:t>
      </w:r>
      <w:r w:rsidRPr="006B5220">
        <w:rPr>
          <w:rFonts w:cs="Arial"/>
          <w:lang w:val="en"/>
        </w:rPr>
        <w:t>explicitly political, not technical.  The</w:t>
      </w:r>
      <w:r>
        <w:rPr>
          <w:rFonts w:cs="Arial"/>
          <w:lang w:val="en"/>
        </w:rPr>
        <w:t xml:space="preserve">y </w:t>
      </w:r>
      <w:r w:rsidRPr="006B5220">
        <w:rPr>
          <w:rFonts w:cs="Arial"/>
          <w:lang w:val="en"/>
        </w:rPr>
        <w:t>recommended overhauling the supporting institutions and processes to enable a political conversation, identify game-changing initia</w:t>
      </w:r>
      <w:r w:rsidR="00BC5795">
        <w:rPr>
          <w:rFonts w:cs="Arial"/>
          <w:lang w:val="en"/>
        </w:rPr>
        <w:t>tives, improve efficiency and en</w:t>
      </w:r>
      <w:r w:rsidRPr="006B5220">
        <w:rPr>
          <w:rFonts w:cs="Arial"/>
          <w:lang w:val="en"/>
        </w:rPr>
        <w:t>sure predictable, sustainable and less distortionary regional financing.</w:t>
      </w:r>
    </w:p>
    <w:p w:rsidR="00C8033D" w:rsidRPr="00C01471" w:rsidRDefault="007A31B2" w:rsidP="00C63048">
      <w:pPr>
        <w:pStyle w:val="BodyText"/>
        <w:spacing w:after="120"/>
        <w:rPr>
          <w:i/>
          <w:szCs w:val="21"/>
        </w:rPr>
      </w:pPr>
      <w:r>
        <w:rPr>
          <w:rFonts w:eastAsiaTheme="minorHAnsi" w:cs="IdealSans-Light"/>
          <w:color w:val="000000"/>
          <w:szCs w:val="21"/>
          <w:lang w:val="en-NZ"/>
        </w:rPr>
        <w:t xml:space="preserve">Pacific </w:t>
      </w:r>
      <w:r w:rsidR="00267733">
        <w:rPr>
          <w:rFonts w:eastAsiaTheme="minorHAnsi" w:cs="IdealSans-Light"/>
          <w:color w:val="000000"/>
          <w:szCs w:val="21"/>
          <w:lang w:val="en-NZ"/>
        </w:rPr>
        <w:t xml:space="preserve">Island </w:t>
      </w:r>
      <w:r>
        <w:rPr>
          <w:rFonts w:eastAsiaTheme="minorHAnsi" w:cs="IdealSans-Light"/>
          <w:color w:val="000000"/>
          <w:szCs w:val="21"/>
          <w:lang w:val="en-NZ"/>
        </w:rPr>
        <w:t xml:space="preserve">countries’ </w:t>
      </w:r>
      <w:r w:rsidR="00D620C8">
        <w:rPr>
          <w:rFonts w:eastAsiaTheme="minorHAnsi" w:cs="IdealSans-Light"/>
          <w:color w:val="000000"/>
          <w:szCs w:val="21"/>
          <w:lang w:val="en-NZ"/>
        </w:rPr>
        <w:t xml:space="preserve">(PICs) </w:t>
      </w:r>
      <w:r>
        <w:rPr>
          <w:rFonts w:eastAsiaTheme="minorHAnsi" w:cs="IdealSans-Light"/>
          <w:color w:val="000000"/>
          <w:szCs w:val="21"/>
          <w:lang w:val="en-NZ"/>
        </w:rPr>
        <w:t>p</w:t>
      </w:r>
      <w:r w:rsidR="00C8033D" w:rsidRPr="00C2539B">
        <w:rPr>
          <w:rFonts w:eastAsiaTheme="minorHAnsi" w:cs="IdealSans-Light"/>
          <w:color w:val="000000"/>
          <w:szCs w:val="21"/>
          <w:lang w:val="en-NZ"/>
        </w:rPr>
        <w:t xml:space="preserve">rogress toward achieving the </w:t>
      </w:r>
      <w:r w:rsidR="00582714" w:rsidRPr="00C2539B">
        <w:rPr>
          <w:rFonts w:eastAsiaTheme="minorHAnsi" w:cs="IdealSans-Light"/>
          <w:color w:val="000000"/>
          <w:szCs w:val="21"/>
          <w:lang w:val="en-NZ"/>
        </w:rPr>
        <w:t>M</w:t>
      </w:r>
      <w:r w:rsidR="00582714">
        <w:rPr>
          <w:rFonts w:eastAsiaTheme="minorHAnsi" w:cs="IdealSans-Light"/>
          <w:color w:val="000000"/>
          <w:szCs w:val="21"/>
          <w:lang w:val="en-NZ"/>
        </w:rPr>
        <w:t xml:space="preserve">illennium </w:t>
      </w:r>
      <w:r w:rsidR="00C8033D" w:rsidRPr="00C2539B">
        <w:rPr>
          <w:rFonts w:eastAsiaTheme="minorHAnsi" w:cs="IdealSans-Light"/>
          <w:color w:val="000000"/>
          <w:szCs w:val="21"/>
          <w:lang w:val="en-NZ"/>
        </w:rPr>
        <w:t>D</w:t>
      </w:r>
      <w:r w:rsidR="00582714">
        <w:rPr>
          <w:rFonts w:eastAsiaTheme="minorHAnsi" w:cs="IdealSans-Light"/>
          <w:color w:val="000000"/>
          <w:szCs w:val="21"/>
          <w:lang w:val="en-NZ"/>
        </w:rPr>
        <w:t xml:space="preserve">evelopment </w:t>
      </w:r>
      <w:r w:rsidR="00C8033D" w:rsidRPr="00C2539B">
        <w:rPr>
          <w:rFonts w:eastAsiaTheme="minorHAnsi" w:cs="IdealSans-Light"/>
          <w:color w:val="000000"/>
          <w:szCs w:val="21"/>
          <w:lang w:val="en-NZ"/>
        </w:rPr>
        <w:t>G</w:t>
      </w:r>
      <w:r w:rsidR="00582714">
        <w:rPr>
          <w:rFonts w:eastAsiaTheme="minorHAnsi" w:cs="IdealSans-Light"/>
          <w:color w:val="000000"/>
          <w:szCs w:val="21"/>
          <w:lang w:val="en-NZ"/>
        </w:rPr>
        <w:t>oals</w:t>
      </w:r>
      <w:r w:rsidR="00C8033D" w:rsidRPr="00C2539B">
        <w:rPr>
          <w:rFonts w:eastAsiaTheme="minorHAnsi" w:cs="IdealSans-Light"/>
          <w:color w:val="000000"/>
          <w:szCs w:val="21"/>
          <w:lang w:val="en-NZ"/>
        </w:rPr>
        <w:t xml:space="preserve"> </w:t>
      </w:r>
      <w:r w:rsidR="00BC5795">
        <w:rPr>
          <w:rFonts w:eastAsiaTheme="minorHAnsi" w:cs="IdealSans-Light"/>
          <w:color w:val="000000"/>
          <w:szCs w:val="21"/>
          <w:lang w:val="en-NZ"/>
        </w:rPr>
        <w:t xml:space="preserve">(MDGs) </w:t>
      </w:r>
      <w:r w:rsidR="00C8033D" w:rsidRPr="00C2539B">
        <w:rPr>
          <w:rFonts w:eastAsiaTheme="minorHAnsi" w:cs="IdealSans-Light"/>
          <w:color w:val="000000"/>
          <w:szCs w:val="21"/>
          <w:lang w:val="en-NZ"/>
        </w:rPr>
        <w:t>remains largely unchanged from the status reported in 2013</w:t>
      </w:r>
      <w:r w:rsidR="00267733">
        <w:rPr>
          <w:rFonts w:eastAsiaTheme="minorHAnsi" w:cs="IdealSans-Light"/>
          <w:color w:val="000000"/>
          <w:szCs w:val="21"/>
          <w:lang w:val="en-NZ"/>
        </w:rPr>
        <w:t>.</w:t>
      </w:r>
      <w:r w:rsidR="00C8033D" w:rsidRPr="00C2539B">
        <w:rPr>
          <w:rStyle w:val="FootnoteReference"/>
          <w:rFonts w:ascii="Franklin Gothic Book" w:eastAsiaTheme="minorHAnsi" w:hAnsi="Franklin Gothic Book" w:cs="IdealSans-Light"/>
          <w:color w:val="000000"/>
          <w:sz w:val="21"/>
          <w:szCs w:val="21"/>
          <w:vertAlign w:val="superscript"/>
          <w:lang w:val="en-NZ"/>
        </w:rPr>
        <w:footnoteReference w:id="2"/>
      </w:r>
      <w:r w:rsidR="00D620C8">
        <w:rPr>
          <w:rFonts w:eastAsiaTheme="minorHAnsi" w:cs="IdealSans-Light"/>
          <w:color w:val="000000"/>
          <w:szCs w:val="21"/>
          <w:lang w:val="en-NZ"/>
        </w:rPr>
        <w:t xml:space="preserve"> </w:t>
      </w:r>
      <w:r w:rsidR="00C8033D" w:rsidRPr="00C2539B">
        <w:rPr>
          <w:rFonts w:eastAsiaTheme="minorHAnsi" w:cs="IdealSans-Light"/>
          <w:color w:val="000000"/>
          <w:szCs w:val="21"/>
          <w:lang w:val="en-NZ"/>
        </w:rPr>
        <w:t>Only Cook Islands and Niue are on track to achieve all the MDGs, while Palau, Fiji and Tonga are on track to ach</w:t>
      </w:r>
      <w:r w:rsidR="00BC5795">
        <w:rPr>
          <w:rFonts w:eastAsiaTheme="minorHAnsi" w:cs="IdealSans-Light"/>
          <w:color w:val="000000"/>
          <w:szCs w:val="21"/>
          <w:lang w:val="en-NZ"/>
        </w:rPr>
        <w:t>ieve at least four of the MDGs.</w:t>
      </w:r>
      <w:r w:rsidR="00C8033D" w:rsidRPr="00C2539B">
        <w:rPr>
          <w:rFonts w:eastAsiaTheme="minorHAnsi" w:cs="IdealSans-Light"/>
          <w:color w:val="000000"/>
          <w:szCs w:val="21"/>
          <w:lang w:val="en-NZ"/>
        </w:rPr>
        <w:t xml:space="preserve"> Samoa and Tuvalu are on track to achieve three of the MDGs, with </w:t>
      </w:r>
      <w:r w:rsidR="00D620C8">
        <w:rPr>
          <w:rFonts w:eastAsiaTheme="minorHAnsi" w:cs="IdealSans-Light"/>
          <w:color w:val="000000"/>
          <w:szCs w:val="21"/>
          <w:lang w:val="en-NZ"/>
        </w:rPr>
        <w:t xml:space="preserve">Republic of the </w:t>
      </w:r>
      <w:r w:rsidR="00C8033D" w:rsidRPr="00C2539B">
        <w:rPr>
          <w:rFonts w:eastAsiaTheme="minorHAnsi" w:cs="IdealSans-Light"/>
          <w:color w:val="000000"/>
          <w:szCs w:val="21"/>
          <w:lang w:val="en-NZ"/>
        </w:rPr>
        <w:t>Marshall Islands</w:t>
      </w:r>
      <w:r w:rsidR="00D620C8">
        <w:rPr>
          <w:rFonts w:eastAsiaTheme="minorHAnsi" w:cs="IdealSans-Light"/>
          <w:color w:val="000000"/>
          <w:szCs w:val="21"/>
          <w:lang w:val="en-NZ"/>
        </w:rPr>
        <w:t xml:space="preserve"> (RMI)</w:t>
      </w:r>
      <w:r w:rsidR="00C8033D" w:rsidRPr="00C2539B">
        <w:rPr>
          <w:rFonts w:eastAsiaTheme="minorHAnsi" w:cs="IdealSans-Light"/>
          <w:color w:val="000000"/>
          <w:szCs w:val="21"/>
          <w:lang w:val="en-NZ"/>
        </w:rPr>
        <w:t>, Nauru and Vanuatu on tra</w:t>
      </w:r>
      <w:r w:rsidR="00D620C8">
        <w:rPr>
          <w:rFonts w:eastAsiaTheme="minorHAnsi" w:cs="IdealSans-Light"/>
          <w:color w:val="000000"/>
          <w:szCs w:val="21"/>
          <w:lang w:val="en-NZ"/>
        </w:rPr>
        <w:t xml:space="preserve">ck to achieve two. </w:t>
      </w:r>
      <w:r w:rsidR="00B0326D">
        <w:rPr>
          <w:rFonts w:eastAsiaTheme="minorHAnsi" w:cs="IdealSans-Light"/>
          <w:color w:val="000000"/>
          <w:szCs w:val="21"/>
          <w:lang w:val="en-NZ"/>
        </w:rPr>
        <w:t>The Federated States of Micronesia (</w:t>
      </w:r>
      <w:r w:rsidR="00C8033D" w:rsidRPr="00C2539B">
        <w:rPr>
          <w:rFonts w:eastAsiaTheme="minorHAnsi" w:cs="IdealSans-Light"/>
          <w:color w:val="000000"/>
          <w:szCs w:val="21"/>
          <w:lang w:val="en-NZ"/>
        </w:rPr>
        <w:t>FSM</w:t>
      </w:r>
      <w:r w:rsidR="00B0326D">
        <w:rPr>
          <w:rFonts w:eastAsiaTheme="minorHAnsi" w:cs="IdealSans-Light"/>
          <w:color w:val="000000"/>
          <w:szCs w:val="21"/>
          <w:lang w:val="en-NZ"/>
        </w:rPr>
        <w:t>)</w:t>
      </w:r>
      <w:r w:rsidR="00C8033D" w:rsidRPr="00C2539B">
        <w:rPr>
          <w:rFonts w:eastAsiaTheme="minorHAnsi" w:cs="IdealSans-Light"/>
          <w:color w:val="000000"/>
          <w:szCs w:val="21"/>
          <w:lang w:val="en-NZ"/>
        </w:rPr>
        <w:t xml:space="preserve"> may achieve only one of the MDGs, and Solomon Islands and P</w:t>
      </w:r>
      <w:r w:rsidR="00B0326D">
        <w:rPr>
          <w:rFonts w:eastAsiaTheme="minorHAnsi" w:cs="IdealSans-Light"/>
          <w:color w:val="000000"/>
          <w:szCs w:val="21"/>
          <w:lang w:val="en-NZ"/>
        </w:rPr>
        <w:t xml:space="preserve">apua </w:t>
      </w:r>
      <w:r w:rsidR="00C8033D" w:rsidRPr="00C2539B">
        <w:rPr>
          <w:rFonts w:eastAsiaTheme="minorHAnsi" w:cs="IdealSans-Light"/>
          <w:color w:val="000000"/>
          <w:szCs w:val="21"/>
          <w:lang w:val="en-NZ"/>
        </w:rPr>
        <w:t>N</w:t>
      </w:r>
      <w:r w:rsidR="00B0326D">
        <w:rPr>
          <w:rFonts w:eastAsiaTheme="minorHAnsi" w:cs="IdealSans-Light"/>
          <w:color w:val="000000"/>
          <w:szCs w:val="21"/>
          <w:lang w:val="en-NZ"/>
        </w:rPr>
        <w:t xml:space="preserve">ew </w:t>
      </w:r>
      <w:r w:rsidR="00C8033D" w:rsidRPr="00C2539B">
        <w:rPr>
          <w:rFonts w:eastAsiaTheme="minorHAnsi" w:cs="IdealSans-Light"/>
          <w:color w:val="000000"/>
          <w:szCs w:val="21"/>
          <w:lang w:val="en-NZ"/>
        </w:rPr>
        <w:t>G</w:t>
      </w:r>
      <w:r w:rsidR="00B0326D">
        <w:rPr>
          <w:rFonts w:eastAsiaTheme="minorHAnsi" w:cs="IdealSans-Light"/>
          <w:color w:val="000000"/>
          <w:szCs w:val="21"/>
          <w:lang w:val="en-NZ"/>
        </w:rPr>
        <w:t>uinea (PNG)</w:t>
      </w:r>
      <w:r w:rsidR="00C8033D" w:rsidRPr="00C2539B">
        <w:rPr>
          <w:rFonts w:eastAsiaTheme="minorHAnsi" w:cs="IdealSans-Light"/>
          <w:color w:val="000000"/>
          <w:szCs w:val="21"/>
          <w:lang w:val="en-NZ"/>
        </w:rPr>
        <w:t xml:space="preserve"> are not on track to</w:t>
      </w:r>
      <w:r w:rsidR="00135F88">
        <w:rPr>
          <w:rFonts w:eastAsiaTheme="minorHAnsi" w:cs="IdealSans-Light"/>
          <w:color w:val="000000"/>
          <w:szCs w:val="21"/>
          <w:lang w:val="en-NZ"/>
        </w:rPr>
        <w:t xml:space="preserve"> achieve any of the eight MDGs.</w:t>
      </w:r>
      <w:r w:rsidR="00C8033D" w:rsidRPr="00C2539B">
        <w:rPr>
          <w:rFonts w:eastAsiaTheme="minorHAnsi" w:cs="IdealSans-Light"/>
          <w:color w:val="000000"/>
          <w:szCs w:val="21"/>
          <w:lang w:val="en-NZ"/>
        </w:rPr>
        <w:t xml:space="preserve"> </w:t>
      </w:r>
    </w:p>
    <w:p w:rsidR="00C8033D" w:rsidRDefault="00E11B56" w:rsidP="00C8033D">
      <w:pPr>
        <w:pStyle w:val="BodyText"/>
        <w:spacing w:after="120"/>
        <w:jc w:val="both"/>
        <w:rPr>
          <w:rFonts w:eastAsiaTheme="minorHAnsi" w:cs="IdealSans-Light"/>
          <w:color w:val="000000"/>
          <w:szCs w:val="21"/>
          <w:lang w:val="en-NZ"/>
        </w:rPr>
      </w:pPr>
      <w:r>
        <w:rPr>
          <w:rFonts w:eastAsiaTheme="minorHAnsi" w:cs="IdealSans-Light"/>
          <w:color w:val="000000"/>
          <w:szCs w:val="21"/>
          <w:lang w:val="en-NZ"/>
        </w:rPr>
        <w:t>Several countries</w:t>
      </w:r>
      <w:r w:rsidRPr="00661BE9">
        <w:rPr>
          <w:rStyle w:val="FootnoteReference"/>
          <w:rFonts w:ascii="Franklin Gothic Book" w:hAnsi="Franklin Gothic Book"/>
          <w:sz w:val="21"/>
          <w:szCs w:val="21"/>
          <w:vertAlign w:val="superscript"/>
        </w:rPr>
        <w:footnoteReference w:id="3"/>
      </w:r>
      <w:r w:rsidR="00C8033D" w:rsidRPr="00661BE9">
        <w:rPr>
          <w:rStyle w:val="FootnoteReference"/>
          <w:rFonts w:ascii="Franklin Gothic Book" w:hAnsi="Franklin Gothic Book"/>
          <w:sz w:val="21"/>
          <w:szCs w:val="21"/>
          <w:vertAlign w:val="superscript"/>
        </w:rPr>
        <w:t xml:space="preserve"> </w:t>
      </w:r>
      <w:r w:rsidR="00C8033D" w:rsidRPr="00C2539B">
        <w:rPr>
          <w:rFonts w:eastAsiaTheme="minorHAnsi" w:cs="IdealSans-Light"/>
          <w:color w:val="000000"/>
          <w:szCs w:val="21"/>
          <w:lang w:val="en-NZ"/>
        </w:rPr>
        <w:t xml:space="preserve">have </w:t>
      </w:r>
      <w:r w:rsidR="007A31B2">
        <w:rPr>
          <w:rFonts w:eastAsiaTheme="minorHAnsi" w:cs="IdealSans-Light"/>
          <w:color w:val="000000"/>
          <w:szCs w:val="21"/>
          <w:lang w:val="en-NZ"/>
        </w:rPr>
        <w:t xml:space="preserve">a </w:t>
      </w:r>
      <w:r w:rsidR="00C8033D" w:rsidRPr="00C2539B">
        <w:rPr>
          <w:rFonts w:eastAsiaTheme="minorHAnsi" w:cs="IdealSans-Light"/>
          <w:color w:val="000000"/>
          <w:szCs w:val="21"/>
          <w:lang w:val="en-NZ"/>
        </w:rPr>
        <w:t>relatively high prevalence of underweight children and problems of malnutrition</w:t>
      </w:r>
      <w:r>
        <w:rPr>
          <w:rFonts w:eastAsiaTheme="minorHAnsi" w:cs="IdealSans-Light"/>
          <w:color w:val="000000"/>
          <w:szCs w:val="21"/>
          <w:lang w:val="en-NZ"/>
        </w:rPr>
        <w:t>, however for the m</w:t>
      </w:r>
      <w:r w:rsidR="00C8033D" w:rsidRPr="00C2539B">
        <w:rPr>
          <w:rFonts w:eastAsiaTheme="minorHAnsi" w:cs="IdealSans-Light"/>
          <w:color w:val="000000"/>
          <w:szCs w:val="21"/>
          <w:lang w:val="en-NZ"/>
        </w:rPr>
        <w:t>ajority</w:t>
      </w:r>
      <w:r>
        <w:rPr>
          <w:rFonts w:eastAsiaTheme="minorHAnsi" w:cs="IdealSans-Light"/>
          <w:color w:val="000000"/>
          <w:szCs w:val="21"/>
          <w:lang w:val="en-NZ"/>
        </w:rPr>
        <w:t>, concern is</w:t>
      </w:r>
      <w:r w:rsidR="00C8033D" w:rsidRPr="00C2539B">
        <w:rPr>
          <w:rFonts w:eastAsiaTheme="minorHAnsi" w:cs="IdealSans-Light"/>
          <w:color w:val="000000"/>
          <w:szCs w:val="21"/>
          <w:lang w:val="en-NZ"/>
        </w:rPr>
        <w:t xml:space="preserve"> overweight children and obesity, consistent with the </w:t>
      </w:r>
      <w:r w:rsidR="00B0326D">
        <w:rPr>
          <w:rFonts w:eastAsiaTheme="minorHAnsi" w:cs="IdealSans-Light"/>
          <w:color w:val="000000"/>
          <w:szCs w:val="21"/>
          <w:lang w:val="en-NZ"/>
        </w:rPr>
        <w:t>non-communicable diseases (</w:t>
      </w:r>
      <w:r w:rsidR="00C8033D" w:rsidRPr="00C2539B">
        <w:rPr>
          <w:rFonts w:eastAsiaTheme="minorHAnsi" w:cs="IdealSans-Light"/>
          <w:color w:val="000000"/>
          <w:szCs w:val="21"/>
          <w:lang w:val="en-NZ"/>
        </w:rPr>
        <w:t>NCDs</w:t>
      </w:r>
      <w:r w:rsidR="00B0326D">
        <w:rPr>
          <w:rFonts w:eastAsiaTheme="minorHAnsi" w:cs="IdealSans-Light"/>
          <w:color w:val="000000"/>
          <w:szCs w:val="21"/>
          <w:lang w:val="en-NZ"/>
        </w:rPr>
        <w:t>)</w:t>
      </w:r>
      <w:r w:rsidR="00C8033D" w:rsidRPr="00C2539B">
        <w:rPr>
          <w:rFonts w:eastAsiaTheme="minorHAnsi" w:cs="IdealSans-Light"/>
          <w:color w:val="000000"/>
          <w:szCs w:val="21"/>
          <w:lang w:val="en-NZ"/>
        </w:rPr>
        <w:t xml:space="preserve"> crisis in the region</w:t>
      </w:r>
      <w:r w:rsidR="00193AB5">
        <w:rPr>
          <w:rFonts w:eastAsiaTheme="minorHAnsi" w:cs="IdealSans-Light"/>
          <w:color w:val="000000"/>
          <w:szCs w:val="21"/>
          <w:lang w:val="en-NZ"/>
        </w:rPr>
        <w:t xml:space="preserve">. </w:t>
      </w:r>
      <w:r w:rsidR="00193AB5">
        <w:rPr>
          <w:szCs w:val="21"/>
          <w:lang w:val="en-NZ" w:eastAsia="en-NZ"/>
        </w:rPr>
        <w:t>M</w:t>
      </w:r>
      <w:r w:rsidR="00193AB5" w:rsidRPr="00C42882">
        <w:rPr>
          <w:szCs w:val="21"/>
          <w:lang w:val="en-NZ" w:eastAsia="en-NZ"/>
        </w:rPr>
        <w:t>anag</w:t>
      </w:r>
      <w:r w:rsidR="00193AB5">
        <w:rPr>
          <w:szCs w:val="21"/>
          <w:lang w:val="en-NZ" w:eastAsia="en-NZ"/>
        </w:rPr>
        <w:t xml:space="preserve">ing the </w:t>
      </w:r>
      <w:r w:rsidR="00267733">
        <w:rPr>
          <w:szCs w:val="21"/>
          <w:lang w:val="en-NZ" w:eastAsia="en-NZ"/>
        </w:rPr>
        <w:t>‘</w:t>
      </w:r>
      <w:r w:rsidR="00193AB5" w:rsidRPr="00C42882">
        <w:rPr>
          <w:szCs w:val="21"/>
          <w:lang w:val="en-NZ" w:eastAsia="en-NZ"/>
        </w:rPr>
        <w:t>double burden</w:t>
      </w:r>
      <w:r w:rsidR="00267733">
        <w:rPr>
          <w:szCs w:val="21"/>
          <w:lang w:val="en-NZ" w:eastAsia="en-NZ"/>
        </w:rPr>
        <w:t>’</w:t>
      </w:r>
      <w:r w:rsidR="00193AB5" w:rsidRPr="00C42882">
        <w:rPr>
          <w:szCs w:val="21"/>
          <w:lang w:val="en-NZ" w:eastAsia="en-NZ"/>
        </w:rPr>
        <w:t xml:space="preserve"> </w:t>
      </w:r>
      <w:r w:rsidR="00193AB5">
        <w:rPr>
          <w:szCs w:val="21"/>
          <w:lang w:val="en-NZ" w:eastAsia="en-NZ"/>
        </w:rPr>
        <w:t>of NCDs</w:t>
      </w:r>
      <w:r w:rsidR="00193AB5" w:rsidRPr="00C42882">
        <w:rPr>
          <w:szCs w:val="21"/>
          <w:lang w:val="en-NZ" w:eastAsia="en-NZ"/>
        </w:rPr>
        <w:t xml:space="preserve"> with continued threats from communicable diseases and maternal and child mortality</w:t>
      </w:r>
      <w:r w:rsidR="00193AB5">
        <w:rPr>
          <w:szCs w:val="21"/>
          <w:lang w:val="en-NZ" w:eastAsia="en-NZ"/>
        </w:rPr>
        <w:t xml:space="preserve"> remain</w:t>
      </w:r>
      <w:r w:rsidR="00BC5795">
        <w:rPr>
          <w:szCs w:val="21"/>
          <w:lang w:val="en-NZ" w:eastAsia="en-NZ"/>
        </w:rPr>
        <w:t>s</w:t>
      </w:r>
      <w:r w:rsidR="00193AB5">
        <w:rPr>
          <w:szCs w:val="21"/>
          <w:lang w:val="en-NZ" w:eastAsia="en-NZ"/>
        </w:rPr>
        <w:t xml:space="preserve"> a large challenge.</w:t>
      </w:r>
      <w:r w:rsidR="00BC5795">
        <w:rPr>
          <w:rFonts w:eastAsiaTheme="minorHAnsi" w:cs="IdealSans-Light"/>
          <w:color w:val="000000"/>
          <w:szCs w:val="21"/>
          <w:lang w:val="en-NZ"/>
        </w:rPr>
        <w:t xml:space="preserve"> </w:t>
      </w:r>
      <w:r w:rsidR="00C8033D" w:rsidRPr="00C2539B">
        <w:rPr>
          <w:rFonts w:eastAsiaTheme="minorHAnsi" w:cs="IdealSans-Light"/>
          <w:color w:val="000000"/>
          <w:szCs w:val="21"/>
          <w:lang w:val="en-NZ"/>
        </w:rPr>
        <w:t xml:space="preserve">More than half of the </w:t>
      </w:r>
      <w:r w:rsidR="007A31B2">
        <w:rPr>
          <w:rFonts w:eastAsiaTheme="minorHAnsi" w:cs="IdealSans-Light"/>
          <w:color w:val="000000"/>
          <w:szCs w:val="21"/>
          <w:lang w:val="en-NZ"/>
        </w:rPr>
        <w:t>countries</w:t>
      </w:r>
      <w:r w:rsidR="00C8033D" w:rsidRPr="00C2539B">
        <w:rPr>
          <w:rFonts w:eastAsiaTheme="minorHAnsi" w:cs="IdealSans-Light"/>
          <w:color w:val="000000"/>
          <w:szCs w:val="21"/>
          <w:lang w:val="en-NZ"/>
        </w:rPr>
        <w:t xml:space="preserve"> are on track to achieve universal primary education, with free and compulsory education prov</w:t>
      </w:r>
      <w:r w:rsidR="007A31B2">
        <w:rPr>
          <w:rFonts w:eastAsiaTheme="minorHAnsi" w:cs="IdealSans-Light"/>
          <w:color w:val="000000"/>
          <w:szCs w:val="21"/>
          <w:lang w:val="en-NZ"/>
        </w:rPr>
        <w:t>en</w:t>
      </w:r>
      <w:r w:rsidR="00C8033D" w:rsidRPr="00C2539B">
        <w:rPr>
          <w:rFonts w:eastAsiaTheme="minorHAnsi" w:cs="IdealSans-Light"/>
          <w:color w:val="000000"/>
          <w:szCs w:val="21"/>
          <w:lang w:val="en-NZ"/>
        </w:rPr>
        <w:t xml:space="preserve"> to be an effec</w:t>
      </w:r>
      <w:r w:rsidR="00D620C8">
        <w:rPr>
          <w:rFonts w:eastAsiaTheme="minorHAnsi" w:cs="IdealSans-Light"/>
          <w:color w:val="000000"/>
          <w:szCs w:val="21"/>
          <w:lang w:val="en-NZ"/>
        </w:rPr>
        <w:t xml:space="preserve">tive tool in improving access. </w:t>
      </w:r>
      <w:r w:rsidR="00C8033D" w:rsidRPr="00C2539B">
        <w:rPr>
          <w:rFonts w:eastAsiaTheme="minorHAnsi" w:cs="IdealSans-Light"/>
          <w:color w:val="000000"/>
          <w:szCs w:val="21"/>
          <w:lang w:val="en-NZ"/>
        </w:rPr>
        <w:t>However, the quality of education remains a concern across the region</w:t>
      </w:r>
      <w:r w:rsidR="00135F88">
        <w:rPr>
          <w:rFonts w:eastAsiaTheme="minorHAnsi" w:cs="IdealSans-Light"/>
          <w:color w:val="000000"/>
          <w:szCs w:val="21"/>
          <w:lang w:val="en-NZ"/>
        </w:rPr>
        <w:t>, with m</w:t>
      </w:r>
      <w:r w:rsidR="00C8033D" w:rsidRPr="00C2539B">
        <w:rPr>
          <w:rFonts w:eastAsiaTheme="minorHAnsi" w:cs="IdealSans-Light"/>
          <w:color w:val="000000"/>
          <w:szCs w:val="21"/>
          <w:lang w:val="en-NZ"/>
        </w:rPr>
        <w:t>any students finish</w:t>
      </w:r>
      <w:r w:rsidR="00135F88">
        <w:rPr>
          <w:rFonts w:eastAsiaTheme="minorHAnsi" w:cs="IdealSans-Light"/>
          <w:color w:val="000000"/>
          <w:szCs w:val="21"/>
          <w:lang w:val="en-NZ"/>
        </w:rPr>
        <w:t>ing</w:t>
      </w:r>
      <w:r w:rsidR="00C8033D" w:rsidRPr="00C2539B">
        <w:rPr>
          <w:rFonts w:eastAsiaTheme="minorHAnsi" w:cs="IdealSans-Light"/>
          <w:color w:val="000000"/>
          <w:szCs w:val="21"/>
          <w:lang w:val="en-NZ"/>
        </w:rPr>
        <w:t xml:space="preserve"> school without basic literacy and numeracy skil</w:t>
      </w:r>
      <w:r w:rsidR="00135F88">
        <w:rPr>
          <w:rFonts w:eastAsiaTheme="minorHAnsi" w:cs="IdealSans-Light"/>
          <w:color w:val="000000"/>
          <w:szCs w:val="21"/>
          <w:lang w:val="en-NZ"/>
        </w:rPr>
        <w:t>ls.</w:t>
      </w:r>
    </w:p>
    <w:p w:rsidR="00742495" w:rsidRPr="00135F88" w:rsidRDefault="00742495" w:rsidP="00742495">
      <w:pPr>
        <w:pStyle w:val="BodyText"/>
        <w:spacing w:after="0"/>
        <w:jc w:val="both"/>
        <w:rPr>
          <w:rFonts w:eastAsiaTheme="minorHAnsi" w:cs="IdealSans-Light"/>
          <w:color w:val="000000"/>
          <w:szCs w:val="21"/>
          <w:lang w:val="en-NZ"/>
        </w:rPr>
      </w:pPr>
      <w:r>
        <w:rPr>
          <w:rFonts w:eastAsiaTheme="minorHAnsi" w:cs="IdealSans-Light"/>
          <w:color w:val="000000"/>
          <w:szCs w:val="21"/>
          <w:lang w:val="en-NZ"/>
        </w:rPr>
        <w:t>While extreme poverty</w:t>
      </w:r>
      <w:r w:rsidRPr="00661BE9">
        <w:rPr>
          <w:rStyle w:val="FootnoteReference"/>
          <w:rFonts w:ascii="Franklin Gothic Book" w:hAnsi="Franklin Gothic Book"/>
          <w:sz w:val="21"/>
          <w:szCs w:val="21"/>
          <w:vertAlign w:val="superscript"/>
        </w:rPr>
        <w:footnoteReference w:id="4"/>
      </w:r>
      <w:r w:rsidRPr="00C2539B">
        <w:rPr>
          <w:rFonts w:eastAsiaTheme="minorHAnsi" w:cs="IdealSans-Light"/>
          <w:color w:val="000000"/>
          <w:szCs w:val="21"/>
          <w:lang w:val="en-NZ"/>
        </w:rPr>
        <w:t xml:space="preserve"> is rare in the Pacific</w:t>
      </w:r>
      <w:r>
        <w:rPr>
          <w:rFonts w:eastAsiaTheme="minorHAnsi" w:cs="IdealSans-Light"/>
          <w:color w:val="000000"/>
          <w:szCs w:val="21"/>
          <w:lang w:val="en-NZ"/>
        </w:rPr>
        <w:t xml:space="preserve">, </w:t>
      </w:r>
      <w:r w:rsidRPr="00C2539B">
        <w:rPr>
          <w:rFonts w:eastAsiaTheme="minorHAnsi" w:cs="IdealSans-Light"/>
          <w:color w:val="000000"/>
          <w:szCs w:val="21"/>
          <w:lang w:val="en-NZ"/>
        </w:rPr>
        <w:t>poverty</w:t>
      </w:r>
      <w:r w:rsidR="00B24F3A">
        <w:rPr>
          <w:rFonts w:eastAsiaTheme="minorHAnsi" w:cs="IdealSans-Light"/>
          <w:color w:val="000000"/>
          <w:szCs w:val="21"/>
          <w:lang w:val="en-NZ"/>
        </w:rPr>
        <w:t xml:space="preserve"> does </w:t>
      </w:r>
      <w:r>
        <w:rPr>
          <w:rFonts w:eastAsiaTheme="minorHAnsi" w:cs="IdealSans-Light"/>
          <w:color w:val="000000"/>
          <w:szCs w:val="21"/>
          <w:lang w:val="en-NZ"/>
        </w:rPr>
        <w:t>remain</w:t>
      </w:r>
      <w:r w:rsidR="00B24F3A">
        <w:rPr>
          <w:rFonts w:eastAsiaTheme="minorHAnsi" w:cs="IdealSans-Light"/>
          <w:color w:val="000000"/>
          <w:szCs w:val="21"/>
          <w:lang w:val="en-NZ"/>
        </w:rPr>
        <w:t xml:space="preserve"> a big </w:t>
      </w:r>
      <w:r w:rsidRPr="00C2539B">
        <w:rPr>
          <w:rFonts w:eastAsiaTheme="minorHAnsi" w:cs="IdealSans-Light"/>
          <w:color w:val="000000"/>
          <w:szCs w:val="21"/>
          <w:lang w:val="en-NZ"/>
        </w:rPr>
        <w:t xml:space="preserve">challenge for many </w:t>
      </w:r>
      <w:r>
        <w:rPr>
          <w:rFonts w:eastAsiaTheme="minorHAnsi" w:cs="IdealSans-Light"/>
          <w:color w:val="000000"/>
          <w:szCs w:val="21"/>
          <w:lang w:val="en-NZ"/>
        </w:rPr>
        <w:t>countrie</w:t>
      </w:r>
      <w:r w:rsidRPr="00C2539B">
        <w:rPr>
          <w:rFonts w:eastAsiaTheme="minorHAnsi" w:cs="IdealSans-Light"/>
          <w:color w:val="000000"/>
          <w:szCs w:val="21"/>
          <w:lang w:val="en-NZ"/>
        </w:rPr>
        <w:t>s</w:t>
      </w:r>
      <w:r>
        <w:rPr>
          <w:rFonts w:eastAsiaTheme="minorHAnsi" w:cs="IdealSans-Light"/>
          <w:color w:val="000000"/>
          <w:szCs w:val="21"/>
          <w:lang w:val="en-NZ"/>
        </w:rPr>
        <w:t>.</w:t>
      </w:r>
      <w:r w:rsidR="00135F88" w:rsidRPr="00661BE9">
        <w:rPr>
          <w:rStyle w:val="FootnoteReference"/>
          <w:rFonts w:ascii="Franklin Gothic Book" w:hAnsi="Franklin Gothic Book"/>
          <w:sz w:val="21"/>
          <w:szCs w:val="21"/>
          <w:vertAlign w:val="superscript"/>
        </w:rPr>
        <w:footnoteReference w:id="5"/>
      </w:r>
      <w:r w:rsidR="00135F88" w:rsidRPr="00661BE9">
        <w:rPr>
          <w:rStyle w:val="FootnoteReference"/>
          <w:rFonts w:ascii="Franklin Gothic Book" w:hAnsi="Franklin Gothic Book"/>
          <w:sz w:val="21"/>
          <w:szCs w:val="21"/>
          <w:vertAlign w:val="superscript"/>
        </w:rPr>
        <w:t xml:space="preserve"> </w:t>
      </w:r>
      <w:r w:rsidRPr="00C2539B">
        <w:rPr>
          <w:rFonts w:eastAsiaTheme="minorHAnsi" w:cs="IdealSans-Light"/>
          <w:color w:val="000000"/>
          <w:szCs w:val="21"/>
          <w:lang w:val="en-NZ"/>
        </w:rPr>
        <w:t xml:space="preserve"> </w:t>
      </w:r>
      <w:r w:rsidR="00135F88" w:rsidRPr="00605B94">
        <w:rPr>
          <w:rFonts w:eastAsiaTheme="minorHAnsi" w:cs="IdealSans-Light"/>
          <w:color w:val="000000"/>
          <w:szCs w:val="21"/>
          <w:lang w:val="en-NZ"/>
        </w:rPr>
        <w:t xml:space="preserve">Persons with a disability in </w:t>
      </w:r>
      <w:r w:rsidR="00D620C8">
        <w:rPr>
          <w:rFonts w:eastAsiaTheme="minorHAnsi" w:cs="IdealSans-Light"/>
          <w:color w:val="000000"/>
          <w:szCs w:val="21"/>
          <w:lang w:val="en-NZ"/>
        </w:rPr>
        <w:t>PICs</w:t>
      </w:r>
      <w:r w:rsidR="00135F88" w:rsidRPr="00605B94">
        <w:rPr>
          <w:rFonts w:eastAsiaTheme="minorHAnsi" w:cs="IdealSans-Light"/>
          <w:color w:val="000000"/>
          <w:szCs w:val="21"/>
          <w:lang w:val="en-NZ"/>
        </w:rPr>
        <w:t xml:space="preserve"> are among the poorest and most marginalised members of their communities</w:t>
      </w:r>
      <w:r w:rsidR="00D620C8">
        <w:rPr>
          <w:rFonts w:eastAsiaTheme="minorHAnsi" w:cs="IdealSans-Light"/>
          <w:color w:val="000000"/>
          <w:szCs w:val="21"/>
          <w:lang w:val="en-NZ"/>
        </w:rPr>
        <w:t xml:space="preserve">. </w:t>
      </w:r>
      <w:r>
        <w:rPr>
          <w:rFonts w:eastAsiaTheme="minorHAnsi" w:cs="IdealSans-Light"/>
          <w:color w:val="000000"/>
          <w:szCs w:val="21"/>
          <w:lang w:val="en-NZ"/>
        </w:rPr>
        <w:t>There</w:t>
      </w:r>
      <w:r w:rsidRPr="00C2539B">
        <w:rPr>
          <w:rFonts w:eastAsiaTheme="minorHAnsi" w:cs="IdealSans-Light"/>
          <w:color w:val="000000"/>
          <w:szCs w:val="21"/>
          <w:lang w:val="en-NZ"/>
        </w:rPr>
        <w:t xml:space="preserve"> are large pockets of youth unemployment and </w:t>
      </w:r>
      <w:r w:rsidRPr="00C2539B">
        <w:rPr>
          <w:rFonts w:eastAsiaTheme="minorHAnsi" w:cs="IdealSans-Light"/>
          <w:color w:val="000000"/>
          <w:szCs w:val="21"/>
          <w:lang w:val="en-NZ"/>
        </w:rPr>
        <w:lastRenderedPageBreak/>
        <w:t>underemployment, especially in urban centres.</w:t>
      </w:r>
      <w:r>
        <w:rPr>
          <w:rFonts w:eastAsiaTheme="minorHAnsi" w:cs="IdealSans-Light"/>
          <w:color w:val="000000"/>
          <w:szCs w:val="21"/>
          <w:lang w:val="en-NZ"/>
        </w:rPr>
        <w:t xml:space="preserve"> </w:t>
      </w:r>
      <w:r>
        <w:rPr>
          <w:szCs w:val="21"/>
        </w:rPr>
        <w:t>Over</w:t>
      </w:r>
      <w:r w:rsidRPr="00A17635">
        <w:rPr>
          <w:szCs w:val="21"/>
          <w:lang w:val="en-NZ" w:eastAsia="en-NZ"/>
        </w:rPr>
        <w:t xml:space="preserve"> 20 per</w:t>
      </w:r>
      <w:r w:rsidR="00D620C8">
        <w:rPr>
          <w:szCs w:val="21"/>
          <w:lang w:val="en-NZ" w:eastAsia="en-NZ"/>
        </w:rPr>
        <w:t xml:space="preserve"> </w:t>
      </w:r>
      <w:r w:rsidRPr="00A17635">
        <w:rPr>
          <w:szCs w:val="21"/>
          <w:lang w:val="en-NZ" w:eastAsia="en-NZ"/>
        </w:rPr>
        <w:t xml:space="preserve">cent of people in most </w:t>
      </w:r>
      <w:r w:rsidR="00D620C8">
        <w:rPr>
          <w:szCs w:val="21"/>
          <w:lang w:val="en-NZ" w:eastAsia="en-NZ"/>
        </w:rPr>
        <w:t>PICs</w:t>
      </w:r>
      <w:r w:rsidRPr="00A17635">
        <w:rPr>
          <w:szCs w:val="21"/>
          <w:lang w:val="en-NZ" w:eastAsia="en-NZ"/>
        </w:rPr>
        <w:t xml:space="preserve"> live in hardship and are unable to meet their basic food and non-food needs</w:t>
      </w:r>
      <w:r w:rsidR="00737052">
        <w:rPr>
          <w:szCs w:val="21"/>
          <w:lang w:val="en-NZ" w:eastAsia="en-NZ"/>
        </w:rPr>
        <w:t>.</w:t>
      </w:r>
      <w:r w:rsidRPr="00C42882">
        <w:rPr>
          <w:rStyle w:val="FootnoteReference"/>
          <w:rFonts w:ascii="Franklin Gothic Book" w:hAnsi="Franklin Gothic Book"/>
          <w:sz w:val="21"/>
          <w:szCs w:val="21"/>
          <w:vertAlign w:val="superscript"/>
        </w:rPr>
        <w:footnoteReference w:id="6"/>
      </w:r>
      <w:r>
        <w:rPr>
          <w:szCs w:val="21"/>
          <w:lang w:val="en-NZ" w:eastAsia="en-NZ"/>
        </w:rPr>
        <w:t xml:space="preserve"> </w:t>
      </w:r>
      <w:r w:rsidRPr="00A17635">
        <w:rPr>
          <w:szCs w:val="21"/>
          <w:lang w:val="en-NZ" w:eastAsia="en-NZ"/>
        </w:rPr>
        <w:t xml:space="preserve">Many people not currently in hardship remain </w:t>
      </w:r>
      <w:r>
        <w:rPr>
          <w:szCs w:val="21"/>
          <w:lang w:val="en-NZ" w:eastAsia="en-NZ"/>
        </w:rPr>
        <w:t xml:space="preserve">extremely </w:t>
      </w:r>
      <w:r w:rsidRPr="00A17635">
        <w:rPr>
          <w:szCs w:val="21"/>
          <w:lang w:val="en-NZ" w:eastAsia="en-NZ"/>
        </w:rPr>
        <w:t>vulnerable to it</w:t>
      </w:r>
      <w:r w:rsidR="00D620C8">
        <w:rPr>
          <w:szCs w:val="21"/>
          <w:lang w:val="en-NZ" w:eastAsia="en-NZ"/>
        </w:rPr>
        <w:t>.</w:t>
      </w:r>
    </w:p>
    <w:p w:rsidR="00B24F3A" w:rsidRDefault="00B24F3A" w:rsidP="00B24F3A">
      <w:pPr>
        <w:pStyle w:val="BodyText"/>
        <w:spacing w:after="0"/>
        <w:jc w:val="both"/>
        <w:rPr>
          <w:rFonts w:eastAsiaTheme="minorHAnsi" w:cs="IdealSans-Light"/>
          <w:szCs w:val="21"/>
          <w:lang w:val="en-NZ"/>
        </w:rPr>
      </w:pPr>
    </w:p>
    <w:p w:rsidR="0069408A" w:rsidRDefault="00193AB5" w:rsidP="00C01471">
      <w:pPr>
        <w:pStyle w:val="BodyText"/>
        <w:spacing w:after="0"/>
        <w:jc w:val="both"/>
        <w:rPr>
          <w:rFonts w:eastAsiaTheme="minorHAnsi" w:cs="IdealSans-Light"/>
          <w:color w:val="000000"/>
          <w:szCs w:val="21"/>
          <w:lang w:val="en-NZ"/>
        </w:rPr>
      </w:pPr>
      <w:r>
        <w:rPr>
          <w:rFonts w:eastAsiaTheme="minorHAnsi" w:cs="IdealSans-Light"/>
          <w:szCs w:val="21"/>
          <w:lang w:val="en-NZ"/>
        </w:rPr>
        <w:t xml:space="preserve">On gender equality, the </w:t>
      </w:r>
      <w:r w:rsidR="00B24F3A" w:rsidRPr="00C42882">
        <w:rPr>
          <w:rFonts w:eastAsiaTheme="minorHAnsi" w:cs="IdealSans-Light"/>
          <w:szCs w:val="21"/>
          <w:lang w:val="en-NZ"/>
        </w:rPr>
        <w:t xml:space="preserve">majority of countries have achieved gender parity in education, </w:t>
      </w:r>
      <w:r w:rsidR="00B24F3A">
        <w:rPr>
          <w:rFonts w:eastAsiaTheme="minorHAnsi" w:cs="IdealSans-Light"/>
          <w:szCs w:val="21"/>
          <w:lang w:val="en-NZ"/>
        </w:rPr>
        <w:t xml:space="preserve">with </w:t>
      </w:r>
      <w:r w:rsidR="00B24F3A" w:rsidRPr="00C42882">
        <w:rPr>
          <w:rFonts w:eastAsiaTheme="minorHAnsi" w:cs="IdealSans-Light"/>
          <w:szCs w:val="21"/>
          <w:lang w:val="en-NZ"/>
        </w:rPr>
        <w:t>emerging concerns over the attendance and performance of boys, particularly in high school. Pro</w:t>
      </w:r>
      <w:r>
        <w:rPr>
          <w:rFonts w:eastAsiaTheme="minorHAnsi" w:cs="IdealSans-Light"/>
          <w:szCs w:val="21"/>
          <w:lang w:val="en-NZ"/>
        </w:rPr>
        <w:t xml:space="preserve">gress towards empowering women </w:t>
      </w:r>
      <w:r w:rsidR="00B24F3A" w:rsidRPr="00C2539B">
        <w:rPr>
          <w:rFonts w:eastAsiaTheme="minorHAnsi" w:cs="IdealSans-Light"/>
          <w:color w:val="000000"/>
          <w:szCs w:val="21"/>
          <w:lang w:val="en-NZ"/>
        </w:rPr>
        <w:t>is much slower</w:t>
      </w:r>
      <w:r w:rsidR="00737052">
        <w:rPr>
          <w:rFonts w:eastAsiaTheme="minorHAnsi" w:cs="IdealSans-Light"/>
          <w:color w:val="000000"/>
          <w:szCs w:val="21"/>
          <w:lang w:val="en-NZ"/>
        </w:rPr>
        <w:t>.</w:t>
      </w:r>
      <w:r w:rsidRPr="00661BE9">
        <w:rPr>
          <w:rStyle w:val="FootnoteReference"/>
          <w:rFonts w:ascii="Franklin Gothic Book" w:hAnsi="Franklin Gothic Book"/>
          <w:sz w:val="21"/>
          <w:szCs w:val="21"/>
          <w:vertAlign w:val="superscript"/>
        </w:rPr>
        <w:footnoteReference w:id="7"/>
      </w:r>
      <w:r w:rsidR="00B24F3A" w:rsidRPr="00C2539B">
        <w:rPr>
          <w:rFonts w:eastAsiaTheme="minorHAnsi" w:cs="IdealSans-Light"/>
          <w:color w:val="000000"/>
          <w:szCs w:val="21"/>
          <w:lang w:val="en-NZ"/>
        </w:rPr>
        <w:t xml:space="preserve"> </w:t>
      </w:r>
      <w:r w:rsidR="00B24F3A" w:rsidRPr="00C2539B">
        <w:rPr>
          <w:szCs w:val="21"/>
        </w:rPr>
        <w:t xml:space="preserve">The </w:t>
      </w:r>
      <w:hyperlink r:id="rId16" w:tgtFrame="_blank" w:history="1">
        <w:r w:rsidR="00B24F3A" w:rsidRPr="00C2539B">
          <w:rPr>
            <w:szCs w:val="21"/>
          </w:rPr>
          <w:t>Inter-Parliamentary Union</w:t>
        </w:r>
      </w:hyperlink>
      <w:r w:rsidR="00B24F3A" w:rsidRPr="00C2539B">
        <w:rPr>
          <w:rStyle w:val="FootnoteReference"/>
          <w:rFonts w:ascii="Franklin Gothic Book" w:hAnsi="Franklin Gothic Book"/>
          <w:sz w:val="21"/>
          <w:szCs w:val="21"/>
          <w:vertAlign w:val="superscript"/>
        </w:rPr>
        <w:footnoteReference w:id="8"/>
      </w:r>
      <w:r w:rsidR="00B24F3A" w:rsidRPr="00C2539B">
        <w:rPr>
          <w:szCs w:val="21"/>
        </w:rPr>
        <w:t xml:space="preserve"> reports that</w:t>
      </w:r>
      <w:r w:rsidR="00DC45E2">
        <w:rPr>
          <w:szCs w:val="21"/>
        </w:rPr>
        <w:t xml:space="preserve"> globally,</w:t>
      </w:r>
      <w:r w:rsidR="00B24F3A" w:rsidRPr="00C2539B">
        <w:rPr>
          <w:szCs w:val="21"/>
        </w:rPr>
        <w:t xml:space="preserve"> women comprise 21.9 per cent of national parliamentarians (world average as at June 2014), but </w:t>
      </w:r>
      <w:r w:rsidR="00B24F3A" w:rsidRPr="00C2539B">
        <w:rPr>
          <w:rFonts w:cs="Arial"/>
          <w:color w:val="000000"/>
          <w:szCs w:val="21"/>
        </w:rPr>
        <w:t xml:space="preserve">the </w:t>
      </w:r>
      <w:r w:rsidR="00737052">
        <w:rPr>
          <w:rFonts w:cs="Arial"/>
          <w:color w:val="000000"/>
          <w:szCs w:val="21"/>
        </w:rPr>
        <w:t>percent</w:t>
      </w:r>
      <w:r w:rsidR="00B24F3A" w:rsidRPr="00C2539B">
        <w:rPr>
          <w:rFonts w:cs="Arial"/>
          <w:color w:val="000000"/>
          <w:szCs w:val="21"/>
        </w:rPr>
        <w:t>age of women in Pacific parliaments currently hovers at around 5 per cent</w:t>
      </w:r>
      <w:r w:rsidR="00B24F3A" w:rsidRPr="00C2539B">
        <w:rPr>
          <w:szCs w:val="21"/>
        </w:rPr>
        <w:t>.</w:t>
      </w:r>
      <w:r w:rsidR="00B24F3A" w:rsidRPr="00C2539B">
        <w:rPr>
          <w:rStyle w:val="FootnoteReference"/>
          <w:rFonts w:ascii="Franklin Gothic Book" w:hAnsi="Franklin Gothic Book"/>
          <w:sz w:val="21"/>
          <w:szCs w:val="21"/>
          <w:vertAlign w:val="superscript"/>
        </w:rPr>
        <w:footnoteReference w:id="9"/>
      </w:r>
      <w:r w:rsidR="00B24F3A" w:rsidRPr="00C2539B">
        <w:rPr>
          <w:szCs w:val="21"/>
          <w:vertAlign w:val="superscript"/>
        </w:rPr>
        <w:t xml:space="preserve"> </w:t>
      </w:r>
      <w:r w:rsidR="00B24F3A">
        <w:rPr>
          <w:szCs w:val="21"/>
          <w:vertAlign w:val="superscript"/>
        </w:rPr>
        <w:t xml:space="preserve"> </w:t>
      </w:r>
      <w:r w:rsidR="00B24F3A" w:rsidRPr="00C2539B">
        <w:rPr>
          <w:szCs w:val="21"/>
        </w:rPr>
        <w:t>Violence a</w:t>
      </w:r>
      <w:r w:rsidR="00661BE9">
        <w:rPr>
          <w:szCs w:val="21"/>
        </w:rPr>
        <w:t>gainst women prevalence surveys</w:t>
      </w:r>
      <w:r w:rsidR="00B24F3A" w:rsidRPr="00C2539B">
        <w:rPr>
          <w:szCs w:val="21"/>
        </w:rPr>
        <w:t xml:space="preserve"> show that up to 60 per cent of women and girls have experienced violence at the hands of partners or family members.</w:t>
      </w:r>
      <w:r w:rsidR="00B24F3A" w:rsidRPr="00C2539B">
        <w:rPr>
          <w:rStyle w:val="FootnoteReference"/>
          <w:rFonts w:ascii="Franklin Gothic Book" w:hAnsi="Franklin Gothic Book"/>
          <w:sz w:val="21"/>
          <w:szCs w:val="21"/>
          <w:vertAlign w:val="superscript"/>
        </w:rPr>
        <w:footnoteReference w:id="10"/>
      </w:r>
      <w:r w:rsidR="00B24F3A" w:rsidRPr="00C2539B">
        <w:rPr>
          <w:szCs w:val="21"/>
          <w:vertAlign w:val="superscript"/>
        </w:rPr>
        <w:t xml:space="preserve"> </w:t>
      </w:r>
    </w:p>
    <w:p w:rsidR="00C01471" w:rsidRDefault="00C01471" w:rsidP="00C8033D">
      <w:pPr>
        <w:pStyle w:val="BodyText"/>
        <w:spacing w:after="120"/>
        <w:rPr>
          <w:i/>
          <w:szCs w:val="21"/>
        </w:rPr>
      </w:pPr>
    </w:p>
    <w:p w:rsidR="00C8033D" w:rsidRPr="007034D2" w:rsidRDefault="00F42B66" w:rsidP="00C8033D">
      <w:pPr>
        <w:pStyle w:val="BodyText"/>
        <w:spacing w:after="120"/>
        <w:rPr>
          <w:rFonts w:eastAsiaTheme="minorHAnsi" w:cs="IdealSans-Light"/>
          <w:color w:val="FF0000"/>
          <w:szCs w:val="21"/>
          <w:lang w:val="en-NZ"/>
        </w:rPr>
      </w:pPr>
      <w:r>
        <w:rPr>
          <w:rFonts w:eastAsiaTheme="minorHAnsi" w:cs="IdealSans-Light"/>
          <w:szCs w:val="21"/>
          <w:lang w:val="en-NZ"/>
        </w:rPr>
        <w:t>While f</w:t>
      </w:r>
      <w:r w:rsidR="00E11B56">
        <w:rPr>
          <w:rFonts w:eastAsiaTheme="minorHAnsi" w:cs="IdealSans-Light"/>
          <w:szCs w:val="21"/>
          <w:lang w:val="en-NZ"/>
        </w:rPr>
        <w:t>i</w:t>
      </w:r>
      <w:r w:rsidR="00C8033D" w:rsidRPr="00C2539B">
        <w:rPr>
          <w:rFonts w:eastAsiaTheme="minorHAnsi" w:cs="IdealSans-Light"/>
          <w:szCs w:val="21"/>
          <w:lang w:val="en-NZ"/>
        </w:rPr>
        <w:t>gures for economic growth in the Pacific region mask significant variation</w:t>
      </w:r>
      <w:r w:rsidR="00DC45E2">
        <w:rPr>
          <w:rFonts w:eastAsiaTheme="minorHAnsi" w:cs="IdealSans-Light"/>
          <w:szCs w:val="21"/>
          <w:lang w:val="en-NZ"/>
        </w:rPr>
        <w:t>,</w:t>
      </w:r>
      <w:r w:rsidRPr="00F42B66">
        <w:t xml:space="preserve"> </w:t>
      </w:r>
      <w:r>
        <w:t>the Pacific is projected to be the slowest growing region in the developing world by 2016</w:t>
      </w:r>
      <w:r>
        <w:rPr>
          <w:rFonts w:eastAsiaTheme="minorHAnsi" w:cs="IdealSans-Light"/>
          <w:szCs w:val="21"/>
          <w:lang w:val="en-NZ"/>
        </w:rPr>
        <w:t>.</w:t>
      </w:r>
      <w:r w:rsidRPr="00661BE9">
        <w:rPr>
          <w:rStyle w:val="FootnoteReference"/>
          <w:rFonts w:ascii="Franklin Gothic Book" w:hAnsi="Franklin Gothic Book"/>
          <w:sz w:val="21"/>
          <w:szCs w:val="21"/>
          <w:vertAlign w:val="superscript"/>
        </w:rPr>
        <w:footnoteReference w:id="11"/>
      </w:r>
    </w:p>
    <w:p w:rsidR="00F42B66" w:rsidRPr="00F42B66" w:rsidRDefault="00144001" w:rsidP="00F42B66">
      <w:pPr>
        <w:pStyle w:val="BodyText"/>
        <w:rPr>
          <w:rFonts w:eastAsiaTheme="minorHAnsi"/>
          <w:lang w:val="en-NZ"/>
        </w:rPr>
      </w:pPr>
      <w:r>
        <w:rPr>
          <w:rFonts w:eastAsiaTheme="minorHAnsi"/>
          <w:lang w:val="en-NZ"/>
        </w:rPr>
        <w:t>The resource-</w:t>
      </w:r>
      <w:r w:rsidR="00F42B66" w:rsidRPr="00F42B66">
        <w:rPr>
          <w:rFonts w:eastAsiaTheme="minorHAnsi"/>
          <w:lang w:val="en-NZ"/>
        </w:rPr>
        <w:t>based economies of PNG and the Solomon Islands are driving growth across the region due t</w:t>
      </w:r>
      <w:r w:rsidR="00D620C8">
        <w:rPr>
          <w:rFonts w:eastAsiaTheme="minorHAnsi"/>
          <w:lang w:val="en-NZ"/>
        </w:rPr>
        <w:t xml:space="preserve">o natural resource </w:t>
      </w:r>
      <w:r w:rsidR="00EA550D">
        <w:rPr>
          <w:rFonts w:eastAsiaTheme="minorHAnsi"/>
          <w:lang w:val="en-NZ"/>
        </w:rPr>
        <w:t>industries;</w:t>
      </w:r>
      <w:r w:rsidR="00D620C8">
        <w:rPr>
          <w:rFonts w:eastAsiaTheme="minorHAnsi"/>
          <w:lang w:val="en-NZ"/>
        </w:rPr>
        <w:t xml:space="preserve"> however</w:t>
      </w:r>
      <w:r w:rsidR="00737052">
        <w:rPr>
          <w:rFonts w:eastAsiaTheme="minorHAnsi"/>
          <w:lang w:val="en-NZ"/>
        </w:rPr>
        <w:t>,</w:t>
      </w:r>
      <w:r w:rsidR="00F42B66" w:rsidRPr="00F42B66">
        <w:rPr>
          <w:rFonts w:eastAsiaTheme="minorHAnsi"/>
          <w:lang w:val="en-NZ"/>
        </w:rPr>
        <w:t xml:space="preserve"> this has not promoted broad-based economic growth and poverty reduction. </w:t>
      </w:r>
      <w:r w:rsidR="00F42B66" w:rsidRPr="00F42B66">
        <w:t>Both</w:t>
      </w:r>
      <w:r w:rsidR="00F42B66" w:rsidRPr="00F42B66">
        <w:rPr>
          <w:rFonts w:eastAsiaTheme="minorHAnsi"/>
          <w:lang w:val="en-NZ"/>
        </w:rPr>
        <w:t xml:space="preserve"> countries’ economies are undiversified and have the lowest GDP per capita in the Pacific region, with the exception of Kiribati. Increasing the level of broad-based business activity in PNG and the Solomon Islands would lead to the gains from economic growth being distributed more broadly. </w:t>
      </w:r>
    </w:p>
    <w:p w:rsidR="00F42B66" w:rsidRPr="00F42B66" w:rsidRDefault="00C61611" w:rsidP="00F42B66">
      <w:pPr>
        <w:pStyle w:val="BodyText"/>
        <w:rPr>
          <w:rFonts w:eastAsiaTheme="minorHAnsi"/>
          <w:lang w:val="en-NZ"/>
        </w:rPr>
      </w:pPr>
      <w:r>
        <w:rPr>
          <w:rFonts w:eastAsiaTheme="minorHAnsi"/>
          <w:lang w:val="en-NZ"/>
        </w:rPr>
        <w:t xml:space="preserve">Other </w:t>
      </w:r>
      <w:r w:rsidR="00F42B66" w:rsidRPr="00F42B66">
        <w:rPr>
          <w:rFonts w:eastAsiaTheme="minorHAnsi"/>
          <w:lang w:val="en-NZ"/>
        </w:rPr>
        <w:t>PICs</w:t>
      </w:r>
      <w:r w:rsidR="00D620C8">
        <w:rPr>
          <w:rFonts w:eastAsiaTheme="minorHAnsi"/>
          <w:lang w:val="en-NZ"/>
        </w:rPr>
        <w:t>’</w:t>
      </w:r>
      <w:r w:rsidR="00F42B66" w:rsidRPr="00F42B66">
        <w:rPr>
          <w:rFonts w:eastAsiaTheme="minorHAnsi"/>
          <w:lang w:val="en-NZ"/>
        </w:rPr>
        <w:t xml:space="preserve"> economies with the capacity for self-sustained growth (Cook Islands, Fiji, Sa</w:t>
      </w:r>
      <w:r w:rsidR="00BC5795">
        <w:rPr>
          <w:rFonts w:eastAsiaTheme="minorHAnsi"/>
          <w:lang w:val="en-NZ"/>
        </w:rPr>
        <w:t xml:space="preserve">moa, Tonga, Vanuatu and Palau) </w:t>
      </w:r>
      <w:r w:rsidR="00F42B66" w:rsidRPr="00F42B66">
        <w:rPr>
          <w:rFonts w:eastAsiaTheme="minorHAnsi"/>
          <w:lang w:val="en-NZ"/>
        </w:rPr>
        <w:t xml:space="preserve">have more diversified economies, with tourism, remittances and exports in goods </w:t>
      </w:r>
      <w:r w:rsidR="00F42B66" w:rsidRPr="00F42B66">
        <w:t>contributing</w:t>
      </w:r>
      <w:r w:rsidR="00F42B66" w:rsidRPr="00F42B66">
        <w:rPr>
          <w:rFonts w:eastAsiaTheme="minorHAnsi"/>
          <w:lang w:val="en-NZ"/>
        </w:rPr>
        <w:t xml:space="preserve"> to GDP. Growing the existing industries in these economies, as well as developing new markets and increasing labour mobility, will help these countries to achieve self-sustained growth. </w:t>
      </w:r>
    </w:p>
    <w:p w:rsidR="00F42B66" w:rsidRPr="00F42B66" w:rsidRDefault="00F42B66" w:rsidP="00F42B66">
      <w:pPr>
        <w:pStyle w:val="BodyText"/>
        <w:spacing w:after="120"/>
        <w:rPr>
          <w:rFonts w:eastAsiaTheme="minorHAnsi" w:cs="IdealSans-Light"/>
          <w:szCs w:val="21"/>
          <w:lang w:val="en-NZ"/>
        </w:rPr>
      </w:pPr>
      <w:r w:rsidRPr="00F42B66">
        <w:rPr>
          <w:rFonts w:eastAsiaTheme="minorHAnsi" w:cs="IdealSans-Light"/>
          <w:szCs w:val="21"/>
          <w:lang w:val="en-NZ"/>
        </w:rPr>
        <w:t xml:space="preserve">The smaller states (Kiribati, Nauru, Tuvalu, </w:t>
      </w:r>
      <w:r w:rsidR="00C61611">
        <w:rPr>
          <w:rFonts w:eastAsiaTheme="minorHAnsi" w:cs="IdealSans-Light"/>
          <w:szCs w:val="21"/>
          <w:lang w:val="en-NZ"/>
        </w:rPr>
        <w:t xml:space="preserve">Niue, </w:t>
      </w:r>
      <w:r w:rsidR="00D620C8">
        <w:rPr>
          <w:rFonts w:eastAsiaTheme="minorHAnsi" w:cs="IdealSans-Light"/>
          <w:szCs w:val="21"/>
          <w:lang w:val="en-NZ"/>
        </w:rPr>
        <w:t>FSM</w:t>
      </w:r>
      <w:r w:rsidRPr="00F42B66">
        <w:rPr>
          <w:rFonts w:eastAsiaTheme="minorHAnsi" w:cs="IdealSans-Light"/>
          <w:szCs w:val="21"/>
          <w:lang w:val="en-NZ"/>
        </w:rPr>
        <w:t xml:space="preserve"> and </w:t>
      </w:r>
      <w:r w:rsidR="00D620C8">
        <w:rPr>
          <w:rFonts w:eastAsiaTheme="minorHAnsi" w:cs="IdealSans-Light"/>
          <w:szCs w:val="21"/>
          <w:lang w:val="en-NZ"/>
        </w:rPr>
        <w:t>RMI</w:t>
      </w:r>
      <w:r w:rsidRPr="00F42B66">
        <w:rPr>
          <w:rFonts w:eastAsiaTheme="minorHAnsi" w:cs="IdealSans-Light"/>
          <w:szCs w:val="21"/>
          <w:lang w:val="en-NZ"/>
        </w:rPr>
        <w:t>) are geographically isolated atolls with small and dispersed populations, and accordingly face major challenges to private sector development, trade and economic growth. While the governments of some of these smaller states are likely to remain reliant on development assistance, improving the business</w:t>
      </w:r>
      <w:r w:rsidR="00737052">
        <w:rPr>
          <w:rFonts w:eastAsiaTheme="minorHAnsi" w:cs="IdealSans-Light"/>
          <w:szCs w:val="21"/>
          <w:lang w:val="en-NZ"/>
        </w:rPr>
        <w:t>-</w:t>
      </w:r>
      <w:r w:rsidRPr="00F42B66">
        <w:rPr>
          <w:rFonts w:eastAsiaTheme="minorHAnsi" w:cs="IdealSans-Light"/>
          <w:szCs w:val="21"/>
          <w:lang w:val="en-NZ"/>
        </w:rPr>
        <w:t>enabling environments can facilitate private sector ventures that can be viable in small state economies, such as fisheries and domestic services. Greater</w:t>
      </w:r>
      <w:r w:rsidR="00C61611">
        <w:rPr>
          <w:rFonts w:eastAsiaTheme="minorHAnsi" w:cs="IdealSans-Light"/>
          <w:szCs w:val="21"/>
          <w:lang w:val="en-NZ"/>
        </w:rPr>
        <w:t xml:space="preserve"> trading and</w:t>
      </w:r>
      <w:r w:rsidRPr="00F42B66">
        <w:rPr>
          <w:rFonts w:eastAsiaTheme="minorHAnsi" w:cs="IdealSans-Light"/>
          <w:szCs w:val="21"/>
          <w:lang w:val="en-NZ"/>
        </w:rPr>
        <w:t xml:space="preserve"> labour mobility opportunities </w:t>
      </w:r>
      <w:r w:rsidR="00C61611">
        <w:rPr>
          <w:rFonts w:eastAsiaTheme="minorHAnsi" w:cs="IdealSans-Light"/>
          <w:szCs w:val="21"/>
          <w:lang w:val="en-NZ"/>
        </w:rPr>
        <w:t xml:space="preserve">for these </w:t>
      </w:r>
      <w:r w:rsidRPr="00F42B66">
        <w:rPr>
          <w:rFonts w:eastAsiaTheme="minorHAnsi" w:cs="IdealSans-Light"/>
          <w:szCs w:val="21"/>
          <w:lang w:val="en-NZ"/>
        </w:rPr>
        <w:t>countries will increase jobs and incomes.</w:t>
      </w:r>
    </w:p>
    <w:p w:rsidR="00742495" w:rsidRDefault="00F42B66" w:rsidP="00742495">
      <w:pPr>
        <w:pStyle w:val="BodyText"/>
        <w:spacing w:after="0"/>
        <w:jc w:val="both"/>
        <w:rPr>
          <w:i/>
          <w:szCs w:val="21"/>
        </w:rPr>
      </w:pPr>
      <w:r>
        <w:rPr>
          <w:i/>
          <w:szCs w:val="21"/>
        </w:rPr>
        <w:t xml:space="preserve">Australia’s </w:t>
      </w:r>
      <w:r w:rsidR="00E62764">
        <w:rPr>
          <w:i/>
          <w:szCs w:val="21"/>
        </w:rPr>
        <w:t>Pacific R</w:t>
      </w:r>
      <w:r w:rsidR="0029079A" w:rsidRPr="004230DE">
        <w:rPr>
          <w:i/>
          <w:szCs w:val="21"/>
        </w:rPr>
        <w:t>egional aid program</w:t>
      </w:r>
    </w:p>
    <w:p w:rsidR="002C2C4F" w:rsidRPr="00A44A28" w:rsidRDefault="002C2C4F" w:rsidP="002C2C4F">
      <w:pPr>
        <w:pStyle w:val="BodyText"/>
        <w:rPr>
          <w:sz w:val="22"/>
          <w:szCs w:val="22"/>
        </w:rPr>
      </w:pPr>
      <w:r w:rsidRPr="00190550">
        <w:rPr>
          <w:shd w:val="clear" w:color="auto" w:fill="FFFFFF"/>
        </w:rPr>
        <w:t xml:space="preserve">Regionalism </w:t>
      </w:r>
      <w:r w:rsidR="00FF49AD">
        <w:rPr>
          <w:shd w:val="clear" w:color="auto" w:fill="FFFFFF"/>
        </w:rPr>
        <w:t>and regional investments in economic growth, development and security represent</w:t>
      </w:r>
      <w:r w:rsidRPr="00190550">
        <w:rPr>
          <w:shd w:val="clear" w:color="auto" w:fill="FFFFFF"/>
        </w:rPr>
        <w:t xml:space="preserve"> an important part of t</w:t>
      </w:r>
      <w:r>
        <w:rPr>
          <w:shd w:val="clear" w:color="auto" w:fill="FFFFFF"/>
        </w:rPr>
        <w:t>he Pacific’s present and future</w:t>
      </w:r>
      <w:r w:rsidR="00193AB5">
        <w:rPr>
          <w:shd w:val="clear" w:color="auto" w:fill="FFFFFF"/>
        </w:rPr>
        <w:t xml:space="preserve">. </w:t>
      </w:r>
      <w:r w:rsidR="009F6D59" w:rsidRPr="00322F46">
        <w:t xml:space="preserve">The Pacific </w:t>
      </w:r>
      <w:r w:rsidR="00267733">
        <w:t>‘</w:t>
      </w:r>
      <w:r w:rsidR="009F6D59" w:rsidRPr="00A44A28">
        <w:rPr>
          <w:shd w:val="clear" w:color="auto" w:fill="FFFFFF"/>
        </w:rPr>
        <w:t>regional</w:t>
      </w:r>
      <w:r w:rsidR="009F6D59" w:rsidRPr="00322F46">
        <w:t xml:space="preserve"> aid</w:t>
      </w:r>
      <w:r w:rsidR="00144001">
        <w:t xml:space="preserve"> program</w:t>
      </w:r>
      <w:r w:rsidR="00267733">
        <w:t>’</w:t>
      </w:r>
      <w:r w:rsidR="00144001">
        <w:t xml:space="preserve"> is one single program; in totality,</w:t>
      </w:r>
      <w:r w:rsidR="009F6D59" w:rsidRPr="00322F46">
        <w:t xml:space="preserve"> it is close to $200m, the third largest program in the Department</w:t>
      </w:r>
      <w:r w:rsidR="00FF49AD">
        <w:t xml:space="preserve">, although half of that is allocated as ODA to individual countries as outlined in the country </w:t>
      </w:r>
      <w:r w:rsidR="00FF49AD">
        <w:lastRenderedPageBreak/>
        <w:t>reports attached as annexes to this report</w:t>
      </w:r>
      <w:r w:rsidR="00737052">
        <w:t>.</w:t>
      </w:r>
      <w:r w:rsidR="00C61611" w:rsidRPr="00661BE9">
        <w:rPr>
          <w:rStyle w:val="FootnoteReference"/>
          <w:rFonts w:ascii="Franklin Gothic Book" w:hAnsi="Franklin Gothic Book"/>
          <w:sz w:val="21"/>
          <w:szCs w:val="21"/>
          <w:vertAlign w:val="superscript"/>
        </w:rPr>
        <w:footnoteReference w:id="12"/>
      </w:r>
      <w:r w:rsidR="00F63BCF">
        <w:t xml:space="preserve"> </w:t>
      </w:r>
      <w:r w:rsidR="009F6D59" w:rsidRPr="00661BE9">
        <w:rPr>
          <w:shd w:val="clear" w:color="auto" w:fill="FFFFFF"/>
        </w:rPr>
        <w:t>It r</w:t>
      </w:r>
      <w:r w:rsidR="00A44A28" w:rsidRPr="00661BE9">
        <w:rPr>
          <w:shd w:val="clear" w:color="auto" w:fill="FFFFFF"/>
        </w:rPr>
        <w:t>ecognis</w:t>
      </w:r>
      <w:r w:rsidR="00DC45E2" w:rsidRPr="00661BE9">
        <w:rPr>
          <w:shd w:val="clear" w:color="auto" w:fill="FFFFFF"/>
        </w:rPr>
        <w:t>es</w:t>
      </w:r>
      <w:r w:rsidR="00A44A28" w:rsidRPr="00661BE9">
        <w:rPr>
          <w:shd w:val="clear" w:color="auto" w:fill="FFFFFF"/>
        </w:rPr>
        <w:t xml:space="preserve"> that some issues are best approached regionally</w:t>
      </w:r>
      <w:r w:rsidR="009F6D59" w:rsidRPr="00661BE9">
        <w:rPr>
          <w:shd w:val="clear" w:color="auto" w:fill="FFFFFF"/>
        </w:rPr>
        <w:t xml:space="preserve"> in the Pacific and seeks to both support and </w:t>
      </w:r>
      <w:r w:rsidR="00A44A28" w:rsidRPr="00661BE9">
        <w:rPr>
          <w:shd w:val="clear" w:color="auto" w:fill="FFFFFF"/>
        </w:rPr>
        <w:t>complement Australia’s individual bilateral country aid programs across the Pacific</w:t>
      </w:r>
      <w:r w:rsidR="009F6D59">
        <w:t>.</w:t>
      </w:r>
    </w:p>
    <w:p w:rsidR="002C2C4F" w:rsidRPr="00322F46" w:rsidRDefault="002C2C4F" w:rsidP="002C2C4F">
      <w:pPr>
        <w:pStyle w:val="BodyText"/>
      </w:pPr>
      <w:r w:rsidRPr="00322F46">
        <w:t>All A</w:t>
      </w:r>
      <w:r w:rsidR="00144001">
        <w:t>ustralia’s regional investments</w:t>
      </w:r>
      <w:r w:rsidR="00193AB5">
        <w:t xml:space="preserve"> </w:t>
      </w:r>
      <w:r w:rsidR="00FF49AD">
        <w:t xml:space="preserve">must </w:t>
      </w:r>
      <w:r w:rsidRPr="00322F46">
        <w:t>adhere to the principle of subsidiarity: where action can be taken most efficiently and effectively at</w:t>
      </w:r>
      <w:r w:rsidR="00767DA5">
        <w:t xml:space="preserve"> local or national levels, the R</w:t>
      </w:r>
      <w:r w:rsidRPr="00322F46">
        <w:t xml:space="preserve">egional </w:t>
      </w:r>
      <w:r w:rsidR="00144001">
        <w:t>program should not have a role.</w:t>
      </w:r>
      <w:r w:rsidRPr="00322F46">
        <w:t xml:space="preserve"> </w:t>
      </w:r>
      <w:r>
        <w:t>There are two types of investments</w:t>
      </w:r>
      <w:r w:rsidR="00737052">
        <w:t xml:space="preserve">: </w:t>
      </w:r>
      <w:r w:rsidRPr="00322F46">
        <w:t xml:space="preserve">Australia’s </w:t>
      </w:r>
      <w:r w:rsidRPr="00322F46">
        <w:rPr>
          <w:b/>
        </w:rPr>
        <w:t>regional</w:t>
      </w:r>
      <w:r w:rsidRPr="00322F46">
        <w:t xml:space="preserve"> investments are designed to support </w:t>
      </w:r>
      <w:r w:rsidR="00144001">
        <w:t>PICs</w:t>
      </w:r>
      <w:r w:rsidRPr="00322F46">
        <w:t xml:space="preserve"> achieve outcomes that can only be achieved through cooperation, pooling of services or integration</w:t>
      </w:r>
      <w:r w:rsidR="00FF49AD">
        <w:t xml:space="preserve"> such as support for </w:t>
      </w:r>
      <w:r w:rsidR="00737052" w:rsidRPr="00737052">
        <w:t xml:space="preserve">Pacific Agreement on Closer Economic Relations (PACER) Plus </w:t>
      </w:r>
      <w:r w:rsidR="00FF49AD">
        <w:t xml:space="preserve"> or the management of the shared oceanic resources</w:t>
      </w:r>
      <w:r w:rsidR="00144001">
        <w:t xml:space="preserve">. </w:t>
      </w:r>
      <w:r w:rsidRPr="00322F46">
        <w:rPr>
          <w:b/>
        </w:rPr>
        <w:t>Multi-country programs</w:t>
      </w:r>
      <w:r>
        <w:t>, on the other hand</w:t>
      </w:r>
      <w:r w:rsidR="00737052">
        <w:t>,</w:t>
      </w:r>
      <w:r>
        <w:t xml:space="preserve"> are</w:t>
      </w:r>
      <w:r w:rsidRPr="00322F46">
        <w:t xml:space="preserve"> designed </w:t>
      </w:r>
      <w:r>
        <w:t xml:space="preserve">specifically </w:t>
      </w:r>
      <w:r w:rsidRPr="00322F46">
        <w:t>to provide outcomes for individual countries through approaches that</w:t>
      </w:r>
      <w:r w:rsidR="00FF49AD">
        <w:t>, for various reasons,</w:t>
      </w:r>
      <w:r w:rsidRPr="00322F46">
        <w:t xml:space="preserve"> are more efficiently and effectively implemented on a regional rather than bilateral basis</w:t>
      </w:r>
      <w:r w:rsidR="00FF49AD">
        <w:t>, such as the Australia Pacific Technical College</w:t>
      </w:r>
      <w:r w:rsidRPr="00322F46">
        <w:t>.</w:t>
      </w:r>
    </w:p>
    <w:p w:rsidR="000D733F" w:rsidRPr="009E38C1" w:rsidRDefault="000D733F" w:rsidP="000D733F">
      <w:pPr>
        <w:pStyle w:val="Heading2"/>
        <w:rPr>
          <w:sz w:val="28"/>
        </w:rPr>
      </w:pPr>
      <w:r w:rsidRPr="009E38C1">
        <w:rPr>
          <w:sz w:val="28"/>
        </w:rPr>
        <w:t>Expenditure</w:t>
      </w:r>
    </w:p>
    <w:p w:rsidR="000D733F" w:rsidRPr="00156328" w:rsidRDefault="000D733F" w:rsidP="00156328">
      <w:pPr>
        <w:pStyle w:val="Caption"/>
      </w:pPr>
      <w:bookmarkStart w:id="2" w:name="_Toc373853206"/>
      <w:r w:rsidRPr="00156328">
        <w:t xml:space="preserve">Table </w:t>
      </w:r>
      <w:r w:rsidR="0060091A">
        <w:fldChar w:fldCharType="begin"/>
      </w:r>
      <w:r w:rsidR="0060091A">
        <w:instrText xml:space="preserve"> SEQ Table \* ARABIC </w:instrText>
      </w:r>
      <w:r w:rsidR="0060091A">
        <w:fldChar w:fldCharType="separate"/>
      </w:r>
      <w:r w:rsidR="0069408A" w:rsidRPr="00156328">
        <w:rPr>
          <w:noProof/>
        </w:rPr>
        <w:t>1</w:t>
      </w:r>
      <w:r w:rsidR="0060091A">
        <w:rPr>
          <w:noProof/>
        </w:rPr>
        <w:fldChar w:fldCharType="end"/>
      </w:r>
      <w:r w:rsidRPr="00156328">
        <w:t xml:space="preserve"> Expenditure in FY 2013-14</w:t>
      </w:r>
    </w:p>
    <w:tbl>
      <w:tblPr>
        <w:tblpPr w:leftFromText="180" w:rightFromText="180" w:vertAnchor="text"/>
        <w:tblW w:w="5000" w:type="pct"/>
        <w:tblCellSpacing w:w="15" w:type="dxa"/>
        <w:tblBorders>
          <w:top w:val="single" w:sz="12" w:space="0" w:color="000000"/>
          <w:bottom w:val="single" w:sz="12" w:space="0" w:color="000000"/>
        </w:tblBorders>
        <w:tblCellMar>
          <w:left w:w="0" w:type="dxa"/>
          <w:right w:w="0" w:type="dxa"/>
        </w:tblCellMar>
        <w:tblLook w:val="04A0" w:firstRow="1" w:lastRow="0" w:firstColumn="1" w:lastColumn="0" w:noHBand="0" w:noVBand="1"/>
      </w:tblPr>
      <w:tblGrid>
        <w:gridCol w:w="6252"/>
        <w:gridCol w:w="1020"/>
        <w:gridCol w:w="1509"/>
      </w:tblGrid>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Heading1"/>
            </w:pPr>
            <w:r w:rsidRPr="00156328">
              <w:rPr>
                <w:bCs/>
              </w:rPr>
              <w:t>Sector</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Heading1"/>
            </w:pPr>
            <w:r w:rsidRPr="00156328">
              <w:rPr>
                <w:bCs/>
              </w:rPr>
              <w:t>A$ million</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737052" w:rsidP="00CA7A13">
            <w:pPr>
              <w:pStyle w:val="TableHeading1"/>
            </w:pPr>
            <w:r>
              <w:rPr>
                <w:bCs/>
              </w:rPr>
              <w:t>per cent</w:t>
            </w:r>
            <w:r w:rsidR="00156328" w:rsidRPr="00156328">
              <w:rPr>
                <w:bCs/>
              </w:rPr>
              <w:t xml:space="preserve"> of program</w:t>
            </w:r>
          </w:p>
        </w:tc>
      </w:tr>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Default="00156328" w:rsidP="006B5220">
            <w:pPr>
              <w:pStyle w:val="TableTextEntries"/>
              <w:rPr>
                <w:b/>
                <w:bCs/>
              </w:rPr>
            </w:pPr>
            <w:r>
              <w:rPr>
                <w:i/>
                <w:iCs w:val="0"/>
              </w:rPr>
              <w:t>Infrastructure, trade facilitation and international competitiveness</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19.15</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11</w:t>
            </w:r>
            <w:r w:rsidR="00C01471">
              <w:rPr>
                <w:bCs/>
              </w:rPr>
              <w:t xml:space="preserve"> </w:t>
            </w:r>
            <w:r w:rsidR="00737052">
              <w:rPr>
                <w:bCs/>
              </w:rPr>
              <w:t>per</w:t>
            </w:r>
            <w:r w:rsidR="00C01471">
              <w:rPr>
                <w:bCs/>
              </w:rPr>
              <w:t xml:space="preserve"> </w:t>
            </w:r>
            <w:r w:rsidR="00737052">
              <w:rPr>
                <w:bCs/>
              </w:rPr>
              <w:t>cent</w:t>
            </w:r>
          </w:p>
        </w:tc>
      </w:tr>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Default="00156328" w:rsidP="006B5220">
            <w:pPr>
              <w:pStyle w:val="TableTextEntries"/>
              <w:rPr>
                <w:b/>
                <w:bCs/>
              </w:rPr>
            </w:pPr>
            <w:r>
              <w:rPr>
                <w:i/>
                <w:iCs w:val="0"/>
              </w:rPr>
              <w:t>Agriculture, fisheries and water</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6.96</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4</w:t>
            </w:r>
            <w:r w:rsidR="00C01471">
              <w:rPr>
                <w:bCs/>
              </w:rPr>
              <w:t xml:space="preserve"> per </w:t>
            </w:r>
            <w:r w:rsidR="00737052">
              <w:rPr>
                <w:bCs/>
              </w:rPr>
              <w:t>cent</w:t>
            </w:r>
          </w:p>
        </w:tc>
      </w:tr>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Default="00156328" w:rsidP="006B5220">
            <w:pPr>
              <w:pStyle w:val="TableTextEntries"/>
              <w:rPr>
                <w:b/>
                <w:bCs/>
              </w:rPr>
            </w:pPr>
            <w:r>
              <w:rPr>
                <w:i/>
                <w:iCs w:val="0"/>
              </w:rPr>
              <w:t>Effective governance: policies, institutions and functioning economies</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55.71</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32</w:t>
            </w:r>
            <w:r w:rsidR="00C01471">
              <w:rPr>
                <w:bCs/>
              </w:rPr>
              <w:t xml:space="preserve"> per </w:t>
            </w:r>
            <w:r w:rsidR="00737052">
              <w:rPr>
                <w:bCs/>
              </w:rPr>
              <w:t>cent</w:t>
            </w:r>
          </w:p>
        </w:tc>
      </w:tr>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Default="00156328" w:rsidP="006B5220">
            <w:pPr>
              <w:pStyle w:val="TableTextEntries"/>
              <w:rPr>
                <w:b/>
                <w:bCs/>
              </w:rPr>
            </w:pPr>
            <w:r>
              <w:rPr>
                <w:i/>
                <w:iCs w:val="0"/>
              </w:rPr>
              <w:t>Education and health</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71.37</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41</w:t>
            </w:r>
            <w:r w:rsidR="00C01471">
              <w:rPr>
                <w:bCs/>
              </w:rPr>
              <w:t xml:space="preserve"> per </w:t>
            </w:r>
            <w:r w:rsidR="00737052">
              <w:rPr>
                <w:bCs/>
              </w:rPr>
              <w:t>cent</w:t>
            </w:r>
          </w:p>
        </w:tc>
      </w:tr>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Default="00156328" w:rsidP="006B5220">
            <w:pPr>
              <w:pStyle w:val="TableTextEntries"/>
              <w:rPr>
                <w:b/>
                <w:bCs/>
              </w:rPr>
            </w:pPr>
            <w:r>
              <w:rPr>
                <w:i/>
                <w:iCs w:val="0"/>
              </w:rPr>
              <w:t>Building resilience: humanitarian assistance, disaster risk reduction and social protection</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13.93</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8</w:t>
            </w:r>
            <w:r w:rsidR="00C01471">
              <w:rPr>
                <w:bCs/>
              </w:rPr>
              <w:t xml:space="preserve"> per </w:t>
            </w:r>
            <w:r w:rsidR="00737052">
              <w:rPr>
                <w:bCs/>
              </w:rPr>
              <w:t>cent</w:t>
            </w:r>
          </w:p>
        </w:tc>
      </w:tr>
      <w:tr w:rsidR="00156328" w:rsidTr="00156328">
        <w:trPr>
          <w:tblHeader/>
          <w:tblCellSpacing w:w="15" w:type="dxa"/>
        </w:trPr>
        <w:tc>
          <w:tcPr>
            <w:tcW w:w="6211" w:type="dxa"/>
            <w:tcBorders>
              <w:top w:val="nil"/>
              <w:left w:val="nil"/>
              <w:bottom w:val="nil"/>
              <w:right w:val="nil"/>
            </w:tcBorders>
            <w:tcMar>
              <w:top w:w="0" w:type="dxa"/>
              <w:left w:w="108" w:type="dxa"/>
              <w:bottom w:w="0" w:type="dxa"/>
              <w:right w:w="108" w:type="dxa"/>
            </w:tcMar>
            <w:hideMark/>
          </w:tcPr>
          <w:p w:rsidR="00156328" w:rsidRDefault="00156328" w:rsidP="006B5220">
            <w:pPr>
              <w:pStyle w:val="TableTextEntries"/>
              <w:rPr>
                <w:b/>
                <w:bCs/>
              </w:rPr>
            </w:pPr>
            <w:r>
              <w:rPr>
                <w:i/>
                <w:iCs w:val="0"/>
              </w:rPr>
              <w:t>Gender equality and empowering women and girls</w:t>
            </w:r>
          </w:p>
        </w:tc>
        <w:tc>
          <w:tcPr>
            <w:tcW w:w="990"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6.96</w:t>
            </w:r>
          </w:p>
        </w:tc>
        <w:tc>
          <w:tcPr>
            <w:tcW w:w="1464" w:type="dxa"/>
            <w:tcBorders>
              <w:top w:val="nil"/>
              <w:left w:val="nil"/>
              <w:bottom w:val="nil"/>
              <w:right w:val="nil"/>
            </w:tcBorders>
            <w:tcMar>
              <w:top w:w="0" w:type="dxa"/>
              <w:left w:w="108" w:type="dxa"/>
              <w:bottom w:w="0" w:type="dxa"/>
              <w:right w:w="108" w:type="dxa"/>
            </w:tcMar>
            <w:hideMark/>
          </w:tcPr>
          <w:p w:rsidR="00156328" w:rsidRPr="00156328" w:rsidRDefault="00156328" w:rsidP="006B5220">
            <w:pPr>
              <w:pStyle w:val="TableTextEntries"/>
              <w:rPr>
                <w:bCs/>
              </w:rPr>
            </w:pPr>
            <w:r w:rsidRPr="00156328">
              <w:rPr>
                <w:bCs/>
              </w:rPr>
              <w:t>4</w:t>
            </w:r>
            <w:r w:rsidR="00C01471">
              <w:rPr>
                <w:bCs/>
              </w:rPr>
              <w:t xml:space="preserve"> per </w:t>
            </w:r>
            <w:r w:rsidR="00737052">
              <w:rPr>
                <w:bCs/>
              </w:rPr>
              <w:t>cent</w:t>
            </w:r>
          </w:p>
        </w:tc>
      </w:tr>
    </w:tbl>
    <w:p w:rsidR="000D733F" w:rsidRDefault="000D733F" w:rsidP="000D733F">
      <w:pPr>
        <w:pStyle w:val="Heading3"/>
        <w:rPr>
          <w:sz w:val="32"/>
          <w:szCs w:val="32"/>
        </w:rPr>
      </w:pPr>
      <w:r w:rsidRPr="009E38C1">
        <w:rPr>
          <w:b w:val="0"/>
          <w:color w:val="007FAD"/>
          <w:sz w:val="28"/>
          <w:szCs w:val="28"/>
          <w:lang w:eastAsia="en-AU"/>
        </w:rPr>
        <w:t>Progress towards objectives</w:t>
      </w:r>
      <w:r w:rsidR="00156328">
        <w:rPr>
          <w:rStyle w:val="FootnoteReference"/>
        </w:rPr>
        <w:footnoteReference w:id="13"/>
      </w:r>
    </w:p>
    <w:p w:rsidR="000D733F" w:rsidRDefault="000D733F" w:rsidP="00156328">
      <w:pPr>
        <w:pStyle w:val="Caption"/>
      </w:pPr>
      <w:r>
        <w:t xml:space="preserve">Table </w:t>
      </w:r>
      <w:r w:rsidR="0060091A">
        <w:fldChar w:fldCharType="begin"/>
      </w:r>
      <w:r w:rsidR="0060091A">
        <w:instrText xml:space="preserve"> SEQ Table \* ARABIC </w:instrText>
      </w:r>
      <w:r w:rsidR="0060091A">
        <w:fldChar w:fldCharType="separate"/>
      </w:r>
      <w:r w:rsidR="0069408A">
        <w:rPr>
          <w:noProof/>
        </w:rPr>
        <w:t>2</w:t>
      </w:r>
      <w:r w:rsidR="0060091A">
        <w:rPr>
          <w:noProof/>
        </w:rPr>
        <w:fldChar w:fldCharType="end"/>
      </w:r>
      <w:r>
        <w:t xml:space="preserve"> Rating of the program's progress towards Australia’s </w:t>
      </w:r>
      <w:r w:rsidR="00D206B3">
        <w:t xml:space="preserve">aid </w:t>
      </w:r>
      <w:r>
        <w:t>objectives</w:t>
      </w:r>
    </w:p>
    <w:tbl>
      <w:tblPr>
        <w:tblStyle w:val="APPR"/>
        <w:tblW w:w="4827" w:type="pct"/>
        <w:tblLook w:val="0000" w:firstRow="0" w:lastRow="0" w:firstColumn="0" w:lastColumn="0" w:noHBand="0" w:noVBand="0"/>
      </w:tblPr>
      <w:tblGrid>
        <w:gridCol w:w="5894"/>
        <w:gridCol w:w="1077"/>
        <w:gridCol w:w="425"/>
        <w:gridCol w:w="1077"/>
      </w:tblGrid>
      <w:tr w:rsidR="0044711C" w:rsidRPr="006222EA" w:rsidTr="00744C69">
        <w:trPr>
          <w:cnfStyle w:val="000000010000" w:firstRow="0" w:lastRow="0" w:firstColumn="0" w:lastColumn="0" w:oddVBand="0" w:evenVBand="0" w:oddHBand="0" w:evenHBand="1" w:firstRowFirstColumn="0" w:firstRowLastColumn="0" w:lastRowFirstColumn="0" w:lastRowLastColumn="0"/>
          <w:trHeight w:val="444"/>
        </w:trPr>
        <w:tc>
          <w:tcPr>
            <w:tcW w:w="5852" w:type="dxa"/>
          </w:tcPr>
          <w:p w:rsidR="0044711C" w:rsidRPr="006222EA" w:rsidRDefault="0044711C" w:rsidP="002D5067">
            <w:pPr>
              <w:pStyle w:val="TableTextColumnHeading"/>
              <w:rPr>
                <w:rFonts w:ascii="Franklin Gothic Book" w:hAnsi="Franklin Gothic Book"/>
              </w:rPr>
            </w:pPr>
            <w:r w:rsidRPr="006222EA">
              <w:rPr>
                <w:rFonts w:ascii="Franklin Gothic Book" w:hAnsi="Franklin Gothic Book"/>
                <w:noProof/>
                <w:lang w:eastAsia="en-AU"/>
              </w:rPr>
              <w:drawing>
                <wp:anchor distT="0" distB="0" distL="114300" distR="114300" simplePos="0" relativeHeight="251677696" behindDoc="0" locked="0" layoutInCell="1" allowOverlap="1" wp14:anchorId="7B8D3142" wp14:editId="72A79DFF">
                  <wp:simplePos x="0" y="0"/>
                  <wp:positionH relativeFrom="column">
                    <wp:posOffset>0</wp:posOffset>
                  </wp:positionH>
                  <wp:positionV relativeFrom="paragraph">
                    <wp:posOffset>0</wp:posOffset>
                  </wp:positionV>
                  <wp:extent cx="1857375" cy="228600"/>
                  <wp:effectExtent l="0" t="0" r="9525" b="0"/>
                  <wp:wrapNone/>
                  <wp:docPr id="9" name="Picture 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2EA">
              <w:rPr>
                <w:rFonts w:ascii="Franklin Gothic Book" w:hAnsi="Franklin Gothic Book"/>
              </w:rPr>
              <w:t>Sector</w:t>
            </w:r>
          </w:p>
        </w:tc>
        <w:tc>
          <w:tcPr>
            <w:tcW w:w="1049" w:type="dxa"/>
          </w:tcPr>
          <w:p w:rsidR="0044711C" w:rsidRPr="006222EA" w:rsidRDefault="0044711C" w:rsidP="0044711C">
            <w:pPr>
              <w:pStyle w:val="TableTextColumnHeading"/>
              <w:rPr>
                <w:rFonts w:ascii="Franklin Gothic Book" w:hAnsi="Franklin Gothic Book"/>
              </w:rPr>
            </w:pPr>
            <w:r>
              <w:rPr>
                <w:rFonts w:ascii="Franklin Gothic Book" w:hAnsi="Franklin Gothic Book"/>
              </w:rPr>
              <w:t>Current</w:t>
            </w:r>
            <w:r w:rsidRPr="006222EA">
              <w:rPr>
                <w:rFonts w:ascii="Franklin Gothic Book" w:hAnsi="Franklin Gothic Book"/>
              </w:rPr>
              <w:t xml:space="preserve"> </w:t>
            </w:r>
            <w:r>
              <w:rPr>
                <w:rFonts w:ascii="Franklin Gothic Book" w:hAnsi="Franklin Gothic Book"/>
              </w:rPr>
              <w:t>r</w:t>
            </w:r>
            <w:r w:rsidRPr="006222EA">
              <w:rPr>
                <w:rFonts w:ascii="Franklin Gothic Book" w:hAnsi="Franklin Gothic Book"/>
              </w:rPr>
              <w:t>ating</w:t>
            </w:r>
          </w:p>
        </w:tc>
        <w:tc>
          <w:tcPr>
            <w:tcW w:w="397" w:type="dxa"/>
            <w:shd w:val="clear" w:color="auto" w:fill="auto"/>
          </w:tcPr>
          <w:p w:rsidR="0044711C" w:rsidRPr="006222EA" w:rsidRDefault="0044711C" w:rsidP="002D5067">
            <w:pPr>
              <w:pStyle w:val="TableTextColumnHeading"/>
              <w:rPr>
                <w:rFonts w:ascii="Franklin Gothic Book" w:hAnsi="Franklin Gothic Book"/>
              </w:rPr>
            </w:pPr>
          </w:p>
        </w:tc>
        <w:tc>
          <w:tcPr>
            <w:tcW w:w="1035" w:type="dxa"/>
          </w:tcPr>
          <w:p w:rsidR="0044711C" w:rsidRPr="006222EA" w:rsidRDefault="0044711C" w:rsidP="002D5067">
            <w:pPr>
              <w:pStyle w:val="TableTextColumnHeading"/>
              <w:rPr>
                <w:rFonts w:ascii="Franklin Gothic Book" w:hAnsi="Franklin Gothic Book"/>
              </w:rPr>
            </w:pPr>
            <w:r>
              <w:rPr>
                <w:rFonts w:ascii="Franklin Gothic Book" w:hAnsi="Franklin Gothic Book"/>
              </w:rPr>
              <w:t>Previous rating</w:t>
            </w:r>
          </w:p>
        </w:tc>
      </w:tr>
      <w:tr w:rsidR="000C7777" w:rsidRPr="006222EA" w:rsidTr="000C7777">
        <w:trPr>
          <w:cnfStyle w:val="000000010000" w:firstRow="0" w:lastRow="0" w:firstColumn="0" w:lastColumn="0" w:oddVBand="0" w:evenVBand="0" w:oddHBand="0" w:evenHBand="1" w:firstRowFirstColumn="0" w:firstRowLastColumn="0" w:lastRowFirstColumn="0" w:lastRowLastColumn="0"/>
        </w:trPr>
        <w:tc>
          <w:tcPr>
            <w:tcW w:w="5852" w:type="dxa"/>
            <w:shd w:val="clear" w:color="auto" w:fill="auto"/>
          </w:tcPr>
          <w:p w:rsidR="000C7777" w:rsidRPr="00744C69" w:rsidRDefault="000C7777" w:rsidP="00254568">
            <w:pPr>
              <w:pStyle w:val="TableTextEntries"/>
              <w:rPr>
                <w:b/>
                <w:i/>
              </w:rPr>
            </w:pPr>
            <w:r w:rsidRPr="00744C69">
              <w:rPr>
                <w:b/>
                <w:i/>
              </w:rPr>
              <w:t>Infrastructure, trade facilitation and international competitiveness</w:t>
            </w:r>
          </w:p>
        </w:tc>
        <w:tc>
          <w:tcPr>
            <w:tcW w:w="1049" w:type="dxa"/>
            <w:shd w:val="clear" w:color="auto" w:fill="auto"/>
          </w:tcPr>
          <w:p w:rsidR="000C7777" w:rsidRDefault="000C7777" w:rsidP="002D5067">
            <w:pPr>
              <w:pStyle w:val="TableTextEntries"/>
              <w:jc w:val="center"/>
            </w:pPr>
          </w:p>
        </w:tc>
        <w:tc>
          <w:tcPr>
            <w:tcW w:w="397" w:type="dxa"/>
            <w:shd w:val="clear" w:color="auto" w:fill="auto"/>
          </w:tcPr>
          <w:p w:rsidR="000C7777" w:rsidRPr="0042762E" w:rsidRDefault="000C7777" w:rsidP="002D5067">
            <w:pPr>
              <w:pStyle w:val="TableTextEntries"/>
              <w:jc w:val="center"/>
            </w:pPr>
          </w:p>
        </w:tc>
        <w:tc>
          <w:tcPr>
            <w:tcW w:w="1035" w:type="dxa"/>
            <w:shd w:val="clear" w:color="auto" w:fill="auto"/>
            <w:noWrap/>
          </w:tcPr>
          <w:p w:rsidR="000C7777" w:rsidRPr="0042762E" w:rsidRDefault="000C7777" w:rsidP="002D5067">
            <w:pPr>
              <w:pStyle w:val="TableTextEntries"/>
              <w:jc w:val="center"/>
            </w:pPr>
          </w:p>
        </w:tc>
      </w:tr>
      <w:tr w:rsidR="000C7777" w:rsidRPr="0042762E" w:rsidTr="00156328">
        <w:trPr>
          <w:cnfStyle w:val="000000010000" w:firstRow="0" w:lastRow="0" w:firstColumn="0" w:lastColumn="0" w:oddVBand="0" w:evenVBand="0" w:oddHBand="0" w:evenHBand="1" w:firstRowFirstColumn="0" w:firstRowLastColumn="0" w:lastRowFirstColumn="0" w:lastRowLastColumn="0"/>
        </w:trPr>
        <w:tc>
          <w:tcPr>
            <w:tcW w:w="5852" w:type="dxa"/>
          </w:tcPr>
          <w:p w:rsidR="000C7777" w:rsidRPr="0042762E" w:rsidRDefault="000C7777" w:rsidP="00254568">
            <w:pPr>
              <w:pStyle w:val="TableTextEntries"/>
            </w:pPr>
            <w:r w:rsidRPr="0042762E">
              <w:t>Infrastructure</w:t>
            </w:r>
          </w:p>
        </w:tc>
        <w:tc>
          <w:tcPr>
            <w:tcW w:w="1049" w:type="dxa"/>
            <w:shd w:val="clear" w:color="auto" w:fill="92D050"/>
          </w:tcPr>
          <w:p w:rsidR="000C7777" w:rsidRPr="0042762E" w:rsidRDefault="00156328" w:rsidP="00254568">
            <w:pPr>
              <w:pStyle w:val="TableTextEntries"/>
              <w:jc w:val="center"/>
            </w:pPr>
            <w:r w:rsidRPr="0042762E">
              <w:t>Green</w:t>
            </w:r>
          </w:p>
        </w:tc>
        <w:tc>
          <w:tcPr>
            <w:tcW w:w="397" w:type="dxa"/>
            <w:shd w:val="clear" w:color="auto" w:fill="auto"/>
          </w:tcPr>
          <w:p w:rsidR="000C7777" w:rsidRPr="0042762E" w:rsidRDefault="000C7777" w:rsidP="00254568">
            <w:pPr>
              <w:pStyle w:val="TableTextEntries"/>
              <w:jc w:val="center"/>
            </w:pPr>
          </w:p>
        </w:tc>
        <w:tc>
          <w:tcPr>
            <w:tcW w:w="1035" w:type="dxa"/>
            <w:shd w:val="clear" w:color="auto" w:fill="92D050"/>
            <w:noWrap/>
          </w:tcPr>
          <w:p w:rsidR="000C7777" w:rsidRPr="0042762E" w:rsidRDefault="000C7777" w:rsidP="00254568">
            <w:pPr>
              <w:pStyle w:val="TableTextEntries"/>
              <w:jc w:val="center"/>
            </w:pPr>
            <w:r w:rsidRPr="0042762E">
              <w:t>Green</w:t>
            </w:r>
          </w:p>
        </w:tc>
      </w:tr>
      <w:tr w:rsidR="000C7777" w:rsidRPr="0042762E" w:rsidTr="00156328">
        <w:trPr>
          <w:cnfStyle w:val="000000010000" w:firstRow="0" w:lastRow="0" w:firstColumn="0" w:lastColumn="0" w:oddVBand="0" w:evenVBand="0" w:oddHBand="0" w:evenHBand="1" w:firstRowFirstColumn="0" w:firstRowLastColumn="0" w:lastRowFirstColumn="0" w:lastRowLastColumn="0"/>
        </w:trPr>
        <w:tc>
          <w:tcPr>
            <w:tcW w:w="5852" w:type="dxa"/>
          </w:tcPr>
          <w:p w:rsidR="000C7777" w:rsidRPr="0042762E" w:rsidRDefault="000C7777" w:rsidP="00254568">
            <w:pPr>
              <w:pStyle w:val="TableTextEntries"/>
            </w:pPr>
            <w:r w:rsidRPr="0042762E">
              <w:t>Sustainable economic development</w:t>
            </w:r>
          </w:p>
        </w:tc>
        <w:tc>
          <w:tcPr>
            <w:tcW w:w="1049" w:type="dxa"/>
            <w:shd w:val="clear" w:color="auto" w:fill="92D050"/>
          </w:tcPr>
          <w:p w:rsidR="000C7777" w:rsidRPr="0042762E" w:rsidRDefault="00156328" w:rsidP="00254568">
            <w:pPr>
              <w:pStyle w:val="TableTextEntries"/>
              <w:jc w:val="center"/>
            </w:pPr>
            <w:r w:rsidRPr="0042762E">
              <w:t>Green</w:t>
            </w:r>
          </w:p>
        </w:tc>
        <w:tc>
          <w:tcPr>
            <w:tcW w:w="397" w:type="dxa"/>
            <w:shd w:val="clear" w:color="auto" w:fill="auto"/>
          </w:tcPr>
          <w:p w:rsidR="000C7777" w:rsidRPr="0042762E" w:rsidRDefault="000C7777" w:rsidP="00254568">
            <w:pPr>
              <w:pStyle w:val="TableTextEntries"/>
              <w:jc w:val="center"/>
            </w:pPr>
          </w:p>
        </w:tc>
        <w:tc>
          <w:tcPr>
            <w:tcW w:w="1035" w:type="dxa"/>
            <w:shd w:val="clear" w:color="auto" w:fill="F79646" w:themeFill="accent6"/>
            <w:noWrap/>
          </w:tcPr>
          <w:p w:rsidR="000C7777" w:rsidRPr="0042762E" w:rsidRDefault="000C7777" w:rsidP="00254568">
            <w:pPr>
              <w:pStyle w:val="TableTextEntries"/>
              <w:jc w:val="center"/>
            </w:pPr>
            <w:r w:rsidRPr="0042762E">
              <w:t>Amber</w:t>
            </w:r>
          </w:p>
        </w:tc>
      </w:tr>
      <w:tr w:rsidR="000C7777" w:rsidRPr="006222EA" w:rsidTr="000C7777">
        <w:trPr>
          <w:cnfStyle w:val="000000010000" w:firstRow="0" w:lastRow="0" w:firstColumn="0" w:lastColumn="0" w:oddVBand="0" w:evenVBand="0" w:oddHBand="0" w:evenHBand="1" w:firstRowFirstColumn="0" w:firstRowLastColumn="0" w:lastRowFirstColumn="0" w:lastRowLastColumn="0"/>
        </w:trPr>
        <w:tc>
          <w:tcPr>
            <w:tcW w:w="5852" w:type="dxa"/>
          </w:tcPr>
          <w:p w:rsidR="000C7777" w:rsidRPr="00744C69" w:rsidRDefault="000C7777" w:rsidP="002D5067">
            <w:pPr>
              <w:pStyle w:val="TableTextEntries"/>
              <w:rPr>
                <w:b/>
                <w:i/>
              </w:rPr>
            </w:pPr>
            <w:r w:rsidRPr="00744C69">
              <w:rPr>
                <w:b/>
                <w:i/>
              </w:rPr>
              <w:t xml:space="preserve">Agriculture, fisheries and water </w:t>
            </w:r>
          </w:p>
        </w:tc>
        <w:tc>
          <w:tcPr>
            <w:tcW w:w="1049" w:type="dxa"/>
            <w:shd w:val="clear" w:color="auto" w:fill="auto"/>
          </w:tcPr>
          <w:p w:rsidR="000C7777" w:rsidRPr="0042762E" w:rsidRDefault="000C7777" w:rsidP="002D5067">
            <w:pPr>
              <w:pStyle w:val="TableTextEntries"/>
              <w:jc w:val="center"/>
            </w:pPr>
          </w:p>
        </w:tc>
        <w:tc>
          <w:tcPr>
            <w:tcW w:w="397" w:type="dxa"/>
            <w:shd w:val="clear" w:color="auto" w:fill="auto"/>
          </w:tcPr>
          <w:p w:rsidR="000C7777" w:rsidRPr="0042762E" w:rsidRDefault="000C7777" w:rsidP="002D5067">
            <w:pPr>
              <w:pStyle w:val="TableTextEntries"/>
              <w:jc w:val="center"/>
            </w:pPr>
          </w:p>
        </w:tc>
        <w:tc>
          <w:tcPr>
            <w:tcW w:w="1035" w:type="dxa"/>
            <w:shd w:val="clear" w:color="auto" w:fill="auto"/>
            <w:noWrap/>
          </w:tcPr>
          <w:p w:rsidR="000C7777" w:rsidRPr="0042762E" w:rsidRDefault="000C7777" w:rsidP="002D5067">
            <w:pPr>
              <w:pStyle w:val="TableTextEntries"/>
              <w:jc w:val="center"/>
            </w:pPr>
          </w:p>
        </w:tc>
      </w:tr>
      <w:tr w:rsidR="00C36C11" w:rsidRPr="006222EA" w:rsidTr="00C36C11">
        <w:trPr>
          <w:cnfStyle w:val="000000010000" w:firstRow="0" w:lastRow="0" w:firstColumn="0" w:lastColumn="0" w:oddVBand="0" w:evenVBand="0" w:oddHBand="0" w:evenHBand="1" w:firstRowFirstColumn="0" w:firstRowLastColumn="0" w:lastRowFirstColumn="0" w:lastRowLastColumn="0"/>
        </w:trPr>
        <w:tc>
          <w:tcPr>
            <w:tcW w:w="5852" w:type="dxa"/>
          </w:tcPr>
          <w:p w:rsidR="00C36C11" w:rsidRPr="0042762E" w:rsidRDefault="00C36C11" w:rsidP="002D5067">
            <w:pPr>
              <w:pStyle w:val="TableTextEntries"/>
            </w:pPr>
            <w:r w:rsidRPr="0042762E">
              <w:t>Fisheries</w:t>
            </w:r>
          </w:p>
        </w:tc>
        <w:tc>
          <w:tcPr>
            <w:tcW w:w="1049" w:type="dxa"/>
            <w:shd w:val="clear" w:color="auto" w:fill="92D050"/>
          </w:tcPr>
          <w:p w:rsidR="00C36C11" w:rsidRPr="0042762E" w:rsidRDefault="00C36C11" w:rsidP="004217CD">
            <w:pPr>
              <w:pStyle w:val="TableTextEntries"/>
              <w:jc w:val="center"/>
            </w:pPr>
            <w:r w:rsidRPr="0042762E">
              <w:t>Green</w:t>
            </w:r>
          </w:p>
        </w:tc>
        <w:tc>
          <w:tcPr>
            <w:tcW w:w="397" w:type="dxa"/>
            <w:shd w:val="clear" w:color="auto" w:fill="auto"/>
          </w:tcPr>
          <w:p w:rsidR="00C36C11" w:rsidRPr="0042762E" w:rsidRDefault="00C36C11" w:rsidP="002D5067">
            <w:pPr>
              <w:pStyle w:val="TableTextEntries"/>
              <w:jc w:val="center"/>
            </w:pPr>
          </w:p>
        </w:tc>
        <w:tc>
          <w:tcPr>
            <w:tcW w:w="1035" w:type="dxa"/>
            <w:shd w:val="clear" w:color="auto" w:fill="92D050"/>
            <w:noWrap/>
          </w:tcPr>
          <w:p w:rsidR="00C36C11" w:rsidRPr="0042762E" w:rsidRDefault="00C36C11" w:rsidP="002D5067">
            <w:pPr>
              <w:pStyle w:val="TableTextEntries"/>
              <w:jc w:val="center"/>
            </w:pPr>
            <w:r w:rsidRPr="0042762E">
              <w:t>Green</w:t>
            </w:r>
          </w:p>
        </w:tc>
      </w:tr>
      <w:tr w:rsidR="00C36C11" w:rsidRPr="0042762E" w:rsidTr="000C7777">
        <w:trPr>
          <w:cnfStyle w:val="000000010000" w:firstRow="0" w:lastRow="0" w:firstColumn="0" w:lastColumn="0" w:oddVBand="0" w:evenVBand="0" w:oddHBand="0" w:evenHBand="1" w:firstRowFirstColumn="0" w:firstRowLastColumn="0" w:lastRowFirstColumn="0" w:lastRowLastColumn="0"/>
        </w:trPr>
        <w:tc>
          <w:tcPr>
            <w:tcW w:w="5852" w:type="dxa"/>
            <w:shd w:val="clear" w:color="auto" w:fill="auto"/>
          </w:tcPr>
          <w:p w:rsidR="00C36C11" w:rsidRPr="00744C69" w:rsidRDefault="00C36C11" w:rsidP="00254568">
            <w:pPr>
              <w:pStyle w:val="TableTextEntries"/>
              <w:rPr>
                <w:b/>
                <w:i/>
              </w:rPr>
            </w:pPr>
            <w:r w:rsidRPr="00744C69">
              <w:rPr>
                <w:b/>
                <w:i/>
              </w:rPr>
              <w:t>Effective governance: policies, institutions and functioning economies</w:t>
            </w:r>
          </w:p>
        </w:tc>
        <w:tc>
          <w:tcPr>
            <w:tcW w:w="1049" w:type="dxa"/>
            <w:shd w:val="clear" w:color="auto" w:fill="auto"/>
          </w:tcPr>
          <w:p w:rsidR="00C36C11" w:rsidRDefault="00C36C11" w:rsidP="00254568">
            <w:pPr>
              <w:pStyle w:val="TableTextEntries"/>
              <w:jc w:val="center"/>
            </w:pPr>
          </w:p>
        </w:tc>
        <w:tc>
          <w:tcPr>
            <w:tcW w:w="397" w:type="dxa"/>
            <w:shd w:val="clear" w:color="auto" w:fill="auto"/>
          </w:tcPr>
          <w:p w:rsidR="00C36C11" w:rsidRPr="0042762E" w:rsidRDefault="00C36C11" w:rsidP="00254568">
            <w:pPr>
              <w:pStyle w:val="TableTextEntries"/>
              <w:jc w:val="center"/>
            </w:pPr>
          </w:p>
        </w:tc>
        <w:tc>
          <w:tcPr>
            <w:tcW w:w="1035" w:type="dxa"/>
            <w:shd w:val="clear" w:color="auto" w:fill="auto"/>
            <w:noWrap/>
          </w:tcPr>
          <w:p w:rsidR="00C36C11" w:rsidRPr="0042762E" w:rsidRDefault="00C36C11" w:rsidP="00254568">
            <w:pPr>
              <w:pStyle w:val="TableTextEntries"/>
              <w:jc w:val="center"/>
            </w:pPr>
          </w:p>
        </w:tc>
      </w:tr>
      <w:tr w:rsidR="00521876" w:rsidRPr="0042762E" w:rsidTr="00521876">
        <w:trPr>
          <w:cnfStyle w:val="000000010000" w:firstRow="0" w:lastRow="0" w:firstColumn="0" w:lastColumn="0" w:oddVBand="0" w:evenVBand="0" w:oddHBand="0" w:evenHBand="1" w:firstRowFirstColumn="0" w:firstRowLastColumn="0" w:lastRowFirstColumn="0" w:lastRowLastColumn="0"/>
        </w:trPr>
        <w:tc>
          <w:tcPr>
            <w:tcW w:w="5852" w:type="dxa"/>
          </w:tcPr>
          <w:p w:rsidR="00521876" w:rsidRPr="0042762E" w:rsidRDefault="00521876" w:rsidP="00254568">
            <w:pPr>
              <w:pStyle w:val="TableTextEntries"/>
            </w:pPr>
            <w:r w:rsidRPr="0042762E">
              <w:lastRenderedPageBreak/>
              <w:t>Pacific regional organisations</w:t>
            </w:r>
          </w:p>
        </w:tc>
        <w:tc>
          <w:tcPr>
            <w:tcW w:w="1049" w:type="dxa"/>
            <w:shd w:val="clear" w:color="auto" w:fill="92D050"/>
          </w:tcPr>
          <w:p w:rsidR="00521876" w:rsidRPr="0042762E" w:rsidRDefault="00521876" w:rsidP="006F2842">
            <w:pPr>
              <w:pStyle w:val="TableTextEntries"/>
              <w:jc w:val="center"/>
            </w:pPr>
            <w:r w:rsidRPr="0042762E">
              <w:t>Green</w:t>
            </w:r>
          </w:p>
        </w:tc>
        <w:tc>
          <w:tcPr>
            <w:tcW w:w="397" w:type="dxa"/>
            <w:shd w:val="clear" w:color="auto" w:fill="auto"/>
          </w:tcPr>
          <w:p w:rsidR="00521876" w:rsidRPr="0042762E" w:rsidRDefault="00521876" w:rsidP="00254568">
            <w:pPr>
              <w:pStyle w:val="TableTextEntries"/>
              <w:jc w:val="center"/>
            </w:pPr>
          </w:p>
        </w:tc>
        <w:tc>
          <w:tcPr>
            <w:tcW w:w="1035" w:type="dxa"/>
            <w:shd w:val="clear" w:color="auto" w:fill="92D050"/>
            <w:noWrap/>
          </w:tcPr>
          <w:p w:rsidR="00521876" w:rsidRPr="0042762E" w:rsidRDefault="00521876" w:rsidP="00254568">
            <w:pPr>
              <w:pStyle w:val="TableTextEntries"/>
              <w:jc w:val="center"/>
            </w:pPr>
            <w:r w:rsidRPr="0042762E">
              <w:t>Green</w:t>
            </w:r>
          </w:p>
        </w:tc>
      </w:tr>
      <w:tr w:rsidR="00521876" w:rsidRPr="006222EA" w:rsidTr="00521876">
        <w:trPr>
          <w:cnfStyle w:val="000000010000" w:firstRow="0" w:lastRow="0" w:firstColumn="0" w:lastColumn="0" w:oddVBand="0" w:evenVBand="0" w:oddHBand="0" w:evenHBand="1" w:firstRowFirstColumn="0" w:firstRowLastColumn="0" w:lastRowFirstColumn="0" w:lastRowLastColumn="0"/>
        </w:trPr>
        <w:tc>
          <w:tcPr>
            <w:tcW w:w="5852" w:type="dxa"/>
          </w:tcPr>
          <w:p w:rsidR="00521876" w:rsidRPr="0042762E" w:rsidRDefault="00521876" w:rsidP="002D5067">
            <w:pPr>
              <w:pStyle w:val="TableTextEntries"/>
            </w:pPr>
            <w:r w:rsidRPr="0042762E">
              <w:t>Governance</w:t>
            </w:r>
          </w:p>
        </w:tc>
        <w:tc>
          <w:tcPr>
            <w:tcW w:w="1049" w:type="dxa"/>
            <w:shd w:val="clear" w:color="auto" w:fill="F79646" w:themeFill="accent6"/>
          </w:tcPr>
          <w:p w:rsidR="00521876" w:rsidRPr="0042762E" w:rsidRDefault="00521876" w:rsidP="006F2842">
            <w:pPr>
              <w:pStyle w:val="TableTextEntries"/>
              <w:jc w:val="center"/>
            </w:pPr>
            <w:r w:rsidRPr="0042762E">
              <w:t>Amber</w:t>
            </w:r>
          </w:p>
        </w:tc>
        <w:tc>
          <w:tcPr>
            <w:tcW w:w="397" w:type="dxa"/>
            <w:shd w:val="clear" w:color="auto" w:fill="auto"/>
          </w:tcPr>
          <w:p w:rsidR="00521876" w:rsidRPr="0042762E" w:rsidRDefault="00521876" w:rsidP="002D5067">
            <w:pPr>
              <w:pStyle w:val="TableTextEntries"/>
              <w:jc w:val="center"/>
            </w:pPr>
          </w:p>
        </w:tc>
        <w:tc>
          <w:tcPr>
            <w:tcW w:w="1035" w:type="dxa"/>
            <w:shd w:val="clear" w:color="auto" w:fill="F79646" w:themeFill="accent6"/>
            <w:noWrap/>
          </w:tcPr>
          <w:p w:rsidR="00521876" w:rsidRPr="0042762E" w:rsidRDefault="00521876" w:rsidP="002D5067">
            <w:pPr>
              <w:pStyle w:val="TableTextEntries"/>
              <w:jc w:val="center"/>
            </w:pPr>
            <w:r w:rsidRPr="0042762E">
              <w:t>Amber</w:t>
            </w:r>
          </w:p>
        </w:tc>
      </w:tr>
      <w:tr w:rsidR="00521876" w:rsidRPr="006222EA" w:rsidTr="00521876">
        <w:trPr>
          <w:cnfStyle w:val="000000010000" w:firstRow="0" w:lastRow="0" w:firstColumn="0" w:lastColumn="0" w:oddVBand="0" w:evenVBand="0" w:oddHBand="0" w:evenHBand="1" w:firstRowFirstColumn="0" w:firstRowLastColumn="0" w:lastRowFirstColumn="0" w:lastRowLastColumn="0"/>
        </w:trPr>
        <w:tc>
          <w:tcPr>
            <w:tcW w:w="5852" w:type="dxa"/>
          </w:tcPr>
          <w:p w:rsidR="00521876" w:rsidRPr="0042762E" w:rsidRDefault="00521876" w:rsidP="002D5067">
            <w:pPr>
              <w:pStyle w:val="TableTextEntries"/>
            </w:pPr>
            <w:r w:rsidRPr="0042762E">
              <w:t>Multilateral</w:t>
            </w:r>
            <w:r>
              <w:t xml:space="preserve"> agencie</w:t>
            </w:r>
            <w:r w:rsidRPr="0042762E">
              <w:t>s</w:t>
            </w:r>
          </w:p>
        </w:tc>
        <w:tc>
          <w:tcPr>
            <w:tcW w:w="1049" w:type="dxa"/>
            <w:shd w:val="clear" w:color="auto" w:fill="F79646" w:themeFill="accent6"/>
          </w:tcPr>
          <w:p w:rsidR="00521876" w:rsidRPr="0042762E" w:rsidRDefault="00521876" w:rsidP="006F2842">
            <w:pPr>
              <w:pStyle w:val="TableTextEntries"/>
              <w:jc w:val="center"/>
            </w:pPr>
            <w:r w:rsidRPr="0042762E">
              <w:t>Amber</w:t>
            </w:r>
          </w:p>
        </w:tc>
        <w:tc>
          <w:tcPr>
            <w:tcW w:w="397" w:type="dxa"/>
            <w:shd w:val="clear" w:color="auto" w:fill="auto"/>
          </w:tcPr>
          <w:p w:rsidR="00521876" w:rsidRPr="0042762E" w:rsidRDefault="00521876" w:rsidP="002D5067">
            <w:pPr>
              <w:pStyle w:val="TableTextEntries"/>
              <w:jc w:val="center"/>
            </w:pPr>
          </w:p>
        </w:tc>
        <w:tc>
          <w:tcPr>
            <w:tcW w:w="1035" w:type="dxa"/>
            <w:shd w:val="clear" w:color="auto" w:fill="F79646" w:themeFill="accent6"/>
            <w:noWrap/>
          </w:tcPr>
          <w:p w:rsidR="00521876" w:rsidRPr="0042762E" w:rsidRDefault="00521876" w:rsidP="002D5067">
            <w:pPr>
              <w:pStyle w:val="TableTextEntries"/>
              <w:jc w:val="center"/>
            </w:pPr>
            <w:r w:rsidRPr="0042762E">
              <w:t>Amber</w:t>
            </w:r>
          </w:p>
        </w:tc>
      </w:tr>
      <w:tr w:rsidR="00521876" w:rsidRPr="0042762E" w:rsidTr="00254568">
        <w:trPr>
          <w:cnfStyle w:val="000000010000" w:firstRow="0" w:lastRow="0" w:firstColumn="0" w:lastColumn="0" w:oddVBand="0" w:evenVBand="0" w:oddHBand="0" w:evenHBand="1" w:firstRowFirstColumn="0" w:firstRowLastColumn="0" w:lastRowFirstColumn="0" w:lastRowLastColumn="0"/>
        </w:trPr>
        <w:tc>
          <w:tcPr>
            <w:tcW w:w="5852" w:type="dxa"/>
            <w:shd w:val="clear" w:color="auto" w:fill="auto"/>
          </w:tcPr>
          <w:p w:rsidR="00521876" w:rsidRPr="00744C69" w:rsidRDefault="00521876" w:rsidP="00254568">
            <w:pPr>
              <w:pStyle w:val="TableTextEntries"/>
              <w:rPr>
                <w:b/>
                <w:i/>
              </w:rPr>
            </w:pPr>
            <w:r>
              <w:rPr>
                <w:b/>
                <w:i/>
              </w:rPr>
              <w:t>Education and health</w:t>
            </w:r>
          </w:p>
        </w:tc>
        <w:tc>
          <w:tcPr>
            <w:tcW w:w="1049" w:type="dxa"/>
            <w:shd w:val="clear" w:color="auto" w:fill="auto"/>
          </w:tcPr>
          <w:p w:rsidR="00521876" w:rsidRPr="0042762E" w:rsidRDefault="00521876" w:rsidP="00254568">
            <w:pPr>
              <w:pStyle w:val="TableTextEntries"/>
              <w:jc w:val="center"/>
            </w:pPr>
          </w:p>
        </w:tc>
        <w:tc>
          <w:tcPr>
            <w:tcW w:w="397" w:type="dxa"/>
            <w:shd w:val="clear" w:color="auto" w:fill="auto"/>
          </w:tcPr>
          <w:p w:rsidR="00521876" w:rsidRPr="0042762E" w:rsidRDefault="00521876" w:rsidP="00254568">
            <w:pPr>
              <w:pStyle w:val="TableTextEntries"/>
              <w:jc w:val="center"/>
            </w:pPr>
          </w:p>
        </w:tc>
        <w:tc>
          <w:tcPr>
            <w:tcW w:w="1035" w:type="dxa"/>
            <w:shd w:val="clear" w:color="auto" w:fill="auto"/>
            <w:noWrap/>
          </w:tcPr>
          <w:p w:rsidR="00521876" w:rsidRPr="0042762E" w:rsidRDefault="00521876" w:rsidP="00254568">
            <w:pPr>
              <w:pStyle w:val="TableTextEntries"/>
              <w:jc w:val="center"/>
            </w:pPr>
          </w:p>
        </w:tc>
      </w:tr>
      <w:tr w:rsidR="00521876" w:rsidRPr="0042762E" w:rsidTr="006753F1">
        <w:trPr>
          <w:cnfStyle w:val="000000010000" w:firstRow="0" w:lastRow="0" w:firstColumn="0" w:lastColumn="0" w:oddVBand="0" w:evenVBand="0" w:oddHBand="0" w:evenHBand="1" w:firstRowFirstColumn="0" w:firstRowLastColumn="0" w:lastRowFirstColumn="0" w:lastRowLastColumn="0"/>
          <w:trHeight w:val="227"/>
        </w:trPr>
        <w:tc>
          <w:tcPr>
            <w:tcW w:w="5852" w:type="dxa"/>
          </w:tcPr>
          <w:p w:rsidR="00521876" w:rsidRPr="0042762E" w:rsidRDefault="00521876" w:rsidP="00254568">
            <w:pPr>
              <w:pStyle w:val="TableTextEntries"/>
            </w:pPr>
            <w:r w:rsidRPr="0042762E">
              <w:t>Health</w:t>
            </w:r>
          </w:p>
        </w:tc>
        <w:tc>
          <w:tcPr>
            <w:tcW w:w="1049" w:type="dxa"/>
            <w:shd w:val="clear" w:color="auto" w:fill="92D050"/>
          </w:tcPr>
          <w:p w:rsidR="00521876" w:rsidRPr="0042762E" w:rsidRDefault="00521876" w:rsidP="00254568">
            <w:pPr>
              <w:pStyle w:val="TableTextEntries"/>
              <w:jc w:val="center"/>
            </w:pPr>
            <w:r>
              <w:t>Green</w:t>
            </w:r>
          </w:p>
        </w:tc>
        <w:tc>
          <w:tcPr>
            <w:tcW w:w="397" w:type="dxa"/>
            <w:shd w:val="clear" w:color="auto" w:fill="auto"/>
          </w:tcPr>
          <w:p w:rsidR="00521876" w:rsidRPr="0042762E" w:rsidRDefault="00521876" w:rsidP="00254568">
            <w:pPr>
              <w:pStyle w:val="TableTextEntries"/>
              <w:jc w:val="center"/>
            </w:pPr>
          </w:p>
        </w:tc>
        <w:tc>
          <w:tcPr>
            <w:tcW w:w="1035" w:type="dxa"/>
            <w:shd w:val="clear" w:color="auto" w:fill="F79646" w:themeFill="accent6"/>
            <w:noWrap/>
          </w:tcPr>
          <w:p w:rsidR="00521876" w:rsidRPr="0042762E" w:rsidRDefault="00521876" w:rsidP="00254568">
            <w:pPr>
              <w:pStyle w:val="TableTextEntries"/>
              <w:jc w:val="center"/>
            </w:pPr>
            <w:r w:rsidRPr="0042762E">
              <w:t>Amber</w:t>
            </w:r>
          </w:p>
        </w:tc>
      </w:tr>
      <w:tr w:rsidR="00521876" w:rsidRPr="0042762E" w:rsidTr="009D7533">
        <w:trPr>
          <w:cnfStyle w:val="000000010000" w:firstRow="0" w:lastRow="0" w:firstColumn="0" w:lastColumn="0" w:oddVBand="0" w:evenVBand="0" w:oddHBand="0" w:evenHBand="1" w:firstRowFirstColumn="0" w:firstRowLastColumn="0" w:lastRowFirstColumn="0" w:lastRowLastColumn="0"/>
        </w:trPr>
        <w:tc>
          <w:tcPr>
            <w:tcW w:w="5852" w:type="dxa"/>
          </w:tcPr>
          <w:p w:rsidR="00521876" w:rsidRPr="0042762E" w:rsidRDefault="00521876" w:rsidP="00254568">
            <w:pPr>
              <w:pStyle w:val="TableTextEntries"/>
            </w:pPr>
            <w:r w:rsidRPr="0042762E">
              <w:t>Education</w:t>
            </w:r>
          </w:p>
        </w:tc>
        <w:tc>
          <w:tcPr>
            <w:tcW w:w="1049" w:type="dxa"/>
            <w:shd w:val="clear" w:color="auto" w:fill="92D050"/>
          </w:tcPr>
          <w:p w:rsidR="00521876" w:rsidRPr="0042762E" w:rsidRDefault="00521876" w:rsidP="00254568">
            <w:pPr>
              <w:pStyle w:val="TableTextEntries"/>
              <w:jc w:val="center"/>
            </w:pPr>
            <w:r>
              <w:t>Green</w:t>
            </w:r>
          </w:p>
        </w:tc>
        <w:tc>
          <w:tcPr>
            <w:tcW w:w="397" w:type="dxa"/>
            <w:shd w:val="clear" w:color="auto" w:fill="auto"/>
          </w:tcPr>
          <w:p w:rsidR="00521876" w:rsidRPr="0042762E" w:rsidRDefault="00521876" w:rsidP="00254568">
            <w:pPr>
              <w:pStyle w:val="TableTextEntries"/>
              <w:jc w:val="center"/>
            </w:pPr>
          </w:p>
        </w:tc>
        <w:tc>
          <w:tcPr>
            <w:tcW w:w="1035" w:type="dxa"/>
            <w:shd w:val="clear" w:color="auto" w:fill="92D050"/>
            <w:noWrap/>
          </w:tcPr>
          <w:p w:rsidR="00521876" w:rsidRPr="0042762E" w:rsidRDefault="00521876" w:rsidP="00254568">
            <w:pPr>
              <w:pStyle w:val="TableTextEntries"/>
              <w:jc w:val="center"/>
            </w:pPr>
            <w:r w:rsidRPr="0042762E">
              <w:t>Green</w:t>
            </w:r>
          </w:p>
        </w:tc>
      </w:tr>
      <w:tr w:rsidR="00521876" w:rsidRPr="0042762E" w:rsidTr="00744C69">
        <w:trPr>
          <w:cnfStyle w:val="000000010000" w:firstRow="0" w:lastRow="0" w:firstColumn="0" w:lastColumn="0" w:oddVBand="0" w:evenVBand="0" w:oddHBand="0" w:evenHBand="1" w:firstRowFirstColumn="0" w:firstRowLastColumn="0" w:lastRowFirstColumn="0" w:lastRowLastColumn="0"/>
        </w:trPr>
        <w:tc>
          <w:tcPr>
            <w:tcW w:w="6929" w:type="dxa"/>
            <w:gridSpan w:val="2"/>
            <w:shd w:val="clear" w:color="auto" w:fill="auto"/>
          </w:tcPr>
          <w:p w:rsidR="00521876" w:rsidRPr="0042762E" w:rsidRDefault="00521876" w:rsidP="00254568">
            <w:pPr>
              <w:pStyle w:val="TableTextEntries"/>
              <w:jc w:val="center"/>
            </w:pPr>
            <w:r>
              <w:rPr>
                <w:b/>
                <w:i/>
              </w:rPr>
              <w:t>Building resilience: humanitarian assistance, disaster risk reduction and social protection</w:t>
            </w:r>
          </w:p>
        </w:tc>
        <w:tc>
          <w:tcPr>
            <w:tcW w:w="397" w:type="dxa"/>
            <w:shd w:val="clear" w:color="auto" w:fill="auto"/>
          </w:tcPr>
          <w:p w:rsidR="00521876" w:rsidRPr="0042762E" w:rsidRDefault="00521876" w:rsidP="00254568">
            <w:pPr>
              <w:pStyle w:val="TableTextEntries"/>
              <w:jc w:val="center"/>
            </w:pPr>
          </w:p>
        </w:tc>
        <w:tc>
          <w:tcPr>
            <w:tcW w:w="1035" w:type="dxa"/>
            <w:shd w:val="clear" w:color="auto" w:fill="auto"/>
            <w:noWrap/>
          </w:tcPr>
          <w:p w:rsidR="00521876" w:rsidRPr="0042762E" w:rsidRDefault="00521876" w:rsidP="00254568">
            <w:pPr>
              <w:pStyle w:val="TableTextEntries"/>
              <w:jc w:val="center"/>
            </w:pPr>
          </w:p>
        </w:tc>
      </w:tr>
      <w:tr w:rsidR="00521876" w:rsidRPr="0042762E" w:rsidTr="00FD4262">
        <w:trPr>
          <w:cnfStyle w:val="000000010000" w:firstRow="0" w:lastRow="0" w:firstColumn="0" w:lastColumn="0" w:oddVBand="0" w:evenVBand="0" w:oddHBand="0" w:evenHBand="1" w:firstRowFirstColumn="0" w:firstRowLastColumn="0" w:lastRowFirstColumn="0" w:lastRowLastColumn="0"/>
        </w:trPr>
        <w:tc>
          <w:tcPr>
            <w:tcW w:w="5852" w:type="dxa"/>
          </w:tcPr>
          <w:p w:rsidR="00521876" w:rsidRPr="0042762E" w:rsidRDefault="00521876" w:rsidP="00254568">
            <w:pPr>
              <w:pStyle w:val="TableTextEntries"/>
            </w:pPr>
            <w:r w:rsidRPr="0042762E">
              <w:t>Climate change</w:t>
            </w:r>
            <w:r>
              <w:t>, disaster risk reduction</w:t>
            </w:r>
            <w:r w:rsidRPr="0042762E">
              <w:t xml:space="preserve"> and environment</w:t>
            </w:r>
          </w:p>
        </w:tc>
        <w:tc>
          <w:tcPr>
            <w:tcW w:w="1049" w:type="dxa"/>
            <w:shd w:val="clear" w:color="auto" w:fill="92D050"/>
          </w:tcPr>
          <w:p w:rsidR="00521876" w:rsidRPr="0042762E" w:rsidRDefault="00521876" w:rsidP="00254568">
            <w:pPr>
              <w:pStyle w:val="TableTextEntries"/>
              <w:jc w:val="center"/>
            </w:pPr>
            <w:r>
              <w:t>Green</w:t>
            </w:r>
          </w:p>
        </w:tc>
        <w:tc>
          <w:tcPr>
            <w:tcW w:w="397" w:type="dxa"/>
            <w:shd w:val="clear" w:color="auto" w:fill="auto"/>
          </w:tcPr>
          <w:p w:rsidR="00521876" w:rsidRPr="0042762E" w:rsidRDefault="00521876" w:rsidP="00254568">
            <w:pPr>
              <w:pStyle w:val="TableTextEntries"/>
              <w:jc w:val="center"/>
            </w:pPr>
          </w:p>
        </w:tc>
        <w:tc>
          <w:tcPr>
            <w:tcW w:w="1035" w:type="dxa"/>
            <w:shd w:val="clear" w:color="auto" w:fill="92D050"/>
            <w:noWrap/>
          </w:tcPr>
          <w:p w:rsidR="00521876" w:rsidRPr="0042762E" w:rsidRDefault="00521876" w:rsidP="00254568">
            <w:pPr>
              <w:pStyle w:val="TableTextEntries"/>
              <w:jc w:val="center"/>
            </w:pPr>
            <w:r w:rsidRPr="0042762E">
              <w:t>Green</w:t>
            </w:r>
          </w:p>
        </w:tc>
      </w:tr>
      <w:tr w:rsidR="00521876" w:rsidRPr="0042762E" w:rsidTr="00717FD0">
        <w:trPr>
          <w:cnfStyle w:val="000000010000" w:firstRow="0" w:lastRow="0" w:firstColumn="0" w:lastColumn="0" w:oddVBand="0" w:evenVBand="0" w:oddHBand="0" w:evenHBand="1" w:firstRowFirstColumn="0" w:firstRowLastColumn="0" w:lastRowFirstColumn="0" w:lastRowLastColumn="0"/>
        </w:trPr>
        <w:tc>
          <w:tcPr>
            <w:tcW w:w="5852" w:type="dxa"/>
          </w:tcPr>
          <w:p w:rsidR="00521876" w:rsidRPr="0042762E" w:rsidRDefault="00521876" w:rsidP="004217CD">
            <w:pPr>
              <w:pStyle w:val="TableTextEntries"/>
            </w:pPr>
            <w:r w:rsidRPr="0042762E">
              <w:t>Disability inclusive development</w:t>
            </w:r>
          </w:p>
        </w:tc>
        <w:tc>
          <w:tcPr>
            <w:tcW w:w="1049" w:type="dxa"/>
            <w:shd w:val="clear" w:color="auto" w:fill="92D050"/>
          </w:tcPr>
          <w:p w:rsidR="00521876" w:rsidRPr="0042762E" w:rsidRDefault="00717FD0" w:rsidP="004217CD">
            <w:pPr>
              <w:pStyle w:val="TableTextEntries"/>
              <w:jc w:val="center"/>
            </w:pPr>
            <w:r>
              <w:t>Green</w:t>
            </w:r>
          </w:p>
        </w:tc>
        <w:tc>
          <w:tcPr>
            <w:tcW w:w="397" w:type="dxa"/>
            <w:shd w:val="clear" w:color="auto" w:fill="auto"/>
          </w:tcPr>
          <w:p w:rsidR="00521876" w:rsidRPr="0042762E" w:rsidRDefault="00521876" w:rsidP="004217CD">
            <w:pPr>
              <w:pStyle w:val="TableTextEntries"/>
              <w:jc w:val="center"/>
            </w:pPr>
          </w:p>
        </w:tc>
        <w:tc>
          <w:tcPr>
            <w:tcW w:w="1035" w:type="dxa"/>
            <w:shd w:val="clear" w:color="auto" w:fill="92D050"/>
            <w:noWrap/>
          </w:tcPr>
          <w:p w:rsidR="00521876" w:rsidRPr="0042762E" w:rsidRDefault="00521876" w:rsidP="004217CD">
            <w:pPr>
              <w:pStyle w:val="TableTextEntries"/>
              <w:jc w:val="center"/>
            </w:pPr>
            <w:r w:rsidRPr="0042762E">
              <w:t>Green</w:t>
            </w:r>
          </w:p>
        </w:tc>
      </w:tr>
      <w:tr w:rsidR="00717FD0" w:rsidRPr="0042762E" w:rsidTr="00717FD0">
        <w:trPr>
          <w:cnfStyle w:val="000000010000" w:firstRow="0" w:lastRow="0" w:firstColumn="0" w:lastColumn="0" w:oddVBand="0" w:evenVBand="0" w:oddHBand="0" w:evenHBand="1" w:firstRowFirstColumn="0" w:firstRowLastColumn="0" w:lastRowFirstColumn="0" w:lastRowLastColumn="0"/>
        </w:trPr>
        <w:tc>
          <w:tcPr>
            <w:tcW w:w="5852" w:type="dxa"/>
          </w:tcPr>
          <w:p w:rsidR="00717FD0" w:rsidRPr="0042762E" w:rsidRDefault="00717FD0" w:rsidP="00254568">
            <w:pPr>
              <w:pStyle w:val="TableTextEntries"/>
            </w:pPr>
            <w:r>
              <w:rPr>
                <w:b/>
                <w:i/>
              </w:rPr>
              <w:t>Gender equality and empowering women and girls</w:t>
            </w:r>
          </w:p>
        </w:tc>
        <w:tc>
          <w:tcPr>
            <w:tcW w:w="1049" w:type="dxa"/>
            <w:shd w:val="clear" w:color="auto" w:fill="F79646" w:themeFill="accent6"/>
          </w:tcPr>
          <w:p w:rsidR="00717FD0" w:rsidRPr="0042762E" w:rsidRDefault="00717FD0" w:rsidP="004D0E7B">
            <w:pPr>
              <w:pStyle w:val="TableTextEntries"/>
              <w:jc w:val="center"/>
            </w:pPr>
            <w:r w:rsidRPr="0042762E">
              <w:t>Amber</w:t>
            </w:r>
          </w:p>
        </w:tc>
        <w:tc>
          <w:tcPr>
            <w:tcW w:w="397" w:type="dxa"/>
            <w:shd w:val="clear" w:color="auto" w:fill="auto"/>
          </w:tcPr>
          <w:p w:rsidR="00717FD0" w:rsidRPr="0042762E" w:rsidRDefault="00717FD0" w:rsidP="00254568">
            <w:pPr>
              <w:pStyle w:val="TableTextEntries"/>
              <w:jc w:val="center"/>
            </w:pPr>
          </w:p>
        </w:tc>
        <w:tc>
          <w:tcPr>
            <w:tcW w:w="1035" w:type="dxa"/>
            <w:shd w:val="clear" w:color="auto" w:fill="F79646" w:themeFill="accent6"/>
            <w:noWrap/>
          </w:tcPr>
          <w:p w:rsidR="00717FD0" w:rsidRPr="0042762E" w:rsidRDefault="00717FD0" w:rsidP="00254568">
            <w:pPr>
              <w:pStyle w:val="TableTextEntries"/>
              <w:jc w:val="center"/>
            </w:pPr>
            <w:r w:rsidRPr="0042762E">
              <w:t>Amber</w:t>
            </w:r>
          </w:p>
        </w:tc>
      </w:tr>
    </w:tbl>
    <w:p w:rsidR="000D733F" w:rsidRDefault="000D733F">
      <w:pPr>
        <w:rPr>
          <w:rFonts w:ascii="Helvetica" w:hAnsi="Helvetica" w:cs="Arial"/>
          <w:color w:val="0C7DAF"/>
          <w:kern w:val="28"/>
          <w:szCs w:val="28"/>
        </w:rPr>
      </w:pPr>
    </w:p>
    <w:p w:rsidR="006B4151" w:rsidRDefault="00CA7A13" w:rsidP="00CA7A13">
      <w:pPr>
        <w:pStyle w:val="BodyText"/>
        <w:rPr>
          <w:lang w:eastAsia="zh-CN"/>
        </w:rPr>
      </w:pPr>
      <w:r>
        <w:rPr>
          <w:lang w:eastAsia="zh-CN"/>
        </w:rPr>
        <w:t xml:space="preserve">Australia’s regional aid program investments focus on infrastructure, increasing private sector development, trade and labour mobility opportunities in the Pacific and targeted investments in regional resilience building. Women’s economic empowerment is a focus of all investments. </w:t>
      </w:r>
    </w:p>
    <w:p w:rsidR="00CA7A13" w:rsidRDefault="00CA7A13" w:rsidP="00CA7A13">
      <w:pPr>
        <w:pStyle w:val="BodyText"/>
        <w:rPr>
          <w:b/>
          <w:lang w:eastAsia="zh-CN"/>
        </w:rPr>
      </w:pPr>
      <w:r>
        <w:rPr>
          <w:b/>
          <w:lang w:eastAsia="zh-CN"/>
        </w:rPr>
        <w:t>Infrastructure, trade facilitation and international competitiveness</w:t>
      </w:r>
    </w:p>
    <w:p w:rsidR="009901BF" w:rsidRPr="009901BF" w:rsidRDefault="009901BF" w:rsidP="009901BF">
      <w:pPr>
        <w:pStyle w:val="BodyText"/>
        <w:rPr>
          <w:szCs w:val="21"/>
        </w:rPr>
      </w:pPr>
      <w:r w:rsidRPr="009901BF">
        <w:rPr>
          <w:szCs w:val="21"/>
        </w:rPr>
        <w:t xml:space="preserve">Australia’s investments in </w:t>
      </w:r>
      <w:r w:rsidRPr="00C01471">
        <w:rPr>
          <w:b/>
          <w:szCs w:val="21"/>
        </w:rPr>
        <w:t>infrastructure</w:t>
      </w:r>
      <w:r w:rsidRPr="009901BF">
        <w:rPr>
          <w:szCs w:val="21"/>
        </w:rPr>
        <w:t xml:space="preserve"> in the Pacific are helping to support economic growth and jobs and increase access to health and education services. Australia is assisting in the coordination of up to $1.7 billion of donor investments in infrastructure, through our support to the Pacific R</w:t>
      </w:r>
      <w:r w:rsidR="00C61611">
        <w:rPr>
          <w:szCs w:val="21"/>
        </w:rPr>
        <w:t>egional Infrastructure Facility.</w:t>
      </w:r>
      <w:r w:rsidR="00C61611" w:rsidRPr="00144001">
        <w:rPr>
          <w:rStyle w:val="FootnoteReference"/>
          <w:rFonts w:ascii="Franklin Gothic Book" w:hAnsi="Franklin Gothic Book"/>
          <w:sz w:val="21"/>
          <w:szCs w:val="21"/>
          <w:vertAlign w:val="superscript"/>
        </w:rPr>
        <w:footnoteReference w:id="14"/>
      </w:r>
      <w:r w:rsidR="00C61611">
        <w:rPr>
          <w:szCs w:val="21"/>
        </w:rPr>
        <w:t xml:space="preserve"> </w:t>
      </w:r>
      <w:r w:rsidRPr="009901BF">
        <w:rPr>
          <w:szCs w:val="21"/>
        </w:rPr>
        <w:t>Our support to the Tonga-Fiji connectivity project has resulted in a 60</w:t>
      </w:r>
      <w:r w:rsidR="00737052">
        <w:rPr>
          <w:szCs w:val="21"/>
        </w:rPr>
        <w:t>per cent</w:t>
      </w:r>
      <w:r w:rsidRPr="009901BF">
        <w:rPr>
          <w:szCs w:val="21"/>
        </w:rPr>
        <w:t xml:space="preserve"> reduction in internet connectivity cost</w:t>
      </w:r>
      <w:r w:rsidR="00144001">
        <w:rPr>
          <w:szCs w:val="21"/>
        </w:rPr>
        <w:t>s</w:t>
      </w:r>
      <w:r w:rsidRPr="009901BF">
        <w:rPr>
          <w:szCs w:val="21"/>
        </w:rPr>
        <w:t xml:space="preserve"> to households and businesses in Tonga, and in the opening of a call centre through a joint venture between Tongan entrepreneurs and a Japanese investor employing 35 Tongans, mostly youths.</w:t>
      </w:r>
    </w:p>
    <w:p w:rsidR="009901BF" w:rsidRPr="009901BF" w:rsidRDefault="009901BF" w:rsidP="009901BF">
      <w:pPr>
        <w:pStyle w:val="BodyText"/>
        <w:rPr>
          <w:lang w:eastAsia="zh-CN"/>
        </w:rPr>
      </w:pPr>
      <w:r>
        <w:rPr>
          <w:lang w:eastAsia="zh-CN"/>
        </w:rPr>
        <w:t xml:space="preserve">Regional investments have contributed to improving the environment for </w:t>
      </w:r>
      <w:r w:rsidRPr="00C01471">
        <w:rPr>
          <w:b/>
          <w:lang w:eastAsia="zh-CN"/>
        </w:rPr>
        <w:t>growth</w:t>
      </w:r>
      <w:r w:rsidRPr="00737052">
        <w:rPr>
          <w:b/>
          <w:lang w:eastAsia="zh-CN"/>
        </w:rPr>
        <w:t xml:space="preserve"> and </w:t>
      </w:r>
      <w:r w:rsidRPr="00C01471">
        <w:rPr>
          <w:b/>
          <w:lang w:eastAsia="zh-CN"/>
        </w:rPr>
        <w:t>investment</w:t>
      </w:r>
      <w:r>
        <w:rPr>
          <w:lang w:eastAsia="zh-CN"/>
        </w:rPr>
        <w:t>, by addressing instit</w:t>
      </w:r>
      <w:r w:rsidR="00156328">
        <w:rPr>
          <w:lang w:eastAsia="zh-CN"/>
        </w:rPr>
        <w:t xml:space="preserve">utional and policy constraints. </w:t>
      </w:r>
      <w:r>
        <w:rPr>
          <w:lang w:eastAsia="zh-CN"/>
        </w:rPr>
        <w:t xml:space="preserve">They </w:t>
      </w:r>
      <w:r w:rsidRPr="009901BF">
        <w:rPr>
          <w:lang w:eastAsia="zh-CN"/>
        </w:rPr>
        <w:t>also leverage private investment into the Pacific region, creating jobs and economic growth.</w:t>
      </w:r>
      <w:r w:rsidR="00742495">
        <w:rPr>
          <w:lang w:eastAsia="zh-CN"/>
        </w:rPr>
        <w:t xml:space="preserve"> Key results are:</w:t>
      </w:r>
    </w:p>
    <w:p w:rsidR="009901BF" w:rsidRPr="009A72F2" w:rsidRDefault="009901BF" w:rsidP="00433E9C">
      <w:pPr>
        <w:pStyle w:val="BodyText"/>
        <w:numPr>
          <w:ilvl w:val="0"/>
          <w:numId w:val="26"/>
        </w:numPr>
        <w:spacing w:after="0"/>
        <w:rPr>
          <w:lang w:eastAsia="zh-CN"/>
        </w:rPr>
      </w:pPr>
      <w:r w:rsidRPr="009901BF">
        <w:rPr>
          <w:lang w:eastAsia="zh-CN"/>
        </w:rPr>
        <w:t xml:space="preserve">The </w:t>
      </w:r>
      <w:r w:rsidRPr="008022AF">
        <w:rPr>
          <w:i/>
          <w:lang w:eastAsia="zh-CN"/>
        </w:rPr>
        <w:t>Pacific Private Sector Development Initiative</w:t>
      </w:r>
      <w:r w:rsidRPr="009901BF">
        <w:rPr>
          <w:lang w:eastAsia="zh-CN"/>
        </w:rPr>
        <w:t xml:space="preserve"> </w:t>
      </w:r>
      <w:r w:rsidR="0091388D">
        <w:rPr>
          <w:lang w:eastAsia="zh-CN"/>
        </w:rPr>
        <w:t xml:space="preserve">(PSDI) </w:t>
      </w:r>
      <w:r w:rsidRPr="009901BF">
        <w:rPr>
          <w:lang w:eastAsia="zh-CN"/>
        </w:rPr>
        <w:t>assist</w:t>
      </w:r>
      <w:r w:rsidR="00156328">
        <w:rPr>
          <w:lang w:eastAsia="zh-CN"/>
        </w:rPr>
        <w:t xml:space="preserve">ed </w:t>
      </w:r>
      <w:r w:rsidR="0091388D">
        <w:rPr>
          <w:lang w:eastAsia="zh-CN"/>
        </w:rPr>
        <w:t>countries</w:t>
      </w:r>
      <w:r w:rsidR="00737052">
        <w:rPr>
          <w:lang w:eastAsia="zh-CN"/>
        </w:rPr>
        <w:t xml:space="preserve"> to</w:t>
      </w:r>
      <w:r w:rsidR="0091388D">
        <w:rPr>
          <w:lang w:eastAsia="zh-CN"/>
        </w:rPr>
        <w:t xml:space="preserve"> </w:t>
      </w:r>
      <w:r w:rsidRPr="009901BF">
        <w:rPr>
          <w:lang w:eastAsia="zh-CN"/>
        </w:rPr>
        <w:t xml:space="preserve">foster a dynamic and </w:t>
      </w:r>
      <w:r w:rsidR="00156328">
        <w:rPr>
          <w:lang w:eastAsia="zh-CN"/>
        </w:rPr>
        <w:t>entrepreneurial private sector</w:t>
      </w:r>
      <w:r w:rsidR="00655332">
        <w:rPr>
          <w:lang w:eastAsia="zh-CN"/>
        </w:rPr>
        <w:t>.</w:t>
      </w:r>
      <w:r w:rsidR="0091388D">
        <w:rPr>
          <w:lang w:eastAsia="zh-CN"/>
        </w:rPr>
        <w:t xml:space="preserve"> In </w:t>
      </w:r>
      <w:r w:rsidR="0091388D" w:rsidRPr="009901BF">
        <w:rPr>
          <w:lang w:eastAsia="zh-CN"/>
        </w:rPr>
        <w:t>Solomon Islands</w:t>
      </w:r>
      <w:r w:rsidR="00156328">
        <w:rPr>
          <w:lang w:eastAsia="zh-CN"/>
        </w:rPr>
        <w:t>, for example</w:t>
      </w:r>
      <w:r w:rsidR="0091388D">
        <w:rPr>
          <w:lang w:eastAsia="zh-CN"/>
        </w:rPr>
        <w:t>,</w:t>
      </w:r>
      <w:r w:rsidR="00156328">
        <w:rPr>
          <w:lang w:eastAsia="zh-CN"/>
        </w:rPr>
        <w:t xml:space="preserve"> </w:t>
      </w:r>
      <w:r w:rsidRPr="009901BF">
        <w:rPr>
          <w:lang w:eastAsia="zh-CN"/>
        </w:rPr>
        <w:t>business</w:t>
      </w:r>
      <w:r w:rsidR="0091388D">
        <w:rPr>
          <w:lang w:eastAsia="zh-CN"/>
        </w:rPr>
        <w:t>es</w:t>
      </w:r>
      <w:r w:rsidRPr="009901BF">
        <w:rPr>
          <w:lang w:eastAsia="zh-CN"/>
        </w:rPr>
        <w:t xml:space="preserve"> </w:t>
      </w:r>
      <w:r w:rsidR="00156328">
        <w:rPr>
          <w:lang w:eastAsia="zh-CN"/>
        </w:rPr>
        <w:t>can now use ‘moveable property’</w:t>
      </w:r>
      <w:r w:rsidR="00156328" w:rsidRPr="00144001">
        <w:rPr>
          <w:rStyle w:val="FootnoteReference"/>
          <w:rFonts w:ascii="Franklin Gothic Book" w:hAnsi="Franklin Gothic Book"/>
          <w:sz w:val="21"/>
          <w:szCs w:val="21"/>
          <w:vertAlign w:val="superscript"/>
        </w:rPr>
        <w:footnoteReference w:id="15"/>
      </w:r>
      <w:r w:rsidR="00655332">
        <w:rPr>
          <w:lang w:eastAsia="zh-CN"/>
        </w:rPr>
        <w:t xml:space="preserve"> </w:t>
      </w:r>
      <w:r w:rsidRPr="009901BF">
        <w:rPr>
          <w:lang w:eastAsia="zh-CN"/>
        </w:rPr>
        <w:t>as security for loans</w:t>
      </w:r>
      <w:r w:rsidR="00156328">
        <w:rPr>
          <w:lang w:eastAsia="zh-CN"/>
        </w:rPr>
        <w:t xml:space="preserve"> resulting in over</w:t>
      </w:r>
      <w:r w:rsidRPr="009901BF">
        <w:rPr>
          <w:lang w:eastAsia="zh-CN"/>
        </w:rPr>
        <w:t xml:space="preserve"> 10,000 security interests be</w:t>
      </w:r>
      <w:r w:rsidR="00156328">
        <w:rPr>
          <w:lang w:eastAsia="zh-CN"/>
        </w:rPr>
        <w:t xml:space="preserve">ing </w:t>
      </w:r>
      <w:r w:rsidRPr="009901BF">
        <w:rPr>
          <w:lang w:eastAsia="zh-CN"/>
        </w:rPr>
        <w:t>filed (as of end 2013). On average, loan processing times have declined from several weeks to 1-2 days</w:t>
      </w:r>
      <w:r w:rsidR="00156328">
        <w:rPr>
          <w:lang w:eastAsia="zh-CN"/>
        </w:rPr>
        <w:t xml:space="preserve"> and t</w:t>
      </w:r>
      <w:r w:rsidRPr="009901BF">
        <w:rPr>
          <w:lang w:eastAsia="zh-CN"/>
        </w:rPr>
        <w:t xml:space="preserve">he largest finance company </w:t>
      </w:r>
      <w:r w:rsidR="00156328">
        <w:rPr>
          <w:lang w:eastAsia="zh-CN"/>
        </w:rPr>
        <w:t>r</w:t>
      </w:r>
      <w:r w:rsidRPr="009901BF">
        <w:rPr>
          <w:lang w:eastAsia="zh-CN"/>
        </w:rPr>
        <w:t>eports an increase in its loan portfolio by a factor of six as a result of the reform.</w:t>
      </w:r>
      <w:r w:rsidR="00433E9C">
        <w:rPr>
          <w:lang w:eastAsia="zh-CN"/>
        </w:rPr>
        <w:t xml:space="preserve"> </w:t>
      </w:r>
      <w:r w:rsidR="00433E9C" w:rsidRPr="00433E9C">
        <w:rPr>
          <w:lang w:eastAsia="zh-CN"/>
        </w:rPr>
        <w:t>The challenge, and next step, will be working with the mainstream commercial banks to encourage them to adopt a similar approach.</w:t>
      </w:r>
    </w:p>
    <w:p w:rsidR="009901BF" w:rsidRPr="009A72F2" w:rsidRDefault="009901BF" w:rsidP="00024FC6">
      <w:pPr>
        <w:pStyle w:val="BodyText"/>
        <w:numPr>
          <w:ilvl w:val="0"/>
          <w:numId w:val="26"/>
        </w:numPr>
        <w:spacing w:after="0"/>
        <w:rPr>
          <w:lang w:eastAsia="zh-CN"/>
        </w:rPr>
      </w:pPr>
      <w:r w:rsidRPr="009A72F2">
        <w:rPr>
          <w:lang w:eastAsia="zh-CN"/>
        </w:rPr>
        <w:t xml:space="preserve">The </w:t>
      </w:r>
      <w:r w:rsidRPr="008022AF">
        <w:rPr>
          <w:i/>
          <w:lang w:eastAsia="zh-CN"/>
        </w:rPr>
        <w:t>International Finance Corporation</w:t>
      </w:r>
      <w:r w:rsidRPr="009A72F2">
        <w:rPr>
          <w:lang w:eastAsia="zh-CN"/>
        </w:rPr>
        <w:t xml:space="preserve"> (IFC) Pacific Partnership</w:t>
      </w:r>
      <w:r w:rsidR="00156328" w:rsidRPr="00144001">
        <w:rPr>
          <w:rStyle w:val="FootnoteReference"/>
          <w:rFonts w:ascii="Franklin Gothic Book" w:hAnsi="Franklin Gothic Book"/>
          <w:sz w:val="21"/>
          <w:szCs w:val="21"/>
          <w:vertAlign w:val="superscript"/>
        </w:rPr>
        <w:footnoteReference w:id="16"/>
      </w:r>
      <w:r w:rsidR="00966337" w:rsidRPr="009A72F2">
        <w:rPr>
          <w:lang w:eastAsia="zh-CN"/>
        </w:rPr>
        <w:t xml:space="preserve"> leveraged</w:t>
      </w:r>
      <w:r w:rsidR="00156328" w:rsidRPr="009A72F2">
        <w:rPr>
          <w:lang w:eastAsia="zh-CN"/>
        </w:rPr>
        <w:t xml:space="preserve"> pr</w:t>
      </w:r>
      <w:r w:rsidR="00966337" w:rsidRPr="009A72F2">
        <w:rPr>
          <w:lang w:eastAsia="zh-CN"/>
        </w:rPr>
        <w:t>ivate sector finance and created</w:t>
      </w:r>
      <w:r w:rsidR="00156328" w:rsidRPr="009A72F2">
        <w:rPr>
          <w:lang w:eastAsia="zh-CN"/>
        </w:rPr>
        <w:t xml:space="preserve"> economic opportunity</w:t>
      </w:r>
      <w:r w:rsidR="00DC45E2">
        <w:rPr>
          <w:lang w:eastAsia="zh-CN"/>
        </w:rPr>
        <w:t>. F</w:t>
      </w:r>
      <w:r w:rsidR="00156328" w:rsidRPr="009A72F2">
        <w:rPr>
          <w:lang w:eastAsia="zh-CN"/>
        </w:rPr>
        <w:t xml:space="preserve">or </w:t>
      </w:r>
      <w:r w:rsidRPr="009A72F2">
        <w:rPr>
          <w:lang w:eastAsia="zh-CN"/>
        </w:rPr>
        <w:t>example</w:t>
      </w:r>
      <w:r w:rsidR="00DC45E2">
        <w:rPr>
          <w:lang w:eastAsia="zh-CN"/>
        </w:rPr>
        <w:t>,</w:t>
      </w:r>
      <w:r w:rsidR="00156328" w:rsidRPr="009A72F2">
        <w:rPr>
          <w:lang w:eastAsia="zh-CN"/>
        </w:rPr>
        <w:t xml:space="preserve"> </w:t>
      </w:r>
      <w:r w:rsidRPr="009A72F2">
        <w:rPr>
          <w:lang w:eastAsia="zh-CN"/>
        </w:rPr>
        <w:t>IFC invest</w:t>
      </w:r>
      <w:r w:rsidR="00156328" w:rsidRPr="009A72F2">
        <w:rPr>
          <w:lang w:eastAsia="zh-CN"/>
        </w:rPr>
        <w:t>ed in upgrading</w:t>
      </w:r>
      <w:r w:rsidRPr="009A72F2">
        <w:rPr>
          <w:lang w:eastAsia="zh-CN"/>
        </w:rPr>
        <w:t xml:space="preserve"> and expand</w:t>
      </w:r>
      <w:r w:rsidR="00DC45E2">
        <w:rPr>
          <w:lang w:eastAsia="zh-CN"/>
        </w:rPr>
        <w:t>ing</w:t>
      </w:r>
      <w:r w:rsidRPr="009A72F2">
        <w:rPr>
          <w:lang w:eastAsia="zh-CN"/>
        </w:rPr>
        <w:t xml:space="preserve"> Sol Tuna, Solomon Islands’ only tuna loining and canning facility, which will create jobs for over 500 people.</w:t>
      </w:r>
    </w:p>
    <w:p w:rsidR="009901BF" w:rsidRPr="009A72F2" w:rsidRDefault="009901BF" w:rsidP="00024FC6">
      <w:pPr>
        <w:pStyle w:val="BodyText"/>
        <w:numPr>
          <w:ilvl w:val="0"/>
          <w:numId w:val="26"/>
        </w:numPr>
        <w:spacing w:after="0"/>
        <w:rPr>
          <w:lang w:eastAsia="zh-CN"/>
        </w:rPr>
      </w:pPr>
      <w:r w:rsidRPr="009A72F2">
        <w:rPr>
          <w:lang w:eastAsia="zh-CN"/>
        </w:rPr>
        <w:t xml:space="preserve">The </w:t>
      </w:r>
      <w:r w:rsidRPr="008022AF">
        <w:rPr>
          <w:i/>
          <w:lang w:eastAsia="zh-CN"/>
        </w:rPr>
        <w:t>Pacific Financial Inclusion Program</w:t>
      </w:r>
      <w:r w:rsidRPr="009A72F2">
        <w:rPr>
          <w:lang w:eastAsia="zh-CN"/>
        </w:rPr>
        <w:t xml:space="preserve"> (PFIP) continues to increase basic financial services to the poor and unbanked. </w:t>
      </w:r>
      <w:r w:rsidR="00C61611">
        <w:rPr>
          <w:lang w:eastAsia="zh-CN"/>
        </w:rPr>
        <w:t xml:space="preserve">In 2013/14, PFIP </w:t>
      </w:r>
      <w:r w:rsidR="00C61611">
        <w:t>i</w:t>
      </w:r>
      <w:r w:rsidR="00C61611" w:rsidRPr="006B2FD9">
        <w:t>mprov</w:t>
      </w:r>
      <w:r w:rsidR="00DC45E2">
        <w:t>ed</w:t>
      </w:r>
      <w:r w:rsidR="00C61611" w:rsidRPr="006B2FD9">
        <w:t xml:space="preserve"> access to financial services for over 300,000 poor men and women</w:t>
      </w:r>
      <w:r w:rsidR="00C61611">
        <w:t xml:space="preserve"> and to financial education for over</w:t>
      </w:r>
      <w:r w:rsidRPr="009A72F2">
        <w:rPr>
          <w:lang w:eastAsia="zh-CN"/>
        </w:rPr>
        <w:t xml:space="preserve"> 200,000 students (48</w:t>
      </w:r>
      <w:r w:rsidR="00737052">
        <w:rPr>
          <w:lang w:eastAsia="zh-CN"/>
        </w:rPr>
        <w:t>per cent</w:t>
      </w:r>
      <w:r w:rsidRPr="009A72F2">
        <w:rPr>
          <w:lang w:eastAsia="zh-CN"/>
        </w:rPr>
        <w:t xml:space="preserve"> female) in Samoa and Fiji</w:t>
      </w:r>
      <w:r w:rsidR="00C61611">
        <w:rPr>
          <w:lang w:eastAsia="zh-CN"/>
        </w:rPr>
        <w:t>.</w:t>
      </w:r>
      <w:r w:rsidR="00966337" w:rsidRPr="00144001">
        <w:rPr>
          <w:rStyle w:val="FootnoteReference"/>
          <w:rFonts w:ascii="Franklin Gothic Book" w:hAnsi="Franklin Gothic Book"/>
          <w:sz w:val="21"/>
          <w:szCs w:val="21"/>
          <w:vertAlign w:val="superscript"/>
        </w:rPr>
        <w:footnoteReference w:id="17"/>
      </w:r>
    </w:p>
    <w:p w:rsidR="009901BF" w:rsidRDefault="00966337" w:rsidP="00024FC6">
      <w:pPr>
        <w:pStyle w:val="BodyText"/>
        <w:numPr>
          <w:ilvl w:val="0"/>
          <w:numId w:val="26"/>
        </w:numPr>
        <w:rPr>
          <w:lang w:eastAsia="zh-CN"/>
        </w:rPr>
      </w:pPr>
      <w:r>
        <w:rPr>
          <w:lang w:eastAsia="zh-CN"/>
        </w:rPr>
        <w:lastRenderedPageBreak/>
        <w:t>The</w:t>
      </w:r>
      <w:r w:rsidR="009901BF" w:rsidRPr="009901BF">
        <w:rPr>
          <w:lang w:eastAsia="zh-CN"/>
        </w:rPr>
        <w:t xml:space="preserve"> UN Women </w:t>
      </w:r>
      <w:r w:rsidR="009901BF" w:rsidRPr="009901BF">
        <w:rPr>
          <w:i/>
          <w:iCs/>
          <w:lang w:eastAsia="zh-CN"/>
        </w:rPr>
        <w:t>Markets for Change</w:t>
      </w:r>
      <w:r w:rsidR="009901BF" w:rsidRPr="009901BF">
        <w:rPr>
          <w:lang w:eastAsia="zh-CN"/>
        </w:rPr>
        <w:t xml:space="preserve"> provid</w:t>
      </w:r>
      <w:r w:rsidR="00C61611">
        <w:rPr>
          <w:lang w:eastAsia="zh-CN"/>
        </w:rPr>
        <w:t xml:space="preserve">ed </w:t>
      </w:r>
      <w:r w:rsidR="009901BF" w:rsidRPr="009901BF">
        <w:rPr>
          <w:lang w:eastAsia="zh-CN"/>
        </w:rPr>
        <w:t>financial literacy and business management training in Fij</w:t>
      </w:r>
      <w:r w:rsidR="00655332">
        <w:rPr>
          <w:lang w:eastAsia="zh-CN"/>
        </w:rPr>
        <w:t>i, Vanuatu and Solomon Islands.</w:t>
      </w:r>
      <w:r w:rsidR="009901BF" w:rsidRPr="009901BF">
        <w:rPr>
          <w:lang w:eastAsia="zh-CN"/>
        </w:rPr>
        <w:t xml:space="preserve"> </w:t>
      </w:r>
      <w:r w:rsidR="00C61611">
        <w:rPr>
          <w:lang w:eastAsia="zh-CN"/>
        </w:rPr>
        <w:t>P</w:t>
      </w:r>
      <w:r w:rsidR="009901BF" w:rsidRPr="009901BF">
        <w:rPr>
          <w:lang w:eastAsia="zh-CN"/>
        </w:rPr>
        <w:t xml:space="preserve">rogress includes training of over 85 vendors (including 12 men) in markets in Fiji on </w:t>
      </w:r>
      <w:r w:rsidR="00737052">
        <w:rPr>
          <w:lang w:eastAsia="zh-CN"/>
        </w:rPr>
        <w:t xml:space="preserve">the </w:t>
      </w:r>
      <w:r w:rsidR="009901BF" w:rsidRPr="009901BF">
        <w:rPr>
          <w:lang w:eastAsia="zh-CN"/>
        </w:rPr>
        <w:t>roles of market vendor associations</w:t>
      </w:r>
      <w:r w:rsidR="00C61611">
        <w:rPr>
          <w:lang w:eastAsia="zh-CN"/>
        </w:rPr>
        <w:t>.</w:t>
      </w:r>
    </w:p>
    <w:p w:rsidR="009901BF" w:rsidRDefault="009901BF" w:rsidP="009901BF">
      <w:pPr>
        <w:pStyle w:val="BodyText"/>
        <w:rPr>
          <w:lang w:eastAsia="zh-CN"/>
        </w:rPr>
      </w:pPr>
      <w:r>
        <w:rPr>
          <w:lang w:eastAsia="zh-CN"/>
        </w:rPr>
        <w:t xml:space="preserve">Regional investments supporting economic growth through increased </w:t>
      </w:r>
      <w:r w:rsidR="00F63BCF" w:rsidRPr="00C01471">
        <w:rPr>
          <w:b/>
          <w:lang w:eastAsia="zh-CN"/>
        </w:rPr>
        <w:t>trade</w:t>
      </w:r>
      <w:r w:rsidR="00F63BCF" w:rsidRPr="00737052">
        <w:rPr>
          <w:lang w:eastAsia="zh-CN"/>
        </w:rPr>
        <w:t xml:space="preserve"> </w:t>
      </w:r>
      <w:r w:rsidR="00F63BCF" w:rsidRPr="00737052">
        <w:rPr>
          <w:b/>
          <w:lang w:eastAsia="zh-CN"/>
        </w:rPr>
        <w:t>and</w:t>
      </w:r>
      <w:r w:rsidR="00A31167" w:rsidRPr="00C01471">
        <w:rPr>
          <w:b/>
          <w:lang w:eastAsia="zh-CN"/>
        </w:rPr>
        <w:t xml:space="preserve"> labour mobility</w:t>
      </w:r>
      <w:r w:rsidR="00A31167">
        <w:rPr>
          <w:b/>
          <w:i/>
          <w:lang w:eastAsia="zh-CN"/>
        </w:rPr>
        <w:t xml:space="preserve"> </w:t>
      </w:r>
      <w:r w:rsidR="00DC45E2">
        <w:rPr>
          <w:lang w:eastAsia="zh-CN"/>
        </w:rPr>
        <w:t>suppor</w:t>
      </w:r>
      <w:r w:rsidR="00BF2D20">
        <w:rPr>
          <w:lang w:eastAsia="zh-CN"/>
        </w:rPr>
        <w:t>ted</w:t>
      </w:r>
      <w:r w:rsidR="00C61611">
        <w:rPr>
          <w:lang w:eastAsia="zh-CN"/>
        </w:rPr>
        <w:t xml:space="preserve"> the following achievement</w:t>
      </w:r>
      <w:r w:rsidR="00BF2D20">
        <w:rPr>
          <w:lang w:eastAsia="zh-CN"/>
        </w:rPr>
        <w:t>s</w:t>
      </w:r>
      <w:r>
        <w:rPr>
          <w:lang w:eastAsia="zh-CN"/>
        </w:rPr>
        <w:t>:</w:t>
      </w:r>
    </w:p>
    <w:p w:rsidR="00742495" w:rsidRDefault="00BA5CCE" w:rsidP="00024FC6">
      <w:pPr>
        <w:pStyle w:val="BodyText"/>
        <w:numPr>
          <w:ilvl w:val="0"/>
          <w:numId w:val="27"/>
        </w:numPr>
        <w:spacing w:after="0"/>
        <w:ind w:left="357" w:hanging="357"/>
        <w:rPr>
          <w:lang w:eastAsia="zh-CN"/>
        </w:rPr>
      </w:pPr>
      <w:r>
        <w:rPr>
          <w:lang w:eastAsia="zh-CN"/>
        </w:rPr>
        <w:t>Australia provided</w:t>
      </w:r>
      <w:r w:rsidR="00BF2D20">
        <w:rPr>
          <w:lang w:eastAsia="zh-CN"/>
        </w:rPr>
        <w:t xml:space="preserve"> support to the Pacific i</w:t>
      </w:r>
      <w:r w:rsidR="00742495">
        <w:rPr>
          <w:lang w:eastAsia="zh-CN"/>
        </w:rPr>
        <w:t>slands to negotiate the PACER Plus trade agreement, including support</w:t>
      </w:r>
      <w:r>
        <w:rPr>
          <w:lang w:eastAsia="zh-CN"/>
        </w:rPr>
        <w:t xml:space="preserve"> to</w:t>
      </w:r>
      <w:r w:rsidR="00742495">
        <w:rPr>
          <w:lang w:eastAsia="zh-CN"/>
        </w:rPr>
        <w:t xml:space="preserve"> the Office of the Chief Trade Adviser to provide high-quality technical advi</w:t>
      </w:r>
      <w:r w:rsidR="009B0E36">
        <w:rPr>
          <w:lang w:eastAsia="zh-CN"/>
        </w:rPr>
        <w:t xml:space="preserve">ce to </w:t>
      </w:r>
      <w:r w:rsidR="00BF2D20">
        <w:rPr>
          <w:lang w:eastAsia="zh-CN"/>
        </w:rPr>
        <w:t>PICs</w:t>
      </w:r>
      <w:r w:rsidR="009B0E36">
        <w:rPr>
          <w:lang w:eastAsia="zh-CN"/>
        </w:rPr>
        <w:t>.</w:t>
      </w:r>
    </w:p>
    <w:p w:rsidR="009B0E36" w:rsidRDefault="009B0E36" w:rsidP="00024FC6">
      <w:pPr>
        <w:pStyle w:val="BodyText"/>
        <w:numPr>
          <w:ilvl w:val="0"/>
          <w:numId w:val="27"/>
        </w:numPr>
        <w:spacing w:after="0"/>
        <w:ind w:left="357" w:hanging="357"/>
        <w:rPr>
          <w:lang w:eastAsia="zh-CN"/>
        </w:rPr>
      </w:pPr>
      <w:r>
        <w:rPr>
          <w:lang w:eastAsia="zh-CN"/>
        </w:rPr>
        <w:t xml:space="preserve">DFAT’s support </w:t>
      </w:r>
      <w:r w:rsidR="00BF2D20">
        <w:rPr>
          <w:lang w:eastAsia="zh-CN"/>
        </w:rPr>
        <w:t>for</w:t>
      </w:r>
      <w:r>
        <w:rPr>
          <w:lang w:eastAsia="zh-CN"/>
        </w:rPr>
        <w:t xml:space="preserve"> the Pacific Islands Forum Secretariat </w:t>
      </w:r>
      <w:r w:rsidR="00BF2D20">
        <w:rPr>
          <w:lang w:eastAsia="zh-CN"/>
        </w:rPr>
        <w:t xml:space="preserve">(PIFS) </w:t>
      </w:r>
      <w:r>
        <w:rPr>
          <w:lang w:eastAsia="zh-CN"/>
        </w:rPr>
        <w:t xml:space="preserve">contributed to Samoa and Nauru ratifying the </w:t>
      </w:r>
      <w:r w:rsidR="00BF2D20">
        <w:rPr>
          <w:lang w:eastAsia="zh-CN"/>
        </w:rPr>
        <w:t>Pacific Islands Countries’ Trade Agreement (</w:t>
      </w:r>
      <w:r>
        <w:rPr>
          <w:lang w:eastAsia="zh-CN"/>
        </w:rPr>
        <w:t>PICTA</w:t>
      </w:r>
      <w:r w:rsidR="00BF2D20">
        <w:rPr>
          <w:lang w:eastAsia="zh-CN"/>
        </w:rPr>
        <w:t>)</w:t>
      </w:r>
      <w:r>
        <w:rPr>
          <w:lang w:eastAsia="zh-CN"/>
        </w:rPr>
        <w:t xml:space="preserve"> Trade in Services (TIS) protocol, bringing the total number of </w:t>
      </w:r>
      <w:r w:rsidR="00737052">
        <w:rPr>
          <w:lang w:eastAsia="zh-CN"/>
        </w:rPr>
        <w:t>PIC</w:t>
      </w:r>
      <w:r>
        <w:rPr>
          <w:lang w:eastAsia="zh-CN"/>
        </w:rPr>
        <w:t xml:space="preserve"> signatories to </w:t>
      </w:r>
      <w:r w:rsidR="00737052">
        <w:rPr>
          <w:lang w:eastAsia="zh-CN"/>
        </w:rPr>
        <w:t xml:space="preserve">10; </w:t>
      </w:r>
      <w:r>
        <w:rPr>
          <w:lang w:eastAsia="zh-CN"/>
        </w:rPr>
        <w:t>the accession of Samoa and Vanuatu to the World Trade Organisation (WTO)</w:t>
      </w:r>
      <w:r w:rsidR="00737052">
        <w:rPr>
          <w:lang w:eastAsia="zh-CN"/>
        </w:rPr>
        <w:t>;</w:t>
      </w:r>
      <w:r>
        <w:rPr>
          <w:lang w:eastAsia="zh-CN"/>
        </w:rPr>
        <w:t xml:space="preserve"> and renewed agreement between PIFS and the WTO to provide capacity building programmes for Forum member country officials.</w:t>
      </w:r>
    </w:p>
    <w:p w:rsidR="00A31167" w:rsidRPr="000F4CF7" w:rsidRDefault="009901BF" w:rsidP="00742495">
      <w:pPr>
        <w:pStyle w:val="BodyText"/>
        <w:numPr>
          <w:ilvl w:val="0"/>
          <w:numId w:val="27"/>
        </w:numPr>
        <w:spacing w:after="0"/>
        <w:ind w:left="357" w:hanging="357"/>
        <w:rPr>
          <w:lang w:eastAsia="zh-CN"/>
        </w:rPr>
      </w:pPr>
      <w:r>
        <w:rPr>
          <w:lang w:eastAsia="zh-CN"/>
        </w:rPr>
        <w:t xml:space="preserve">The Pacific Horticultural and Agricultural Market Access Program </w:t>
      </w:r>
      <w:r w:rsidR="00742495">
        <w:rPr>
          <w:lang w:eastAsia="zh-CN"/>
        </w:rPr>
        <w:t xml:space="preserve">(PHAMA) </w:t>
      </w:r>
      <w:r>
        <w:rPr>
          <w:lang w:eastAsia="zh-CN"/>
        </w:rPr>
        <w:t xml:space="preserve">is helping primary </w:t>
      </w:r>
      <w:r w:rsidRPr="000F4CF7">
        <w:rPr>
          <w:lang w:eastAsia="zh-CN"/>
        </w:rPr>
        <w:t>producers in Fiji, Samoa, Solomon Islands, Tonga and Vanuatu to meet inte</w:t>
      </w:r>
      <w:r w:rsidR="00BF2D20">
        <w:rPr>
          <w:lang w:eastAsia="zh-CN"/>
        </w:rPr>
        <w:t xml:space="preserve">rnational export requirements. </w:t>
      </w:r>
      <w:r w:rsidRPr="000F4CF7">
        <w:rPr>
          <w:lang w:eastAsia="zh-CN"/>
        </w:rPr>
        <w:t xml:space="preserve">PHAMA has been able to successfully investigate and </w:t>
      </w:r>
      <w:r w:rsidR="00DC45E2">
        <w:rPr>
          <w:lang w:eastAsia="zh-CN"/>
        </w:rPr>
        <w:t>establish</w:t>
      </w:r>
      <w:r w:rsidR="00737052">
        <w:rPr>
          <w:lang w:eastAsia="zh-CN"/>
        </w:rPr>
        <w:t xml:space="preserve"> export</w:t>
      </w:r>
      <w:r w:rsidRPr="000F4CF7">
        <w:rPr>
          <w:lang w:eastAsia="zh-CN"/>
        </w:rPr>
        <w:t xml:space="preserve"> pathways for </w:t>
      </w:r>
      <w:r w:rsidR="00C61611" w:rsidRPr="000F4CF7">
        <w:rPr>
          <w:lang w:eastAsia="zh-CN"/>
        </w:rPr>
        <w:t>several key crops.</w:t>
      </w:r>
      <w:r w:rsidR="00C61611" w:rsidRPr="00144001">
        <w:rPr>
          <w:rStyle w:val="FootnoteReference"/>
          <w:rFonts w:ascii="Franklin Gothic Book" w:hAnsi="Franklin Gothic Book"/>
          <w:sz w:val="21"/>
          <w:szCs w:val="21"/>
          <w:vertAlign w:val="superscript"/>
        </w:rPr>
        <w:footnoteReference w:id="18"/>
      </w:r>
    </w:p>
    <w:p w:rsidR="00A31167" w:rsidRPr="000F4CF7" w:rsidRDefault="00737052" w:rsidP="009901BF">
      <w:pPr>
        <w:pStyle w:val="BodyText"/>
        <w:numPr>
          <w:ilvl w:val="0"/>
          <w:numId w:val="27"/>
        </w:numPr>
        <w:spacing w:after="0"/>
        <w:ind w:left="357" w:hanging="357"/>
        <w:rPr>
          <w:lang w:eastAsia="zh-CN"/>
        </w:rPr>
      </w:pPr>
      <w:r>
        <w:t xml:space="preserve">The </w:t>
      </w:r>
      <w:r w:rsidR="009901BF" w:rsidRPr="000F4CF7">
        <w:t xml:space="preserve">Australia-Pacific Technical College (APTC) </w:t>
      </w:r>
      <w:r w:rsidR="00A31167" w:rsidRPr="000F4CF7">
        <w:t xml:space="preserve">continues to produce graduates from </w:t>
      </w:r>
      <w:r w:rsidR="009901BF" w:rsidRPr="000F4CF7">
        <w:t xml:space="preserve">14 PICs with </w:t>
      </w:r>
      <w:r w:rsidRPr="000F4CF7">
        <w:t>Australian</w:t>
      </w:r>
      <w:r>
        <w:t>-</w:t>
      </w:r>
      <w:r w:rsidR="009901BF" w:rsidRPr="000F4CF7">
        <w:t>standard,</w:t>
      </w:r>
      <w:r w:rsidR="00A31167" w:rsidRPr="000F4CF7">
        <w:t xml:space="preserve"> labour market relevant skills. </w:t>
      </w:r>
      <w:r w:rsidR="009901BF" w:rsidRPr="000F4CF7">
        <w:t>Recent research</w:t>
      </w:r>
      <w:r w:rsidR="00655332" w:rsidRPr="00655332">
        <w:rPr>
          <w:rStyle w:val="FootnoteReference"/>
          <w:rFonts w:ascii="Franklin Gothic Book" w:hAnsi="Franklin Gothic Book"/>
          <w:sz w:val="21"/>
          <w:szCs w:val="21"/>
          <w:vertAlign w:val="superscript"/>
        </w:rPr>
        <w:footnoteReference w:id="19"/>
      </w:r>
      <w:r w:rsidR="009901BF" w:rsidRPr="000F4CF7">
        <w:t xml:space="preserve"> has confirmed impressive employment outcomes for APTC graduates (see educa</w:t>
      </w:r>
      <w:r w:rsidR="00742495" w:rsidRPr="000F4CF7">
        <w:t xml:space="preserve">tion section for more details). </w:t>
      </w:r>
      <w:r w:rsidR="009901BF" w:rsidRPr="000F4CF7">
        <w:t xml:space="preserve"> </w:t>
      </w:r>
      <w:r w:rsidR="009901BF" w:rsidRPr="000F4CF7">
        <w:rPr>
          <w:lang w:eastAsia="zh-CN"/>
        </w:rPr>
        <w:t>While the APTC has been very successful in large-scale skill creation and employment outcomes, progress against its other purpose, increasing labour m</w:t>
      </w:r>
      <w:r w:rsidR="00742495" w:rsidRPr="000F4CF7">
        <w:rPr>
          <w:lang w:eastAsia="zh-CN"/>
        </w:rPr>
        <w:t>obility, has been notably low</w:t>
      </w:r>
      <w:r w:rsidR="00A31167" w:rsidRPr="000F4CF7">
        <w:rPr>
          <w:lang w:eastAsia="zh-CN"/>
        </w:rPr>
        <w:t xml:space="preserve"> with o</w:t>
      </w:r>
      <w:r w:rsidR="009901BF" w:rsidRPr="000F4CF7">
        <w:rPr>
          <w:lang w:eastAsia="zh-CN"/>
        </w:rPr>
        <w:t>nly 6.2</w:t>
      </w:r>
      <w:r w:rsidR="00C01471">
        <w:rPr>
          <w:lang w:eastAsia="zh-CN"/>
        </w:rPr>
        <w:t xml:space="preserve"> </w:t>
      </w:r>
      <w:r>
        <w:rPr>
          <w:lang w:eastAsia="zh-CN"/>
        </w:rPr>
        <w:t>per cent</w:t>
      </w:r>
      <w:r w:rsidR="009901BF" w:rsidRPr="000F4CF7">
        <w:rPr>
          <w:lang w:eastAsia="zh-CN"/>
        </w:rPr>
        <w:t xml:space="preserve"> of APTC graduates </w:t>
      </w:r>
      <w:r w:rsidRPr="000F4CF7">
        <w:rPr>
          <w:lang w:eastAsia="zh-CN"/>
        </w:rPr>
        <w:t>hav</w:t>
      </w:r>
      <w:r>
        <w:rPr>
          <w:lang w:eastAsia="zh-CN"/>
        </w:rPr>
        <w:t>ing</w:t>
      </w:r>
      <w:r w:rsidRPr="000F4CF7">
        <w:rPr>
          <w:lang w:eastAsia="zh-CN"/>
        </w:rPr>
        <w:t xml:space="preserve"> </w:t>
      </w:r>
      <w:r w:rsidR="009901BF" w:rsidRPr="000F4CF7">
        <w:rPr>
          <w:lang w:eastAsia="zh-CN"/>
        </w:rPr>
        <w:t>moved between regions, or to another country</w:t>
      </w:r>
      <w:r>
        <w:rPr>
          <w:lang w:eastAsia="zh-CN"/>
        </w:rPr>
        <w:t>.</w:t>
      </w:r>
      <w:r w:rsidR="00655332" w:rsidRPr="00655332">
        <w:rPr>
          <w:rStyle w:val="FootnoteReference"/>
          <w:rFonts w:ascii="Franklin Gothic Book" w:hAnsi="Franklin Gothic Book"/>
          <w:sz w:val="21"/>
          <w:szCs w:val="21"/>
          <w:vertAlign w:val="superscript"/>
        </w:rPr>
        <w:footnoteReference w:id="20"/>
      </w:r>
      <w:r w:rsidR="009901BF" w:rsidRPr="000F4CF7">
        <w:rPr>
          <w:lang w:eastAsia="zh-CN"/>
        </w:rPr>
        <w:t xml:space="preserve"> Recent research</w:t>
      </w:r>
      <w:r w:rsidR="00655332" w:rsidRPr="00BF2D20">
        <w:rPr>
          <w:rStyle w:val="FootnoteReference"/>
          <w:rFonts w:ascii="Franklin Gothic Book" w:hAnsi="Franklin Gothic Book"/>
          <w:sz w:val="21"/>
          <w:szCs w:val="21"/>
          <w:vertAlign w:val="superscript"/>
        </w:rPr>
        <w:footnoteReference w:id="21"/>
      </w:r>
      <w:r w:rsidR="009901BF" w:rsidRPr="00BF2D20">
        <w:rPr>
          <w:rStyle w:val="FootnoteReference"/>
          <w:rFonts w:ascii="Franklin Gothic Book" w:hAnsi="Franklin Gothic Book"/>
          <w:sz w:val="21"/>
          <w:szCs w:val="21"/>
          <w:vertAlign w:val="superscript"/>
        </w:rPr>
        <w:t xml:space="preserve"> </w:t>
      </w:r>
      <w:r w:rsidR="009901BF" w:rsidRPr="000F4CF7">
        <w:rPr>
          <w:lang w:eastAsia="zh-CN"/>
        </w:rPr>
        <w:t>found the most important limits on migration opportunity to Australia are the lack of an affordable path for APTC graduates to get their skills and experience assessed and certified, and mechanisms for establishing linkages with potential Australian employers.</w:t>
      </w:r>
    </w:p>
    <w:p w:rsidR="009901BF" w:rsidRPr="000F4CF7" w:rsidRDefault="00A31167" w:rsidP="009901BF">
      <w:pPr>
        <w:pStyle w:val="BodyText"/>
        <w:numPr>
          <w:ilvl w:val="0"/>
          <w:numId w:val="27"/>
        </w:numPr>
        <w:spacing w:after="0"/>
        <w:ind w:left="357" w:hanging="357"/>
        <w:rPr>
          <w:lang w:eastAsia="zh-CN"/>
        </w:rPr>
      </w:pPr>
      <w:r w:rsidRPr="000F4CF7">
        <w:rPr>
          <w:lang w:eastAsia="zh-CN"/>
        </w:rPr>
        <w:t>A</w:t>
      </w:r>
      <w:r w:rsidR="009901BF" w:rsidRPr="000F4CF7">
        <w:rPr>
          <w:lang w:eastAsia="zh-CN"/>
        </w:rPr>
        <w:t xml:space="preserve">ustralia’s Seasonal Worker Program </w:t>
      </w:r>
      <w:r w:rsidR="00BF2D20">
        <w:rPr>
          <w:lang w:eastAsia="zh-CN"/>
        </w:rPr>
        <w:t xml:space="preserve">(SWP) </w:t>
      </w:r>
      <w:r w:rsidR="009901BF" w:rsidRPr="000F4CF7">
        <w:rPr>
          <w:lang w:eastAsia="zh-CN"/>
        </w:rPr>
        <w:t xml:space="preserve">facilitated </w:t>
      </w:r>
      <w:r w:rsidR="00214DE5">
        <w:rPr>
          <w:lang w:eastAsia="zh-CN"/>
        </w:rPr>
        <w:t xml:space="preserve">access to jobs in Australia for </w:t>
      </w:r>
      <w:r w:rsidR="009901BF" w:rsidRPr="000F4CF7">
        <w:rPr>
          <w:lang w:eastAsia="zh-CN"/>
        </w:rPr>
        <w:t xml:space="preserve">923 (828 male, 95 female) workers from Kiribati, Nauru, </w:t>
      </w:r>
      <w:r w:rsidR="00F63BCF">
        <w:rPr>
          <w:lang w:eastAsia="zh-CN"/>
        </w:rPr>
        <w:t>PNG</w:t>
      </w:r>
      <w:r w:rsidR="009901BF" w:rsidRPr="000F4CF7">
        <w:rPr>
          <w:lang w:eastAsia="zh-CN"/>
        </w:rPr>
        <w:t>, Samoa, Solomon Islands, Tonga, Timor-Leste, Tuvalu and Vanuatu</w:t>
      </w:r>
      <w:r w:rsidR="00BF2D20">
        <w:rPr>
          <w:lang w:eastAsia="zh-CN"/>
        </w:rPr>
        <w:t>. </w:t>
      </w:r>
      <w:r w:rsidR="009901BF" w:rsidRPr="000F4CF7">
        <w:rPr>
          <w:lang w:eastAsia="zh-CN"/>
        </w:rPr>
        <w:t>The average seasonal worker remits around $5,000 - $6,000 for a six-month placement, meaning that during this year around $5 million has been remitted to the Pacific.</w:t>
      </w:r>
    </w:p>
    <w:p w:rsidR="009901BF" w:rsidRDefault="009901BF" w:rsidP="009901BF">
      <w:pPr>
        <w:pStyle w:val="Heading4"/>
        <w:numPr>
          <w:ilvl w:val="0"/>
          <w:numId w:val="0"/>
        </w:numPr>
      </w:pPr>
      <w:r>
        <w:t>Factors affecting progress and future actions</w:t>
      </w:r>
      <w:r>
        <w:rPr>
          <w:rStyle w:val="CommentReference"/>
          <w:sz w:val="18"/>
          <w:szCs w:val="18"/>
          <w:lang w:eastAsia="en-US"/>
        </w:rPr>
        <w:t> </w:t>
      </w:r>
      <w:r>
        <w:rPr>
          <w:rStyle w:val="CommentReference"/>
          <w:lang w:eastAsia="en-US"/>
        </w:rPr>
        <w:t> </w:t>
      </w:r>
    </w:p>
    <w:p w:rsidR="009901BF" w:rsidRPr="00742495" w:rsidRDefault="00742495" w:rsidP="009901BF">
      <w:pPr>
        <w:pStyle w:val="BodyText"/>
        <w:rPr>
          <w:lang w:eastAsia="zh-CN"/>
        </w:rPr>
      </w:pPr>
      <w:r>
        <w:rPr>
          <w:lang w:eastAsia="zh-CN"/>
        </w:rPr>
        <w:t>Regional investments in this area wi</w:t>
      </w:r>
      <w:r w:rsidR="00BF2D20">
        <w:rPr>
          <w:lang w:eastAsia="zh-CN"/>
        </w:rPr>
        <w:t>ll continue to expand in 2014/15</w:t>
      </w:r>
      <w:r>
        <w:rPr>
          <w:lang w:eastAsia="zh-CN"/>
        </w:rPr>
        <w:t xml:space="preserve"> with a particular focus on further work to forge partnerships with the pri</w:t>
      </w:r>
      <w:r w:rsidR="00BF2D20">
        <w:rPr>
          <w:lang w:eastAsia="zh-CN"/>
        </w:rPr>
        <w:t xml:space="preserve">vate sector across the region. </w:t>
      </w:r>
      <w:r w:rsidR="009901BF">
        <w:rPr>
          <w:lang w:eastAsia="zh-CN"/>
        </w:rPr>
        <w:t>Greater participation of women in the SWP is one area that will be considered in the new design</w:t>
      </w:r>
      <w:r w:rsidR="001029EA">
        <w:rPr>
          <w:lang w:eastAsia="zh-CN"/>
        </w:rPr>
        <w:t xml:space="preserve"> of the Labour Mobility Initiative</w:t>
      </w:r>
      <w:r w:rsidR="009901BF">
        <w:rPr>
          <w:lang w:eastAsia="zh-CN"/>
        </w:rPr>
        <w:t>. We are also developing partnerships with banks to provide better access to financial service products and to reduce the cost of remittances so that more money earned by SWP participa</w:t>
      </w:r>
      <w:r w:rsidR="00BF2D20">
        <w:rPr>
          <w:lang w:eastAsia="zh-CN"/>
        </w:rPr>
        <w:t xml:space="preserve">nts is </w:t>
      </w:r>
      <w:r w:rsidR="00DC45E2">
        <w:rPr>
          <w:lang w:eastAsia="zh-CN"/>
        </w:rPr>
        <w:t xml:space="preserve">repatriated and </w:t>
      </w:r>
      <w:r w:rsidR="009901BF">
        <w:rPr>
          <w:lang w:eastAsia="zh-CN"/>
        </w:rPr>
        <w:t xml:space="preserve">invested wisely. </w:t>
      </w:r>
    </w:p>
    <w:p w:rsidR="00CB4139" w:rsidRDefault="00CB4139" w:rsidP="00CB4139">
      <w:pPr>
        <w:pStyle w:val="Heading3"/>
      </w:pPr>
      <w:r>
        <w:lastRenderedPageBreak/>
        <w:t xml:space="preserve">Fisheries </w:t>
      </w:r>
    </w:p>
    <w:p w:rsidR="00CB4139" w:rsidRDefault="00CB4139" w:rsidP="00CB4139">
      <w:pPr>
        <w:pStyle w:val="BodyText"/>
      </w:pPr>
      <w:r>
        <w:t>Fisheries is a key economic driver in the Pacific region.</w:t>
      </w:r>
      <w:r>
        <w:rPr>
          <w:vertAlign w:val="superscript"/>
        </w:rPr>
        <w:footnoteReference w:id="22"/>
      </w:r>
      <w:r>
        <w:t xml:space="preserve"> Australia supports the sector primarily through regional approaches. The Secretariat of the Pacific Community (SPC) and the Forum Fisheries Agency (FFA), supported by the Australian Centre for International Agricultural Research (ACIAR)</w:t>
      </w:r>
      <w:r w:rsidR="00DD1814">
        <w:t>,</w:t>
      </w:r>
      <w:r>
        <w:t xml:space="preserve"> continue to be effective and efficient avenues for Australian support. Recent highlights include:  </w:t>
      </w:r>
    </w:p>
    <w:p w:rsidR="00CB4139" w:rsidRDefault="00CB4139" w:rsidP="00CB4139">
      <w:pPr>
        <w:pStyle w:val="Default"/>
        <w:numPr>
          <w:ilvl w:val="0"/>
          <w:numId w:val="20"/>
        </w:numPr>
        <w:spacing w:line="280" w:lineRule="exact"/>
        <w:ind w:left="714" w:hanging="357"/>
        <w:rPr>
          <w:rFonts w:ascii="Franklin Gothic Book" w:hAnsi="Franklin Gothic Book"/>
          <w:bCs/>
          <w:sz w:val="21"/>
          <w:szCs w:val="21"/>
        </w:rPr>
      </w:pPr>
      <w:r>
        <w:rPr>
          <w:rFonts w:ascii="Franklin Gothic Book" w:hAnsi="Franklin Gothic Book"/>
          <w:i/>
          <w:sz w:val="21"/>
          <w:szCs w:val="21"/>
        </w:rPr>
        <w:t>Economic</w:t>
      </w:r>
      <w:r>
        <w:rPr>
          <w:rFonts w:ascii="Franklin Gothic Book" w:hAnsi="Franklin Gothic Book"/>
          <w:bCs/>
          <w:i/>
          <w:iCs/>
          <w:sz w:val="21"/>
          <w:szCs w:val="21"/>
        </w:rPr>
        <w:t xml:space="preserve"> development</w:t>
      </w:r>
      <w:r>
        <w:rPr>
          <w:rFonts w:ascii="Franklin Gothic Book" w:hAnsi="Franklin Gothic Book"/>
          <w:sz w:val="21"/>
          <w:szCs w:val="21"/>
        </w:rPr>
        <w:t>: GDP, government revenues, exports and the vessel day benchmark price have all increased substantially; onshore investments in fisheries are increasing, as are exports to the European Union and other markets. Significant progress has been made towards the renegotiation of the US Tuna Treaty.</w:t>
      </w:r>
    </w:p>
    <w:p w:rsidR="00CB4139" w:rsidRDefault="00CB4139" w:rsidP="00CB4139">
      <w:pPr>
        <w:pStyle w:val="Default"/>
        <w:numPr>
          <w:ilvl w:val="0"/>
          <w:numId w:val="20"/>
        </w:numPr>
        <w:spacing w:line="280" w:lineRule="exact"/>
        <w:ind w:left="714" w:hanging="357"/>
        <w:rPr>
          <w:rFonts w:ascii="Franklin Gothic Book" w:hAnsi="Franklin Gothic Book"/>
          <w:sz w:val="21"/>
          <w:szCs w:val="21"/>
        </w:rPr>
      </w:pPr>
      <w:r>
        <w:rPr>
          <w:rFonts w:ascii="Franklin Gothic Book" w:hAnsi="Franklin Gothic Book"/>
          <w:bCs/>
          <w:i/>
          <w:sz w:val="21"/>
          <w:szCs w:val="21"/>
        </w:rPr>
        <w:t xml:space="preserve">Food security and livelihoods: </w:t>
      </w:r>
      <w:r>
        <w:rPr>
          <w:rFonts w:ascii="Franklin Gothic Book" w:hAnsi="Franklin Gothic Book"/>
          <w:sz w:val="21"/>
          <w:szCs w:val="21"/>
        </w:rPr>
        <w:t xml:space="preserve">Support for aquaculture enterprises and trials of the use of by-catch for food has stepped up. Trials of new community-based fisheries management initiatives have commenced.  </w:t>
      </w:r>
    </w:p>
    <w:p w:rsidR="00CB4139" w:rsidRDefault="00CB4139" w:rsidP="00CB4139">
      <w:pPr>
        <w:pStyle w:val="Default"/>
        <w:numPr>
          <w:ilvl w:val="0"/>
          <w:numId w:val="20"/>
        </w:numPr>
        <w:spacing w:line="280" w:lineRule="exact"/>
        <w:ind w:left="714" w:hanging="357"/>
        <w:rPr>
          <w:rFonts w:ascii="Franklin Gothic Book" w:hAnsi="Franklin Gothic Book"/>
          <w:sz w:val="21"/>
          <w:szCs w:val="21"/>
        </w:rPr>
      </w:pPr>
      <w:r>
        <w:rPr>
          <w:rFonts w:ascii="Franklin Gothic Book" w:hAnsi="Franklin Gothic Book"/>
          <w:bCs/>
          <w:i/>
          <w:iCs/>
          <w:sz w:val="21"/>
          <w:szCs w:val="21"/>
        </w:rPr>
        <w:t>Management Measures</w:t>
      </w:r>
      <w:r>
        <w:rPr>
          <w:rFonts w:ascii="Franklin Gothic Book" w:hAnsi="Franklin Gothic Book"/>
          <w:sz w:val="21"/>
          <w:szCs w:val="21"/>
        </w:rPr>
        <w:t xml:space="preserve">: In December 2013, two new Western and Central Pacific Fisheries Commission (WCPFC) measures on conservation burdens and the special requirements of Small Island Developing States were adopted.  Challenges remain in securing the full cooperation of the Distant Water Fishing Nations.  </w:t>
      </w:r>
    </w:p>
    <w:p w:rsidR="00CB4139" w:rsidRDefault="00CB4139" w:rsidP="00CB4139">
      <w:pPr>
        <w:pStyle w:val="Default"/>
        <w:numPr>
          <w:ilvl w:val="0"/>
          <w:numId w:val="20"/>
        </w:numPr>
        <w:spacing w:line="280" w:lineRule="exact"/>
        <w:ind w:left="714" w:hanging="357"/>
        <w:rPr>
          <w:rFonts w:ascii="Franklin Gothic Book" w:hAnsi="Franklin Gothic Book"/>
          <w:sz w:val="21"/>
          <w:szCs w:val="21"/>
        </w:rPr>
      </w:pPr>
      <w:r>
        <w:rPr>
          <w:rFonts w:ascii="Franklin Gothic Book" w:hAnsi="Franklin Gothic Book"/>
          <w:bCs/>
          <w:i/>
          <w:iCs/>
          <w:sz w:val="21"/>
          <w:szCs w:val="21"/>
        </w:rPr>
        <w:t>Surveillance and Compliance</w:t>
      </w:r>
      <w:r>
        <w:rPr>
          <w:rFonts w:ascii="Franklin Gothic Book" w:hAnsi="Franklin Gothic Book"/>
          <w:sz w:val="21"/>
          <w:szCs w:val="21"/>
        </w:rPr>
        <w:t>: The Vessel Day Scheme effectively limited in-zone fishing effort</w:t>
      </w:r>
      <w:r w:rsidR="00DD1814">
        <w:rPr>
          <w:rFonts w:ascii="Franklin Gothic Book" w:hAnsi="Franklin Gothic Book"/>
          <w:sz w:val="21"/>
          <w:szCs w:val="21"/>
        </w:rPr>
        <w:t>s</w:t>
      </w:r>
      <w:r>
        <w:rPr>
          <w:rFonts w:ascii="Franklin Gothic Book" w:hAnsi="Franklin Gothic Book"/>
          <w:sz w:val="21"/>
          <w:szCs w:val="21"/>
        </w:rPr>
        <w:t>. Fifteen (of 17) FFA members were assessed as compliant under the WCPFC compliance monitoring scheme. Increased Vessel Monitoring Scheme reporting rates: 98.7</w:t>
      </w:r>
      <w:r w:rsidR="00C01471">
        <w:rPr>
          <w:rFonts w:ascii="Franklin Gothic Book" w:hAnsi="Franklin Gothic Book"/>
          <w:sz w:val="21"/>
          <w:szCs w:val="21"/>
        </w:rPr>
        <w:t xml:space="preserve"> </w:t>
      </w:r>
      <w:r w:rsidR="00737052">
        <w:rPr>
          <w:rFonts w:ascii="Franklin Gothic Book" w:hAnsi="Franklin Gothic Book"/>
          <w:sz w:val="21"/>
          <w:szCs w:val="21"/>
        </w:rPr>
        <w:t>per cent</w:t>
      </w:r>
      <w:r>
        <w:rPr>
          <w:rFonts w:ascii="Franklin Gothic Book" w:hAnsi="Franklin Gothic Book"/>
          <w:sz w:val="21"/>
          <w:szCs w:val="21"/>
        </w:rPr>
        <w:t xml:space="preserve"> in 2013 (from 89.7</w:t>
      </w:r>
      <w:r w:rsidR="00C01471">
        <w:rPr>
          <w:rFonts w:ascii="Franklin Gothic Book" w:hAnsi="Franklin Gothic Book"/>
          <w:sz w:val="21"/>
          <w:szCs w:val="21"/>
        </w:rPr>
        <w:t xml:space="preserve"> </w:t>
      </w:r>
      <w:r w:rsidR="00737052">
        <w:rPr>
          <w:rFonts w:ascii="Franklin Gothic Book" w:hAnsi="Franklin Gothic Book"/>
          <w:sz w:val="21"/>
          <w:szCs w:val="21"/>
        </w:rPr>
        <w:t>per cent</w:t>
      </w:r>
      <w:r>
        <w:rPr>
          <w:rFonts w:ascii="Franklin Gothic Book" w:hAnsi="Franklin Gothic Book"/>
          <w:sz w:val="21"/>
          <w:szCs w:val="21"/>
        </w:rPr>
        <w:t xml:space="preserve"> in 2012). The Niue Treaty Subsidiary Agreement, for the sharing of fisheries and law enforcement information</w:t>
      </w:r>
      <w:r w:rsidR="00DD1814">
        <w:rPr>
          <w:rFonts w:ascii="Franklin Gothic Book" w:hAnsi="Franklin Gothic Book"/>
          <w:sz w:val="21"/>
          <w:szCs w:val="21"/>
        </w:rPr>
        <w:t>,</w:t>
      </w:r>
      <w:r>
        <w:rPr>
          <w:rFonts w:ascii="Franklin Gothic Book" w:hAnsi="Franklin Gothic Book"/>
          <w:sz w:val="21"/>
          <w:szCs w:val="21"/>
        </w:rPr>
        <w:t xml:space="preserve"> was advanced.</w:t>
      </w:r>
      <w:r w:rsidRPr="00BF2D20">
        <w:rPr>
          <w:rStyle w:val="FootnoteReference"/>
          <w:rFonts w:ascii="Franklin Gothic Book" w:eastAsia="Times New Roman" w:hAnsi="Franklin Gothic Book"/>
          <w:color w:val="auto"/>
          <w:sz w:val="21"/>
          <w:szCs w:val="21"/>
          <w:vertAlign w:val="superscript"/>
          <w:lang w:val="en-AU"/>
        </w:rPr>
        <w:footnoteReference w:id="23"/>
      </w:r>
      <w:r>
        <w:rPr>
          <w:rFonts w:ascii="Franklin Gothic Book" w:hAnsi="Franklin Gothic Book"/>
          <w:sz w:val="21"/>
          <w:szCs w:val="21"/>
        </w:rPr>
        <w:t xml:space="preserve"> Effective coordination of regional surveillance operations continued.  </w:t>
      </w:r>
    </w:p>
    <w:p w:rsidR="00CB4139" w:rsidRDefault="00CB4139" w:rsidP="00CB4139">
      <w:pPr>
        <w:pStyle w:val="BodyText"/>
        <w:numPr>
          <w:ilvl w:val="0"/>
          <w:numId w:val="20"/>
        </w:numPr>
        <w:rPr>
          <w:i/>
        </w:rPr>
      </w:pPr>
      <w:r>
        <w:rPr>
          <w:i/>
        </w:rPr>
        <w:t xml:space="preserve">Women and fisheries: </w:t>
      </w:r>
      <w:r>
        <w:t xml:space="preserve">In 2013, </w:t>
      </w:r>
      <w:r w:rsidRPr="00BF2D20">
        <w:t>FFA i</w:t>
      </w:r>
      <w:r>
        <w:t>ncluded gender measures in the minimum terms and conditions required of vessels operating within FFA waters (including separated on-board accommodation),</w:t>
      </w:r>
      <w:r w:rsidRPr="00BF2D20">
        <w:rPr>
          <w:szCs w:val="21"/>
        </w:rPr>
        <w:t xml:space="preserve"> </w:t>
      </w:r>
      <w:r w:rsidR="00DD1814">
        <w:rPr>
          <w:szCs w:val="21"/>
        </w:rPr>
        <w:t xml:space="preserve">and </w:t>
      </w:r>
      <w:r w:rsidRPr="00BF2D20">
        <w:rPr>
          <w:szCs w:val="21"/>
        </w:rPr>
        <w:t>SPC prepared</w:t>
      </w:r>
      <w:r>
        <w:rPr>
          <w:szCs w:val="21"/>
        </w:rPr>
        <w:t xml:space="preserve"> a study of gender in fisheries science and management, which proposes ways to promote women in this field.  The promotion of the role of women is central to the </w:t>
      </w:r>
      <w:r w:rsidR="00DD1814">
        <w:rPr>
          <w:szCs w:val="21"/>
        </w:rPr>
        <w:t>community-</w:t>
      </w:r>
      <w:r>
        <w:rPr>
          <w:szCs w:val="21"/>
        </w:rPr>
        <w:t xml:space="preserve">based fisheries management trials. </w:t>
      </w:r>
    </w:p>
    <w:p w:rsidR="00CB4139" w:rsidRPr="006B4151" w:rsidRDefault="00CB4139" w:rsidP="006B4151">
      <w:pPr>
        <w:pStyle w:val="Heading4"/>
        <w:numPr>
          <w:ilvl w:val="0"/>
          <w:numId w:val="0"/>
        </w:numPr>
      </w:pPr>
      <w:r>
        <w:t>Factors affecting progress and future actions</w:t>
      </w:r>
    </w:p>
    <w:p w:rsidR="00CB4139" w:rsidRDefault="00CB4139" w:rsidP="00CB4139">
      <w:pPr>
        <w:pStyle w:val="Default"/>
        <w:spacing w:after="120" w:line="280" w:lineRule="exact"/>
        <w:rPr>
          <w:rFonts w:ascii="Franklin Gothic Book" w:eastAsia="Times New Roman" w:hAnsi="Franklin Gothic Book"/>
          <w:color w:val="auto"/>
          <w:sz w:val="21"/>
          <w:lang w:val="en-AU" w:eastAsia="zh-CN"/>
        </w:rPr>
      </w:pPr>
      <w:r>
        <w:rPr>
          <w:rFonts w:ascii="Franklin Gothic Book" w:eastAsia="Times New Roman" w:hAnsi="Franklin Gothic Book"/>
          <w:color w:val="auto"/>
          <w:sz w:val="21"/>
          <w:lang w:val="en-AU" w:eastAsia="zh-CN"/>
        </w:rPr>
        <w:t xml:space="preserve">Notwithstanding recent successes, the long term sustainability and profitability of Pacific fisheries is threatened by potential overfishing and overcapacity. The extent of illegal, unreported and unregulated fishing, including on the high seas, remains a challenging issue requiring strong international cooperation and advocacy. The financial viability of the region’s long line albacore fishery is under threat from more efficient foreign fleets. Further, challenges to the domestic industry include limited infrastructure capital, the high cost of doing business, difficulties in maintaining EU preferential market access, and fluctuations in the market price of tuna.  Inshore fisheries remain under threat from population growth, over-exploitation and environmental factors.  </w:t>
      </w:r>
    </w:p>
    <w:p w:rsidR="00CB4139" w:rsidRDefault="00CB4139" w:rsidP="00CB4139">
      <w:pPr>
        <w:pStyle w:val="Default"/>
        <w:spacing w:after="120" w:line="280" w:lineRule="exact"/>
      </w:pPr>
      <w:r>
        <w:rPr>
          <w:rFonts w:ascii="Franklin Gothic Book" w:eastAsia="Times New Roman" w:hAnsi="Franklin Gothic Book"/>
          <w:color w:val="auto"/>
          <w:sz w:val="21"/>
          <w:lang w:val="en-AU" w:eastAsia="zh-CN"/>
        </w:rPr>
        <w:t>We will promote and sustain our investments in regional fisheries reflecting the Australian Government’s commitment to enhanced engagement in the broader Agriculture, Fisheries and Water sectors as part of Australia’s new global aid policy framework.</w:t>
      </w:r>
    </w:p>
    <w:p w:rsidR="00971B9C" w:rsidRDefault="00971B9C" w:rsidP="00AD593C">
      <w:pPr>
        <w:pStyle w:val="Heading3"/>
      </w:pPr>
      <w:r w:rsidRPr="00971B9C">
        <w:t>Effective governance: policies, institutions and functioning economies</w:t>
      </w:r>
    </w:p>
    <w:p w:rsidR="005321C4" w:rsidRPr="005321C4" w:rsidRDefault="005321C4" w:rsidP="005E4462">
      <w:pPr>
        <w:pStyle w:val="BodyText"/>
        <w:rPr>
          <w:lang w:eastAsia="zh-CN"/>
        </w:rPr>
      </w:pPr>
      <w:r>
        <w:rPr>
          <w:lang w:eastAsia="zh-CN"/>
        </w:rPr>
        <w:lastRenderedPageBreak/>
        <w:t>Over the period July 2013</w:t>
      </w:r>
      <w:r w:rsidR="00BF2D20">
        <w:rPr>
          <w:lang w:eastAsia="zh-CN"/>
        </w:rPr>
        <w:t xml:space="preserve"> - </w:t>
      </w:r>
      <w:r>
        <w:rPr>
          <w:lang w:eastAsia="zh-CN"/>
        </w:rPr>
        <w:t xml:space="preserve">June 2014 </w:t>
      </w:r>
      <w:r w:rsidR="009D7FD6">
        <w:rPr>
          <w:lang w:eastAsia="zh-CN"/>
        </w:rPr>
        <w:t xml:space="preserve">Australia supported improved regional governance through the </w:t>
      </w:r>
      <w:r w:rsidR="00BF2D20">
        <w:rPr>
          <w:lang w:eastAsia="zh-CN"/>
        </w:rPr>
        <w:t>PROs</w:t>
      </w:r>
      <w:r w:rsidR="009D7FD6">
        <w:rPr>
          <w:lang w:eastAsia="zh-CN"/>
        </w:rPr>
        <w:t>, of which we are a key m</w:t>
      </w:r>
      <w:r w:rsidR="00340AB4">
        <w:rPr>
          <w:lang w:eastAsia="zh-CN"/>
        </w:rPr>
        <w:t xml:space="preserve">ember and development partner. </w:t>
      </w:r>
      <w:r>
        <w:rPr>
          <w:lang w:eastAsia="zh-CN"/>
        </w:rPr>
        <w:t xml:space="preserve">Australia </w:t>
      </w:r>
      <w:r w:rsidR="009D7FD6">
        <w:rPr>
          <w:lang w:eastAsia="zh-CN"/>
        </w:rPr>
        <w:t xml:space="preserve">also supported improved </w:t>
      </w:r>
      <w:r>
        <w:rPr>
          <w:lang w:eastAsia="zh-CN"/>
        </w:rPr>
        <w:t xml:space="preserve">governance in </w:t>
      </w:r>
      <w:r w:rsidR="009D7FD6">
        <w:rPr>
          <w:lang w:eastAsia="zh-CN"/>
        </w:rPr>
        <w:t xml:space="preserve">individual </w:t>
      </w:r>
      <w:r w:rsidR="00DD1814">
        <w:rPr>
          <w:lang w:eastAsia="zh-CN"/>
        </w:rPr>
        <w:t>PICs</w:t>
      </w:r>
      <w:r>
        <w:rPr>
          <w:lang w:eastAsia="zh-CN"/>
        </w:rPr>
        <w:t xml:space="preserve"> </w:t>
      </w:r>
      <w:r w:rsidR="009D7FD6">
        <w:rPr>
          <w:lang w:eastAsia="zh-CN"/>
        </w:rPr>
        <w:t>through a</w:t>
      </w:r>
      <w:r>
        <w:rPr>
          <w:lang w:eastAsia="zh-CN"/>
        </w:rPr>
        <w:t xml:space="preserve"> range of discrete initiatives</w:t>
      </w:r>
      <w:r w:rsidR="006E3887">
        <w:rPr>
          <w:lang w:eastAsia="zh-CN"/>
        </w:rPr>
        <w:t xml:space="preserve"> </w:t>
      </w:r>
      <w:r w:rsidR="006E3887">
        <w:t>in e</w:t>
      </w:r>
      <w:r w:rsidR="009D7FD6">
        <w:t>conomic management, social protection and inclusion, media and leadership.</w:t>
      </w:r>
    </w:p>
    <w:p w:rsidR="009B0E36" w:rsidRDefault="009B0E36" w:rsidP="009B0E36">
      <w:pPr>
        <w:pStyle w:val="Heading4"/>
        <w:numPr>
          <w:ilvl w:val="3"/>
          <w:numId w:val="22"/>
        </w:numPr>
      </w:pPr>
      <w:r>
        <w:t>Pacific regional organisations</w:t>
      </w:r>
    </w:p>
    <w:p w:rsidR="00AD593C" w:rsidRDefault="0082772C" w:rsidP="00AD593C">
      <w:pPr>
        <w:pStyle w:val="BodyText"/>
        <w:jc w:val="both"/>
        <w:rPr>
          <w:rFonts w:cs="Arial"/>
          <w:szCs w:val="21"/>
        </w:rPr>
      </w:pPr>
      <w:r>
        <w:rPr>
          <w:shd w:val="clear" w:color="auto" w:fill="FFFFFF"/>
        </w:rPr>
        <w:t xml:space="preserve">Australia has </w:t>
      </w:r>
      <w:r w:rsidRPr="00322F46">
        <w:rPr>
          <w:shd w:val="clear" w:color="auto" w:fill="FFFFFF"/>
        </w:rPr>
        <w:t>played an active role in Pacific regionalism for over 60 years</w:t>
      </w:r>
      <w:r>
        <w:rPr>
          <w:shd w:val="clear" w:color="auto" w:fill="FFFFFF"/>
        </w:rPr>
        <w:t xml:space="preserve">; our </w:t>
      </w:r>
      <w:r w:rsidRPr="00322F46">
        <w:rPr>
          <w:shd w:val="clear" w:color="auto" w:fill="FFFFFF"/>
        </w:rPr>
        <w:t>support for regional organisations</w:t>
      </w:r>
      <w:r>
        <w:rPr>
          <w:shd w:val="clear" w:color="auto" w:fill="FFFFFF"/>
        </w:rPr>
        <w:t xml:space="preserve"> being a longstanding policy position. </w:t>
      </w:r>
      <w:r w:rsidR="00BF2D20">
        <w:rPr>
          <w:rFonts w:cs="Arial"/>
          <w:szCs w:val="21"/>
        </w:rPr>
        <w:t>R</w:t>
      </w:r>
      <w:r w:rsidR="009B0E36" w:rsidRPr="009B0E36">
        <w:rPr>
          <w:rFonts w:cs="Arial"/>
          <w:szCs w:val="21"/>
        </w:rPr>
        <w:t xml:space="preserve">egional organisations in the Pacific are central to the pursuit of regionalism, providing their members with opportunities for collective action that would not otherwise be possible. For Australia, they are important vehicles for policy dialogue and for advancing our </w:t>
      </w:r>
      <w:r w:rsidR="009B0E36" w:rsidRPr="009B0E36">
        <w:rPr>
          <w:szCs w:val="21"/>
          <w:lang w:eastAsia="zh-CN"/>
        </w:rPr>
        <w:t>considerable</w:t>
      </w:r>
      <w:r w:rsidR="009B0E36" w:rsidRPr="009B0E36">
        <w:rPr>
          <w:rFonts w:cs="Arial"/>
          <w:szCs w:val="21"/>
        </w:rPr>
        <w:t xml:space="preserve"> foreign</w:t>
      </w:r>
      <w:r w:rsidR="008D0C12">
        <w:rPr>
          <w:rFonts w:cs="Arial"/>
          <w:szCs w:val="21"/>
        </w:rPr>
        <w:t xml:space="preserve"> policy</w:t>
      </w:r>
      <w:r w:rsidR="009B0E36" w:rsidRPr="009B0E36">
        <w:rPr>
          <w:rFonts w:cs="Arial"/>
          <w:szCs w:val="21"/>
        </w:rPr>
        <w:t>, trade, defence and developmen</w:t>
      </w:r>
      <w:r w:rsidR="008621FA">
        <w:rPr>
          <w:rFonts w:cs="Arial"/>
          <w:szCs w:val="21"/>
        </w:rPr>
        <w:t xml:space="preserve">t interests across the region. </w:t>
      </w:r>
      <w:r w:rsidR="009B0E36" w:rsidRPr="009B0E36">
        <w:rPr>
          <w:rFonts w:cs="Arial"/>
          <w:szCs w:val="21"/>
        </w:rPr>
        <w:t xml:space="preserve">As a member of the major </w:t>
      </w:r>
      <w:r w:rsidR="00340AB4">
        <w:rPr>
          <w:rFonts w:cs="Arial"/>
          <w:szCs w:val="21"/>
        </w:rPr>
        <w:t>PROs</w:t>
      </w:r>
      <w:r w:rsidR="009B0E36" w:rsidRPr="009B0E36">
        <w:rPr>
          <w:rFonts w:cs="Arial"/>
          <w:szCs w:val="21"/>
        </w:rPr>
        <w:t>, as well as their most significant development partner, we have a key role to play in positioning and enabling them to contribute to regional growth, stability and development in the Pacific.</w:t>
      </w:r>
      <w:r w:rsidR="00AD593C">
        <w:rPr>
          <w:rFonts w:cs="Arial"/>
          <w:szCs w:val="21"/>
        </w:rPr>
        <w:t xml:space="preserve">  </w:t>
      </w:r>
    </w:p>
    <w:p w:rsidR="00AD593C" w:rsidRDefault="009B0E36" w:rsidP="00AD593C">
      <w:pPr>
        <w:pStyle w:val="BodyText"/>
        <w:jc w:val="both"/>
      </w:pPr>
      <w:r w:rsidRPr="009B0E36">
        <w:t xml:space="preserve">Over the period of this APPR, Australia has supported an ambitious reform agenda across the key </w:t>
      </w:r>
      <w:r w:rsidR="00340AB4">
        <w:t>PROs</w:t>
      </w:r>
      <w:r w:rsidRPr="009B0E36">
        <w:t xml:space="preserve"> to improve their accountability and effectiveness. </w:t>
      </w:r>
      <w:r w:rsidR="00AD593C">
        <w:t>Sectoral a</w:t>
      </w:r>
      <w:r w:rsidR="00AD593C" w:rsidRPr="009B0E36">
        <w:t xml:space="preserve">chievements of </w:t>
      </w:r>
      <w:r w:rsidR="00340AB4">
        <w:t>PROs</w:t>
      </w:r>
      <w:r w:rsidR="00AD593C" w:rsidRPr="009B0E36">
        <w:t xml:space="preserve"> are included throughout this APPR, but key reform achievements </w:t>
      </w:r>
      <w:r w:rsidR="00AD593C">
        <w:t>over 2013/14 were:</w:t>
      </w:r>
    </w:p>
    <w:p w:rsidR="00AD593C" w:rsidRDefault="00AD593C" w:rsidP="00AD593C">
      <w:pPr>
        <w:pStyle w:val="BodyText"/>
        <w:numPr>
          <w:ilvl w:val="0"/>
          <w:numId w:val="31"/>
        </w:numPr>
        <w:spacing w:after="0"/>
        <w:ind w:left="714" w:hanging="357"/>
        <w:jc w:val="both"/>
      </w:pPr>
      <w:r>
        <w:t xml:space="preserve">Negotiating and signing new </w:t>
      </w:r>
      <w:r w:rsidRPr="009B0E36">
        <w:t xml:space="preserve">multi-year partnerships </w:t>
      </w:r>
      <w:r w:rsidR="009B0E36" w:rsidRPr="009B0E36">
        <w:t>with the three largest regional organisations</w:t>
      </w:r>
      <w:r w:rsidR="00DD1814">
        <w:t>, the Pacific Islands Forum Secretariat</w:t>
      </w:r>
      <w:r>
        <w:t xml:space="preserve"> </w:t>
      </w:r>
      <w:r w:rsidR="00DD1814">
        <w:t>(</w:t>
      </w:r>
      <w:r w:rsidR="009B0E36" w:rsidRPr="009B0E36">
        <w:t>PIFS</w:t>
      </w:r>
      <w:r w:rsidR="00DD1814">
        <w:t>)</w:t>
      </w:r>
      <w:r w:rsidR="009B0E36" w:rsidRPr="009B0E36">
        <w:t xml:space="preserve">, SPC and </w:t>
      </w:r>
      <w:r w:rsidR="00340AB4">
        <w:t>University of South Pacific (</w:t>
      </w:r>
      <w:r w:rsidR="009B0E36" w:rsidRPr="009B0E36">
        <w:t>USP</w:t>
      </w:r>
      <w:r w:rsidR="00340AB4">
        <w:t>).</w:t>
      </w:r>
      <w:r w:rsidR="008621FA">
        <w:t xml:space="preserve"> </w:t>
      </w:r>
      <w:r>
        <w:t xml:space="preserve">These partnerships </w:t>
      </w:r>
      <w:r w:rsidR="009B0E36" w:rsidRPr="009B0E36">
        <w:t>impro</w:t>
      </w:r>
      <w:r w:rsidR="00340AB4">
        <w:t>ve</w:t>
      </w:r>
      <w:r w:rsidR="005E4462">
        <w:t xml:space="preserve"> predictability of financing, </w:t>
      </w:r>
      <w:r w:rsidR="009B0E36" w:rsidRPr="009B0E36">
        <w:t>utilis</w:t>
      </w:r>
      <w:r>
        <w:t xml:space="preserve">e </w:t>
      </w:r>
      <w:r w:rsidR="009B0E36" w:rsidRPr="009B0E36">
        <w:t xml:space="preserve">key corporate and strategic documents to drive </w:t>
      </w:r>
      <w:r w:rsidR="005E4462">
        <w:t>efficiency, ef</w:t>
      </w:r>
      <w:r w:rsidR="009B0E36" w:rsidRPr="009B0E36">
        <w:t>fectiveness and accountability</w:t>
      </w:r>
      <w:r w:rsidR="005E4462">
        <w:t xml:space="preserve">; and </w:t>
      </w:r>
      <w:r w:rsidR="00340AB4">
        <w:t>deepen</w:t>
      </w:r>
      <w:r w:rsidR="009B0E36" w:rsidRPr="009B0E36">
        <w:t xml:space="preserve"> the relationship </w:t>
      </w:r>
      <w:r>
        <w:t>between Australia and these key</w:t>
      </w:r>
      <w:r w:rsidR="00DC45E2">
        <w:t xml:space="preserve"> </w:t>
      </w:r>
      <w:r w:rsidR="00340AB4">
        <w:t>PROs</w:t>
      </w:r>
      <w:r>
        <w:t>.</w:t>
      </w:r>
    </w:p>
    <w:p w:rsidR="00AD593C" w:rsidRPr="00AD593C" w:rsidRDefault="00AD593C" w:rsidP="00AD593C">
      <w:pPr>
        <w:pStyle w:val="BodyText"/>
        <w:numPr>
          <w:ilvl w:val="0"/>
          <w:numId w:val="31"/>
        </w:numPr>
        <w:spacing w:after="0"/>
        <w:ind w:left="714" w:hanging="357"/>
        <w:jc w:val="both"/>
      </w:pPr>
      <w:r w:rsidRPr="00340AB4">
        <w:rPr>
          <w:rFonts w:cs="Arial"/>
          <w:szCs w:val="21"/>
          <w:lang w:eastAsia="zh-CN"/>
        </w:rPr>
        <w:t xml:space="preserve">PIFS: </w:t>
      </w:r>
      <w:r>
        <w:rPr>
          <w:rFonts w:cs="Arial"/>
          <w:szCs w:val="21"/>
          <w:lang w:eastAsia="zh-CN"/>
        </w:rPr>
        <w:t>T</w:t>
      </w:r>
      <w:r w:rsidR="009B0E36" w:rsidRPr="00AD593C">
        <w:rPr>
          <w:rFonts w:cs="Arial"/>
          <w:szCs w:val="21"/>
          <w:lang w:eastAsia="zh-CN"/>
        </w:rPr>
        <w:t xml:space="preserve">he </w:t>
      </w:r>
      <w:r w:rsidR="009B0E36" w:rsidRPr="00AD593C">
        <w:rPr>
          <w:rFonts w:cs="Arial"/>
          <w:szCs w:val="21"/>
        </w:rPr>
        <w:t>establishment of an operation</w:t>
      </w:r>
      <w:r>
        <w:rPr>
          <w:rFonts w:cs="Arial"/>
          <w:szCs w:val="21"/>
        </w:rPr>
        <w:t xml:space="preserve">al </w:t>
      </w:r>
      <w:r w:rsidR="00DD1814">
        <w:rPr>
          <w:rFonts w:cs="Arial"/>
          <w:szCs w:val="21"/>
        </w:rPr>
        <w:t xml:space="preserve">Audit </w:t>
      </w:r>
      <w:r>
        <w:rPr>
          <w:rFonts w:cs="Arial"/>
          <w:szCs w:val="21"/>
        </w:rPr>
        <w:t xml:space="preserve">and </w:t>
      </w:r>
      <w:r w:rsidR="00DD1814">
        <w:rPr>
          <w:rFonts w:cs="Arial"/>
          <w:szCs w:val="21"/>
        </w:rPr>
        <w:t>Risk Sub</w:t>
      </w:r>
      <w:r>
        <w:rPr>
          <w:rFonts w:cs="Arial"/>
          <w:szCs w:val="21"/>
        </w:rPr>
        <w:t>-</w:t>
      </w:r>
      <w:r w:rsidR="00DD1814">
        <w:rPr>
          <w:rFonts w:cs="Arial"/>
          <w:szCs w:val="21"/>
        </w:rPr>
        <w:t xml:space="preserve">Committee </w:t>
      </w:r>
      <w:r>
        <w:rPr>
          <w:rFonts w:cs="Arial"/>
          <w:szCs w:val="21"/>
        </w:rPr>
        <w:t>and</w:t>
      </w:r>
      <w:r w:rsidR="009B0E36" w:rsidRPr="00AD593C">
        <w:rPr>
          <w:rFonts w:cs="Arial"/>
          <w:szCs w:val="21"/>
        </w:rPr>
        <w:t xml:space="preserve"> Strategic Planning Unit</w:t>
      </w:r>
      <w:r>
        <w:rPr>
          <w:rFonts w:cs="Arial"/>
          <w:szCs w:val="21"/>
        </w:rPr>
        <w:t xml:space="preserve">; </w:t>
      </w:r>
      <w:r w:rsidR="009B0E36" w:rsidRPr="00AD593C">
        <w:rPr>
          <w:rFonts w:cs="Arial"/>
          <w:szCs w:val="21"/>
        </w:rPr>
        <w:t xml:space="preserve">significant analysis on and consultation with members on the ‘Framework for Pacific </w:t>
      </w:r>
      <w:r w:rsidR="00DD1814">
        <w:rPr>
          <w:rFonts w:cs="Arial"/>
          <w:szCs w:val="21"/>
        </w:rPr>
        <w:t>R</w:t>
      </w:r>
      <w:r w:rsidR="00DD1814" w:rsidRPr="00AD593C">
        <w:rPr>
          <w:rFonts w:cs="Arial"/>
          <w:szCs w:val="21"/>
        </w:rPr>
        <w:t>egionalism</w:t>
      </w:r>
      <w:r w:rsidR="00DD1814">
        <w:rPr>
          <w:rFonts w:cs="Arial"/>
          <w:szCs w:val="21"/>
        </w:rPr>
        <w:t>’</w:t>
      </w:r>
      <w:r w:rsidR="00DD1814" w:rsidRPr="00AD593C">
        <w:rPr>
          <w:rFonts w:cs="Arial"/>
          <w:szCs w:val="21"/>
        </w:rPr>
        <w:t xml:space="preserve"> </w:t>
      </w:r>
      <w:r w:rsidR="009B0E36" w:rsidRPr="00AD593C">
        <w:rPr>
          <w:rFonts w:cs="Arial"/>
          <w:szCs w:val="21"/>
        </w:rPr>
        <w:t>resulting in submission and ap</w:t>
      </w:r>
      <w:r w:rsidR="00340AB4">
        <w:rPr>
          <w:rFonts w:cs="Arial"/>
          <w:szCs w:val="21"/>
        </w:rPr>
        <w:t>proval by leaders in July 2014.</w:t>
      </w:r>
      <w:r w:rsidR="009B0E36" w:rsidRPr="00AD593C">
        <w:rPr>
          <w:rFonts w:cs="Arial"/>
          <w:szCs w:val="21"/>
        </w:rPr>
        <w:t xml:space="preserve"> This document will drive PIFS strategic planning for the foreseeable future.</w:t>
      </w:r>
    </w:p>
    <w:p w:rsidR="00AD593C" w:rsidRDefault="00AD593C" w:rsidP="009B0E36">
      <w:pPr>
        <w:pStyle w:val="BodyText"/>
        <w:numPr>
          <w:ilvl w:val="0"/>
          <w:numId w:val="31"/>
        </w:numPr>
        <w:spacing w:after="0"/>
        <w:ind w:left="714" w:hanging="357"/>
        <w:jc w:val="both"/>
      </w:pPr>
      <w:r w:rsidRPr="00340AB4">
        <w:rPr>
          <w:rFonts w:cs="Arial"/>
          <w:szCs w:val="21"/>
          <w:lang w:eastAsia="zh-CN"/>
        </w:rPr>
        <w:t>SPC:</w:t>
      </w:r>
      <w:r w:rsidRPr="00340AB4">
        <w:rPr>
          <w:rFonts w:cs="Arial"/>
          <w:szCs w:val="21"/>
        </w:rPr>
        <w:t xml:space="preserve"> </w:t>
      </w:r>
      <w:r>
        <w:rPr>
          <w:rFonts w:cs="Arial"/>
          <w:szCs w:val="21"/>
        </w:rPr>
        <w:t>T</w:t>
      </w:r>
      <w:r w:rsidR="009B0E36" w:rsidRPr="00AD593C">
        <w:rPr>
          <w:rFonts w:cs="Arial"/>
          <w:szCs w:val="21"/>
        </w:rPr>
        <w:t>he release of SPC’s new Corporate Strategic Plan (2013-15) and related performance framework continue to demonstrate SPC’s good progress in establishi</w:t>
      </w:r>
      <w:r>
        <w:rPr>
          <w:rFonts w:cs="Arial"/>
          <w:szCs w:val="21"/>
        </w:rPr>
        <w:t>ng a clear strategic direction.</w:t>
      </w:r>
      <w:r w:rsidR="009B0E36" w:rsidRPr="00AD593C">
        <w:rPr>
          <w:rFonts w:cs="Arial"/>
          <w:szCs w:val="21"/>
        </w:rPr>
        <w:t xml:space="preserve"> Assisted significantly by Australia, SPC has strengthened its monitoring, evaluation and learning processes, including the introduction of country</w:t>
      </w:r>
      <w:r w:rsidR="00DD1814">
        <w:rPr>
          <w:rFonts w:cs="Arial"/>
          <w:szCs w:val="21"/>
        </w:rPr>
        <w:t>-</w:t>
      </w:r>
      <w:r w:rsidR="009B0E36" w:rsidRPr="00AD593C">
        <w:rPr>
          <w:rFonts w:cs="Arial"/>
          <w:szCs w:val="21"/>
        </w:rPr>
        <w:t>level reporting</w:t>
      </w:r>
      <w:r w:rsidR="00340AB4">
        <w:rPr>
          <w:rFonts w:cs="Arial"/>
          <w:szCs w:val="21"/>
        </w:rPr>
        <w:t>,</w:t>
      </w:r>
      <w:r w:rsidR="009B0E36" w:rsidRPr="00AD593C">
        <w:rPr>
          <w:rFonts w:cs="Arial"/>
          <w:szCs w:val="21"/>
        </w:rPr>
        <w:t xml:space="preserve"> which includes useful budgetary information and examples of how SPC’s work complements national development plans.</w:t>
      </w:r>
      <w:r w:rsidR="00340AB4">
        <w:rPr>
          <w:rFonts w:cs="Arial"/>
          <w:szCs w:val="21"/>
        </w:rPr>
        <w:t xml:space="preserve"> </w:t>
      </w:r>
      <w:r w:rsidRPr="00AD593C">
        <w:rPr>
          <w:rFonts w:cs="Arial"/>
          <w:szCs w:val="21"/>
        </w:rPr>
        <w:t>Divisional strategic plans are increasingly reflecti</w:t>
      </w:r>
      <w:r>
        <w:rPr>
          <w:rFonts w:cs="Arial"/>
          <w:szCs w:val="21"/>
        </w:rPr>
        <w:t>ng a focus on results.</w:t>
      </w:r>
    </w:p>
    <w:p w:rsidR="00AD593C" w:rsidRDefault="00AD593C" w:rsidP="009B0E36">
      <w:pPr>
        <w:pStyle w:val="BodyText"/>
        <w:numPr>
          <w:ilvl w:val="0"/>
          <w:numId w:val="31"/>
        </w:numPr>
        <w:spacing w:after="0"/>
        <w:ind w:left="714" w:hanging="357"/>
        <w:jc w:val="both"/>
      </w:pPr>
      <w:r w:rsidRPr="00340AB4">
        <w:rPr>
          <w:rFonts w:cs="Arial"/>
          <w:szCs w:val="21"/>
          <w:lang w:eastAsia="zh-CN"/>
        </w:rPr>
        <w:t>USP:</w:t>
      </w:r>
      <w:r>
        <w:rPr>
          <w:rFonts w:cs="Arial"/>
          <w:b/>
          <w:szCs w:val="21"/>
          <w:lang w:eastAsia="zh-CN"/>
        </w:rPr>
        <w:t xml:space="preserve"> </w:t>
      </w:r>
      <w:r w:rsidR="009B0E36" w:rsidRPr="00AD593C">
        <w:rPr>
          <w:rFonts w:cs="Arial"/>
          <w:szCs w:val="21"/>
          <w:lang w:eastAsia="zh-CN"/>
        </w:rPr>
        <w:t>An independent, external quality audit undertaken in 2013 found positive, ongoing momentum of USP’s reform agenda</w:t>
      </w:r>
      <w:r w:rsidR="00340AB4">
        <w:rPr>
          <w:rFonts w:cs="Arial"/>
          <w:szCs w:val="21"/>
          <w:lang w:eastAsia="zh-CN"/>
        </w:rPr>
        <w:t>,</w:t>
      </w:r>
      <w:r w:rsidR="009B0E36" w:rsidRPr="00AD593C">
        <w:rPr>
          <w:rFonts w:cs="Arial"/>
          <w:szCs w:val="21"/>
          <w:lang w:eastAsia="zh-CN"/>
        </w:rPr>
        <w:t xml:space="preserve"> </w:t>
      </w:r>
      <w:r w:rsidR="00340AB4">
        <w:rPr>
          <w:rFonts w:cs="Arial"/>
          <w:szCs w:val="21"/>
          <w:lang w:eastAsia="zh-CN"/>
        </w:rPr>
        <w:t>which signalled</w:t>
      </w:r>
      <w:r w:rsidR="009B0E36" w:rsidRPr="00AD593C">
        <w:rPr>
          <w:rFonts w:cs="Arial"/>
          <w:szCs w:val="21"/>
          <w:lang w:eastAsia="zh-CN"/>
        </w:rPr>
        <w:t xml:space="preserve"> its potential to meet its aspirations for excellence and noted its strong leadership. USP is currently working through its action plan based on recommendations of the audit and will have progress monitored by the Chair of the audit panel beginning in October 2014.  </w:t>
      </w:r>
    </w:p>
    <w:p w:rsidR="003260B8" w:rsidRDefault="00DD1814" w:rsidP="00DD1814">
      <w:pPr>
        <w:pStyle w:val="BodyText"/>
        <w:numPr>
          <w:ilvl w:val="0"/>
          <w:numId w:val="31"/>
        </w:numPr>
        <w:spacing w:after="0"/>
        <w:jc w:val="both"/>
      </w:pPr>
      <w:r w:rsidRPr="00DD1814">
        <w:rPr>
          <w:szCs w:val="21"/>
          <w:lang w:eastAsia="zh-CN"/>
        </w:rPr>
        <w:t>Secretariat of the Pacific Regional Environment Programme</w:t>
      </w:r>
      <w:r>
        <w:rPr>
          <w:szCs w:val="21"/>
          <w:lang w:eastAsia="zh-CN"/>
        </w:rPr>
        <w:t xml:space="preserve"> (</w:t>
      </w:r>
      <w:r w:rsidR="009B0E36" w:rsidRPr="00340AB4">
        <w:rPr>
          <w:szCs w:val="21"/>
          <w:lang w:eastAsia="zh-CN"/>
        </w:rPr>
        <w:t>SPREP</w:t>
      </w:r>
      <w:r>
        <w:rPr>
          <w:szCs w:val="21"/>
          <w:lang w:eastAsia="zh-CN"/>
        </w:rPr>
        <w:t>)</w:t>
      </w:r>
      <w:r w:rsidR="00AD593C" w:rsidRPr="00340AB4">
        <w:rPr>
          <w:szCs w:val="21"/>
          <w:lang w:eastAsia="zh-CN"/>
        </w:rPr>
        <w:t>:</w:t>
      </w:r>
      <w:r w:rsidR="009B0E36" w:rsidRPr="00340AB4">
        <w:rPr>
          <w:szCs w:val="21"/>
          <w:lang w:eastAsia="zh-CN"/>
        </w:rPr>
        <w:t xml:space="preserve"> </w:t>
      </w:r>
      <w:r w:rsidR="009B0E36" w:rsidRPr="00AD593C">
        <w:rPr>
          <w:szCs w:val="21"/>
          <w:lang w:eastAsia="zh-CN"/>
        </w:rPr>
        <w:t xml:space="preserve">SPREP continues a process of reform to strengthen its governance arrangements, financial management and human resource </w:t>
      </w:r>
      <w:r w:rsidR="005E4462" w:rsidRPr="00AD593C">
        <w:rPr>
          <w:szCs w:val="21"/>
          <w:lang w:eastAsia="zh-CN"/>
        </w:rPr>
        <w:t>management.</w:t>
      </w:r>
      <w:r w:rsidR="005E4462" w:rsidRPr="00340AB4">
        <w:rPr>
          <w:rStyle w:val="FootnoteReference"/>
          <w:rFonts w:ascii="Franklin Gothic Book" w:hAnsi="Franklin Gothic Book"/>
          <w:sz w:val="21"/>
          <w:szCs w:val="21"/>
          <w:vertAlign w:val="superscript"/>
        </w:rPr>
        <w:footnoteReference w:id="24"/>
      </w:r>
      <w:r w:rsidR="005E4462" w:rsidRPr="00AD593C">
        <w:rPr>
          <w:szCs w:val="21"/>
          <w:lang w:eastAsia="zh-CN"/>
        </w:rPr>
        <w:t xml:space="preserve"> </w:t>
      </w:r>
      <w:r w:rsidR="009B0E36" w:rsidRPr="00AD593C">
        <w:rPr>
          <w:szCs w:val="21"/>
          <w:lang w:eastAsia="zh-CN"/>
        </w:rPr>
        <w:t>SPREP’s country</w:t>
      </w:r>
      <w:r>
        <w:rPr>
          <w:szCs w:val="21"/>
          <w:lang w:eastAsia="zh-CN"/>
        </w:rPr>
        <w:t>-</w:t>
      </w:r>
      <w:r w:rsidR="009B0E36" w:rsidRPr="00AD593C">
        <w:rPr>
          <w:szCs w:val="21"/>
          <w:lang w:eastAsia="zh-CN"/>
        </w:rPr>
        <w:t xml:space="preserve">level reporting has been well received by members who now have a better sense of what the organisation can deliver for their annual membership fees. </w:t>
      </w:r>
      <w:r w:rsidR="0084302C">
        <w:rPr>
          <w:szCs w:val="21"/>
          <w:lang w:eastAsia="zh-CN"/>
        </w:rPr>
        <w:t xml:space="preserve">In addition to passing its EU audit in 2013, corporate reforms </w:t>
      </w:r>
      <w:r w:rsidR="00340AB4">
        <w:rPr>
          <w:szCs w:val="21"/>
          <w:lang w:eastAsia="zh-CN"/>
        </w:rPr>
        <w:t xml:space="preserve">have </w:t>
      </w:r>
      <w:r w:rsidR="00340AB4" w:rsidRPr="00AD593C">
        <w:rPr>
          <w:szCs w:val="21"/>
          <w:lang w:eastAsia="zh-CN"/>
        </w:rPr>
        <w:t>provided</w:t>
      </w:r>
      <w:r w:rsidR="009B0E36" w:rsidRPr="00AD593C">
        <w:rPr>
          <w:szCs w:val="21"/>
          <w:lang w:eastAsia="zh-CN"/>
        </w:rPr>
        <w:t xml:space="preserve"> confidence to new don</w:t>
      </w:r>
      <w:r w:rsidR="0084302C">
        <w:rPr>
          <w:szCs w:val="21"/>
          <w:lang w:eastAsia="zh-CN"/>
        </w:rPr>
        <w:t>ors, with the UK joining in 2013.</w:t>
      </w:r>
    </w:p>
    <w:p w:rsidR="00AD593C" w:rsidRPr="002572E6" w:rsidRDefault="003260B8" w:rsidP="00D44DFC">
      <w:pPr>
        <w:pStyle w:val="Heading4"/>
      </w:pPr>
      <w:r w:rsidRPr="002572E6">
        <w:t>Factors affecting progress and future directions</w:t>
      </w:r>
    </w:p>
    <w:p w:rsidR="005E4462" w:rsidRPr="009B0E36" w:rsidRDefault="00C76978" w:rsidP="005E4462">
      <w:pPr>
        <w:pStyle w:val="BodyText"/>
      </w:pPr>
      <w:r>
        <w:rPr>
          <w:lang w:eastAsia="zh-CN"/>
        </w:rPr>
        <w:lastRenderedPageBreak/>
        <w:t xml:space="preserve">Ensuring effective coordination across </w:t>
      </w:r>
      <w:r w:rsidR="00E62764">
        <w:rPr>
          <w:lang w:eastAsia="zh-CN"/>
        </w:rPr>
        <w:t>PROs</w:t>
      </w:r>
      <w:r>
        <w:rPr>
          <w:lang w:eastAsia="zh-CN"/>
        </w:rPr>
        <w:t xml:space="preserve"> remains </w:t>
      </w:r>
      <w:r w:rsidR="00340AB4">
        <w:rPr>
          <w:lang w:eastAsia="zh-CN"/>
        </w:rPr>
        <w:t xml:space="preserve">a high priority for Australia. </w:t>
      </w:r>
      <w:r w:rsidR="003260B8">
        <w:rPr>
          <w:lang w:eastAsia="zh-CN"/>
        </w:rPr>
        <w:t>Current inefficiencies across the network of regional organisations add significant opportunity cost for the region</w:t>
      </w:r>
      <w:r w:rsidR="00340AB4">
        <w:rPr>
          <w:lang w:eastAsia="zh-CN"/>
        </w:rPr>
        <w:t>’</w:t>
      </w:r>
      <w:r w:rsidR="003260B8">
        <w:rPr>
          <w:lang w:eastAsia="zh-CN"/>
        </w:rPr>
        <w:t>s already stretched hu</w:t>
      </w:r>
      <w:r w:rsidR="00340AB4">
        <w:rPr>
          <w:lang w:eastAsia="zh-CN"/>
        </w:rPr>
        <w:t>man and financial resources.</w:t>
      </w:r>
      <w:r w:rsidR="003260B8">
        <w:rPr>
          <w:lang w:eastAsia="zh-CN"/>
        </w:rPr>
        <w:t xml:space="preserve"> </w:t>
      </w:r>
      <w:r w:rsidR="0084302C">
        <w:t>Australia will continue to support reform within individual organisations</w:t>
      </w:r>
      <w:r w:rsidR="0082772C">
        <w:t xml:space="preserve"> but needs to focus more on issues of networked governance across the range of regional and international organisations</w:t>
      </w:r>
      <w:r w:rsidR="0084302C">
        <w:t>.</w:t>
      </w:r>
    </w:p>
    <w:p w:rsidR="006C3281" w:rsidRDefault="006C3281" w:rsidP="006C3281">
      <w:pPr>
        <w:pStyle w:val="Heading4"/>
      </w:pPr>
      <w:r w:rsidRPr="00971B9C">
        <w:t>Governance</w:t>
      </w:r>
      <w:r w:rsidR="00663313">
        <w:t xml:space="preserve"> initiatives</w:t>
      </w:r>
    </w:p>
    <w:p w:rsidR="00D07F3C" w:rsidRDefault="00767DA5" w:rsidP="006C3281">
      <w:pPr>
        <w:pStyle w:val="BodyText"/>
        <w:rPr>
          <w:lang w:eastAsia="zh-CN"/>
        </w:rPr>
      </w:pPr>
      <w:r>
        <w:rPr>
          <w:lang w:eastAsia="zh-CN"/>
        </w:rPr>
        <w:t>The R</w:t>
      </w:r>
      <w:r w:rsidR="00D07F3C">
        <w:rPr>
          <w:lang w:eastAsia="zh-CN"/>
        </w:rPr>
        <w:t>egional program supports a number of key investments designed to support effective governance across the region</w:t>
      </w:r>
      <w:r w:rsidR="006B2FD9">
        <w:rPr>
          <w:lang w:eastAsia="zh-CN"/>
        </w:rPr>
        <w:t xml:space="preserve"> through the provision of specialised services and supporting countries to adopt and adhere to regional norms and standards</w:t>
      </w:r>
      <w:r w:rsidR="00340AB4">
        <w:rPr>
          <w:lang w:eastAsia="zh-CN"/>
        </w:rPr>
        <w:t>.</w:t>
      </w:r>
      <w:r w:rsidR="00D07F3C">
        <w:rPr>
          <w:lang w:eastAsia="zh-CN"/>
        </w:rPr>
        <w:t xml:space="preserve"> Key achievements include:</w:t>
      </w:r>
    </w:p>
    <w:p w:rsidR="003260B8" w:rsidRPr="00C01471" w:rsidRDefault="003260B8" w:rsidP="00F66CA6">
      <w:pPr>
        <w:pStyle w:val="BodyText"/>
        <w:spacing w:after="0"/>
        <w:rPr>
          <w:b/>
          <w:lang w:eastAsia="zh-CN"/>
        </w:rPr>
      </w:pPr>
      <w:r w:rsidRPr="00C01471">
        <w:rPr>
          <w:b/>
          <w:lang w:eastAsia="zh-CN"/>
        </w:rPr>
        <w:t>Promotion of regional and international norms and standards:</w:t>
      </w:r>
    </w:p>
    <w:p w:rsidR="003260B8" w:rsidRDefault="0082772C" w:rsidP="00F66CA6">
      <w:pPr>
        <w:pStyle w:val="BodyText"/>
        <w:numPr>
          <w:ilvl w:val="0"/>
          <w:numId w:val="32"/>
        </w:numPr>
        <w:spacing w:after="0"/>
        <w:ind w:left="714" w:hanging="357"/>
        <w:rPr>
          <w:lang w:eastAsia="zh-CN"/>
        </w:rPr>
      </w:pPr>
      <w:r w:rsidRPr="0082772C">
        <w:rPr>
          <w:u w:val="single"/>
          <w:lang w:eastAsia="zh-CN"/>
        </w:rPr>
        <w:t>Human Rights</w:t>
      </w:r>
      <w:r w:rsidR="008621FA">
        <w:rPr>
          <w:u w:val="single"/>
          <w:lang w:eastAsia="zh-CN"/>
        </w:rPr>
        <w:t>:</w:t>
      </w:r>
      <w:r>
        <w:rPr>
          <w:b/>
          <w:i/>
          <w:lang w:eastAsia="zh-CN"/>
        </w:rPr>
        <w:t xml:space="preserve"> </w:t>
      </w:r>
      <w:r w:rsidR="00DB1A08" w:rsidRPr="00C01471">
        <w:rPr>
          <w:lang w:eastAsia="zh-CN"/>
        </w:rPr>
        <w:t>SPC’s</w:t>
      </w:r>
      <w:r w:rsidR="00DB1A08" w:rsidRPr="003260B8">
        <w:rPr>
          <w:i/>
          <w:lang w:eastAsia="zh-CN"/>
        </w:rPr>
        <w:t xml:space="preserve"> Regional Rights Resource Team (RRRT)</w:t>
      </w:r>
      <w:r w:rsidR="00D07F3C" w:rsidRPr="003260B8">
        <w:rPr>
          <w:i/>
          <w:lang w:eastAsia="zh-CN"/>
        </w:rPr>
        <w:t xml:space="preserve"> </w:t>
      </w:r>
      <w:r w:rsidR="005C4615">
        <w:rPr>
          <w:lang w:eastAsia="zh-CN"/>
        </w:rPr>
        <w:t>assist</w:t>
      </w:r>
      <w:r w:rsidR="003260B8">
        <w:rPr>
          <w:lang w:eastAsia="zh-CN"/>
        </w:rPr>
        <w:t>ed</w:t>
      </w:r>
      <w:r w:rsidR="005C4615">
        <w:rPr>
          <w:lang w:eastAsia="zh-CN"/>
        </w:rPr>
        <w:t xml:space="preserve"> PICs </w:t>
      </w:r>
      <w:r w:rsidR="00340AB4">
        <w:rPr>
          <w:lang w:eastAsia="zh-CN"/>
        </w:rPr>
        <w:t>draft key human rights-</w:t>
      </w:r>
      <w:r w:rsidR="00DB1A08">
        <w:rPr>
          <w:lang w:eastAsia="zh-CN"/>
        </w:rPr>
        <w:t>related legislation</w:t>
      </w:r>
      <w:r w:rsidR="00DD1814">
        <w:rPr>
          <w:lang w:eastAsia="zh-CN"/>
        </w:rPr>
        <w:t xml:space="preserve">: for </w:t>
      </w:r>
      <w:r w:rsidR="003260B8">
        <w:rPr>
          <w:lang w:eastAsia="zh-CN"/>
        </w:rPr>
        <w:t>example</w:t>
      </w:r>
      <w:r w:rsidR="00DD1814">
        <w:rPr>
          <w:lang w:eastAsia="zh-CN"/>
        </w:rPr>
        <w:t>,</w:t>
      </w:r>
      <w:r w:rsidR="003260B8">
        <w:rPr>
          <w:lang w:eastAsia="zh-CN"/>
        </w:rPr>
        <w:t xml:space="preserve"> </w:t>
      </w:r>
      <w:r w:rsidR="00DB1A08">
        <w:rPr>
          <w:lang w:eastAsia="zh-CN"/>
        </w:rPr>
        <w:t>drafting and technical support</w:t>
      </w:r>
      <w:r w:rsidR="003260B8">
        <w:rPr>
          <w:lang w:eastAsia="zh-CN"/>
        </w:rPr>
        <w:t xml:space="preserve"> provided </w:t>
      </w:r>
      <w:r w:rsidR="00340AB4">
        <w:rPr>
          <w:lang w:eastAsia="zh-CN"/>
        </w:rPr>
        <w:t>to the g</w:t>
      </w:r>
      <w:r w:rsidR="00DB1A08">
        <w:rPr>
          <w:lang w:eastAsia="zh-CN"/>
        </w:rPr>
        <w:t xml:space="preserve">overnments of Kiribati and Tonga resulted in the passing in the respective Parliaments of </w:t>
      </w:r>
      <w:r w:rsidR="003260B8">
        <w:rPr>
          <w:lang w:eastAsia="zh-CN"/>
        </w:rPr>
        <w:t>the Kiribati Family Peace Bill</w:t>
      </w:r>
      <w:r w:rsidR="00DB1A08">
        <w:rPr>
          <w:lang w:eastAsia="zh-CN"/>
        </w:rPr>
        <w:t xml:space="preserve"> and the Tonga Family</w:t>
      </w:r>
      <w:r w:rsidR="009D630F">
        <w:rPr>
          <w:lang w:eastAsia="zh-CN"/>
        </w:rPr>
        <w:t xml:space="preserve"> Protection Act</w:t>
      </w:r>
      <w:r w:rsidR="00211710">
        <w:rPr>
          <w:lang w:eastAsia="zh-CN"/>
        </w:rPr>
        <w:t>.</w:t>
      </w:r>
    </w:p>
    <w:p w:rsidR="003260B8" w:rsidRDefault="0082772C" w:rsidP="002F630B">
      <w:pPr>
        <w:pStyle w:val="BodyText"/>
        <w:numPr>
          <w:ilvl w:val="0"/>
          <w:numId w:val="32"/>
        </w:numPr>
        <w:spacing w:after="0"/>
        <w:ind w:left="714" w:hanging="357"/>
        <w:rPr>
          <w:lang w:eastAsia="zh-CN"/>
        </w:rPr>
      </w:pPr>
      <w:r>
        <w:rPr>
          <w:u w:val="single"/>
          <w:lang w:eastAsia="zh-CN"/>
        </w:rPr>
        <w:t>Child Protection</w:t>
      </w:r>
      <w:r w:rsidR="008621FA">
        <w:rPr>
          <w:u w:val="single"/>
          <w:lang w:eastAsia="zh-CN"/>
        </w:rPr>
        <w:t>:</w:t>
      </w:r>
      <w:r w:rsidR="008621FA">
        <w:rPr>
          <w:lang w:eastAsia="zh-CN"/>
        </w:rPr>
        <w:t xml:space="preserve"> </w:t>
      </w:r>
      <w:r w:rsidRPr="008621FA">
        <w:rPr>
          <w:lang w:eastAsia="zh-CN"/>
        </w:rPr>
        <w:t xml:space="preserve"> </w:t>
      </w:r>
      <w:r w:rsidR="002F630B" w:rsidRPr="002D246D">
        <w:rPr>
          <w:lang w:eastAsia="zh-CN"/>
        </w:rPr>
        <w:t xml:space="preserve">Australian funding </w:t>
      </w:r>
      <w:r w:rsidR="003260B8">
        <w:rPr>
          <w:lang w:eastAsia="zh-CN"/>
        </w:rPr>
        <w:t>through</w:t>
      </w:r>
      <w:r w:rsidR="002F630B" w:rsidRPr="002D246D">
        <w:rPr>
          <w:lang w:eastAsia="zh-CN"/>
        </w:rPr>
        <w:t xml:space="preserve"> </w:t>
      </w:r>
      <w:r w:rsidR="002F630B" w:rsidRPr="00C01471">
        <w:rPr>
          <w:lang w:eastAsia="zh-CN"/>
        </w:rPr>
        <w:t>UNICEF</w:t>
      </w:r>
      <w:r w:rsidR="002F630B" w:rsidRPr="002D246D">
        <w:rPr>
          <w:lang w:eastAsia="zh-CN"/>
        </w:rPr>
        <w:t xml:space="preserve"> support</w:t>
      </w:r>
      <w:r w:rsidR="009D630F">
        <w:rPr>
          <w:lang w:eastAsia="zh-CN"/>
        </w:rPr>
        <w:t xml:space="preserve">ed </w:t>
      </w:r>
      <w:r w:rsidR="002F630B" w:rsidRPr="002D246D">
        <w:rPr>
          <w:lang w:eastAsia="zh-CN"/>
        </w:rPr>
        <w:t>legislative reform in Kiribati, Solomon Islands and Samoa to strengthen their implementation of the Convention on</w:t>
      </w:r>
      <w:r w:rsidR="00340AB4">
        <w:rPr>
          <w:lang w:eastAsia="zh-CN"/>
        </w:rPr>
        <w:t xml:space="preserve"> the Rights of the Child (CRC).</w:t>
      </w:r>
      <w:r w:rsidR="009D630F">
        <w:rPr>
          <w:lang w:eastAsia="zh-CN"/>
        </w:rPr>
        <w:t xml:space="preserve"> </w:t>
      </w:r>
      <w:r w:rsidR="002F630B" w:rsidRPr="002D246D">
        <w:rPr>
          <w:lang w:eastAsia="zh-CN"/>
        </w:rPr>
        <w:t xml:space="preserve">Child protection baseline reports were launched in Palau and </w:t>
      </w:r>
      <w:r w:rsidR="00D620C8">
        <w:rPr>
          <w:lang w:eastAsia="zh-CN"/>
        </w:rPr>
        <w:t>RMI</w:t>
      </w:r>
      <w:r w:rsidR="003260B8">
        <w:rPr>
          <w:lang w:eastAsia="zh-CN"/>
        </w:rPr>
        <w:t xml:space="preserve"> and the </w:t>
      </w:r>
      <w:r w:rsidR="00C01471">
        <w:rPr>
          <w:lang w:eastAsia="zh-CN"/>
        </w:rPr>
        <w:t>per</w:t>
      </w:r>
      <w:r w:rsidR="00737052">
        <w:rPr>
          <w:lang w:eastAsia="zh-CN"/>
        </w:rPr>
        <w:t>cent</w:t>
      </w:r>
      <w:r w:rsidR="002F630B" w:rsidRPr="002D246D">
        <w:rPr>
          <w:lang w:eastAsia="zh-CN"/>
        </w:rPr>
        <w:t xml:space="preserve">age of children under 5 registered in Kiribati increased </w:t>
      </w:r>
      <w:r w:rsidR="009D630F">
        <w:rPr>
          <w:lang w:eastAsia="zh-CN"/>
        </w:rPr>
        <w:t xml:space="preserve">in 2013 </w:t>
      </w:r>
      <w:r w:rsidR="002F630B" w:rsidRPr="002D246D">
        <w:rPr>
          <w:lang w:eastAsia="zh-CN"/>
        </w:rPr>
        <w:t>from 68</w:t>
      </w:r>
      <w:r w:rsidR="00C01471">
        <w:rPr>
          <w:lang w:eastAsia="zh-CN"/>
        </w:rPr>
        <w:t xml:space="preserve"> </w:t>
      </w:r>
      <w:r w:rsidR="00737052">
        <w:rPr>
          <w:lang w:eastAsia="zh-CN"/>
        </w:rPr>
        <w:t>per cent</w:t>
      </w:r>
      <w:r w:rsidR="002F630B" w:rsidRPr="002D246D">
        <w:rPr>
          <w:lang w:eastAsia="zh-CN"/>
        </w:rPr>
        <w:t xml:space="preserve"> to 82</w:t>
      </w:r>
      <w:r w:rsidR="00C01471">
        <w:rPr>
          <w:lang w:eastAsia="zh-CN"/>
        </w:rPr>
        <w:t xml:space="preserve"> </w:t>
      </w:r>
      <w:r w:rsidR="00737052">
        <w:rPr>
          <w:lang w:eastAsia="zh-CN"/>
        </w:rPr>
        <w:t>per cent</w:t>
      </w:r>
      <w:r w:rsidR="002F630B" w:rsidRPr="002D246D">
        <w:rPr>
          <w:lang w:eastAsia="zh-CN"/>
        </w:rPr>
        <w:t xml:space="preserve"> an</w:t>
      </w:r>
      <w:r w:rsidR="009D630F">
        <w:rPr>
          <w:lang w:eastAsia="zh-CN"/>
        </w:rPr>
        <w:t>d in Vanuatu from 40</w:t>
      </w:r>
      <w:r w:rsidR="00C01471">
        <w:rPr>
          <w:lang w:eastAsia="zh-CN"/>
        </w:rPr>
        <w:t xml:space="preserve"> </w:t>
      </w:r>
      <w:r w:rsidR="00737052">
        <w:rPr>
          <w:lang w:eastAsia="zh-CN"/>
        </w:rPr>
        <w:t>per cent</w:t>
      </w:r>
      <w:r w:rsidR="009D630F">
        <w:rPr>
          <w:lang w:eastAsia="zh-CN"/>
        </w:rPr>
        <w:t xml:space="preserve"> to 52</w:t>
      </w:r>
      <w:r w:rsidR="00C01471">
        <w:rPr>
          <w:lang w:eastAsia="zh-CN"/>
        </w:rPr>
        <w:t xml:space="preserve"> </w:t>
      </w:r>
      <w:r w:rsidR="00737052">
        <w:rPr>
          <w:lang w:eastAsia="zh-CN"/>
        </w:rPr>
        <w:t>per cent</w:t>
      </w:r>
      <w:r w:rsidR="009D630F">
        <w:rPr>
          <w:lang w:eastAsia="zh-CN"/>
        </w:rPr>
        <w:t>.</w:t>
      </w:r>
    </w:p>
    <w:p w:rsidR="002F630B" w:rsidRDefault="0082772C" w:rsidP="002F630B">
      <w:pPr>
        <w:pStyle w:val="BodyText"/>
        <w:numPr>
          <w:ilvl w:val="0"/>
          <w:numId w:val="32"/>
        </w:numPr>
        <w:spacing w:after="0"/>
        <w:ind w:left="714" w:hanging="357"/>
        <w:rPr>
          <w:lang w:eastAsia="zh-CN"/>
        </w:rPr>
      </w:pPr>
      <w:r>
        <w:rPr>
          <w:u w:val="single"/>
          <w:lang w:eastAsia="zh-CN"/>
        </w:rPr>
        <w:t>Leadership</w:t>
      </w:r>
      <w:r w:rsidR="008621FA">
        <w:rPr>
          <w:u w:val="single"/>
          <w:lang w:eastAsia="zh-CN"/>
        </w:rPr>
        <w:t>:</w:t>
      </w:r>
      <w:r>
        <w:rPr>
          <w:lang w:eastAsia="zh-CN"/>
        </w:rPr>
        <w:t xml:space="preserve"> </w:t>
      </w:r>
      <w:r w:rsidR="00DD1814">
        <w:rPr>
          <w:lang w:eastAsia="zh-CN"/>
        </w:rPr>
        <w:t xml:space="preserve">The </w:t>
      </w:r>
      <w:r w:rsidR="002F630B" w:rsidRPr="003260B8">
        <w:rPr>
          <w:i/>
          <w:lang w:eastAsia="zh-CN"/>
        </w:rPr>
        <w:t>Pacific Leadership Program</w:t>
      </w:r>
      <w:r w:rsidR="003260B8">
        <w:rPr>
          <w:lang w:eastAsia="zh-CN"/>
        </w:rPr>
        <w:t xml:space="preserve"> </w:t>
      </w:r>
      <w:r w:rsidR="00DD1814">
        <w:rPr>
          <w:lang w:eastAsia="zh-CN"/>
        </w:rPr>
        <w:t xml:space="preserve">(PLP) </w:t>
      </w:r>
      <w:r w:rsidR="003260B8">
        <w:rPr>
          <w:lang w:eastAsia="zh-CN"/>
        </w:rPr>
        <w:t xml:space="preserve">supported the </w:t>
      </w:r>
      <w:r w:rsidR="002F630B">
        <w:rPr>
          <w:lang w:eastAsia="zh-CN"/>
        </w:rPr>
        <w:t>Tonga National Leadership Development Forum</w:t>
      </w:r>
      <w:r w:rsidR="009D630F">
        <w:rPr>
          <w:lang w:eastAsia="zh-CN"/>
        </w:rPr>
        <w:t>’s establish</w:t>
      </w:r>
      <w:r w:rsidR="003260B8">
        <w:rPr>
          <w:lang w:eastAsia="zh-CN"/>
        </w:rPr>
        <w:t xml:space="preserve"> </w:t>
      </w:r>
      <w:r w:rsidR="009D630F">
        <w:rPr>
          <w:lang w:eastAsia="zh-CN"/>
        </w:rPr>
        <w:t>a ‘</w:t>
      </w:r>
      <w:r w:rsidR="002F630B">
        <w:rPr>
          <w:lang w:eastAsia="zh-CN"/>
        </w:rPr>
        <w:t>Leadership Code</w:t>
      </w:r>
      <w:r w:rsidR="003260B8">
        <w:rPr>
          <w:lang w:eastAsia="zh-CN"/>
        </w:rPr>
        <w:t>’</w:t>
      </w:r>
      <w:r w:rsidR="003260B8" w:rsidRPr="00340AB4">
        <w:rPr>
          <w:rStyle w:val="FootnoteReference"/>
          <w:rFonts w:ascii="Franklin Gothic Book" w:hAnsi="Franklin Gothic Book"/>
          <w:sz w:val="21"/>
          <w:szCs w:val="21"/>
          <w:vertAlign w:val="superscript"/>
        </w:rPr>
        <w:footnoteReference w:id="25"/>
      </w:r>
      <w:r w:rsidR="00340AB4">
        <w:rPr>
          <w:lang w:eastAsia="zh-CN"/>
        </w:rPr>
        <w:t xml:space="preserve"> </w:t>
      </w:r>
      <w:r w:rsidR="009D630F">
        <w:rPr>
          <w:lang w:eastAsia="zh-CN"/>
        </w:rPr>
        <w:t xml:space="preserve">outlining </w:t>
      </w:r>
      <w:r w:rsidR="002F630B" w:rsidRPr="00A65185">
        <w:rPr>
          <w:lang w:eastAsia="zh-CN"/>
        </w:rPr>
        <w:t>the main</w:t>
      </w:r>
      <w:r w:rsidR="002F630B">
        <w:rPr>
          <w:lang w:eastAsia="zh-CN"/>
        </w:rPr>
        <w:t xml:space="preserve"> principles of good leadership</w:t>
      </w:r>
      <w:r w:rsidR="00DD1814">
        <w:rPr>
          <w:lang w:eastAsia="zh-CN"/>
        </w:rPr>
        <w:t>.</w:t>
      </w:r>
      <w:r w:rsidR="003260B8">
        <w:rPr>
          <w:lang w:eastAsia="zh-CN"/>
        </w:rPr>
        <w:t xml:space="preserve"> </w:t>
      </w:r>
      <w:r w:rsidR="00DD1814">
        <w:rPr>
          <w:lang w:eastAsia="zh-CN"/>
        </w:rPr>
        <w:t xml:space="preserve">In </w:t>
      </w:r>
      <w:r w:rsidR="003260B8">
        <w:rPr>
          <w:lang w:eastAsia="zh-CN"/>
        </w:rPr>
        <w:t>Van</w:t>
      </w:r>
      <w:r w:rsidR="002F630B" w:rsidRPr="00A65185">
        <w:rPr>
          <w:lang w:eastAsia="zh-CN"/>
        </w:rPr>
        <w:t xml:space="preserve">uatu, PLP has supported the </w:t>
      </w:r>
      <w:r w:rsidR="002F630B" w:rsidRPr="00C01471">
        <w:rPr>
          <w:i/>
          <w:lang w:eastAsia="zh-CN"/>
        </w:rPr>
        <w:t>Women in Shared Decision Making</w:t>
      </w:r>
      <w:r w:rsidR="002F630B" w:rsidRPr="00A65185">
        <w:rPr>
          <w:lang w:eastAsia="zh-CN"/>
        </w:rPr>
        <w:t xml:space="preserve"> (WISDM) coalition</w:t>
      </w:r>
      <w:r w:rsidR="002F630B">
        <w:rPr>
          <w:lang w:eastAsia="zh-CN"/>
        </w:rPr>
        <w:t xml:space="preserve"> </w:t>
      </w:r>
      <w:r w:rsidR="002F630B" w:rsidRPr="00A65185">
        <w:rPr>
          <w:lang w:eastAsia="zh-CN"/>
        </w:rPr>
        <w:t>to address the issue of women in political decision making through</w:t>
      </w:r>
      <w:r w:rsidR="002F630B">
        <w:rPr>
          <w:lang w:eastAsia="zh-CN"/>
        </w:rPr>
        <w:t xml:space="preserve"> Temporary Special Measures.</w:t>
      </w:r>
    </w:p>
    <w:p w:rsidR="003260B8" w:rsidRPr="00F66CA6" w:rsidRDefault="0082772C" w:rsidP="002F630B">
      <w:pPr>
        <w:pStyle w:val="BodyText"/>
        <w:numPr>
          <w:ilvl w:val="0"/>
          <w:numId w:val="32"/>
        </w:numPr>
        <w:spacing w:after="0"/>
        <w:ind w:left="714" w:hanging="357"/>
        <w:rPr>
          <w:lang w:eastAsia="zh-CN"/>
        </w:rPr>
      </w:pPr>
      <w:r>
        <w:rPr>
          <w:u w:val="single"/>
          <w:lang w:eastAsia="zh-CN"/>
        </w:rPr>
        <w:t>Anti-Corruption</w:t>
      </w:r>
      <w:r w:rsidR="008621FA">
        <w:rPr>
          <w:u w:val="single"/>
          <w:lang w:eastAsia="zh-CN"/>
        </w:rPr>
        <w:t>:</w:t>
      </w:r>
      <w:r>
        <w:rPr>
          <w:lang w:eastAsia="zh-CN"/>
        </w:rPr>
        <w:t xml:space="preserve"> </w:t>
      </w:r>
      <w:r w:rsidR="00DD1814">
        <w:rPr>
          <w:lang w:eastAsia="zh-CN"/>
        </w:rPr>
        <w:t xml:space="preserve">The </w:t>
      </w:r>
      <w:r w:rsidR="009D630F" w:rsidRPr="003260B8">
        <w:rPr>
          <w:i/>
          <w:lang w:eastAsia="zh-CN"/>
        </w:rPr>
        <w:t xml:space="preserve">UNDP-Pacific Centre </w:t>
      </w:r>
      <w:r w:rsidR="003260B8">
        <w:rPr>
          <w:lang w:eastAsia="zh-CN"/>
        </w:rPr>
        <w:t xml:space="preserve">supported </w:t>
      </w:r>
      <w:r w:rsidR="002F630B" w:rsidRPr="00316FDC">
        <w:rPr>
          <w:lang w:eastAsia="zh-CN"/>
        </w:rPr>
        <w:t xml:space="preserve">Kiribati </w:t>
      </w:r>
      <w:r w:rsidR="00DD1814">
        <w:rPr>
          <w:lang w:eastAsia="zh-CN"/>
        </w:rPr>
        <w:t xml:space="preserve">to </w:t>
      </w:r>
      <w:r w:rsidR="002F630B" w:rsidRPr="00316FDC">
        <w:rPr>
          <w:lang w:eastAsia="zh-CN"/>
        </w:rPr>
        <w:t xml:space="preserve">accede to the </w:t>
      </w:r>
      <w:r w:rsidR="003260B8" w:rsidRPr="00316FDC">
        <w:rPr>
          <w:lang w:eastAsia="zh-CN"/>
        </w:rPr>
        <w:t>UN</w:t>
      </w:r>
      <w:r w:rsidR="003260B8">
        <w:rPr>
          <w:lang w:eastAsia="zh-CN"/>
        </w:rPr>
        <w:t xml:space="preserve"> </w:t>
      </w:r>
      <w:r w:rsidR="003260B8" w:rsidRPr="00316FDC">
        <w:rPr>
          <w:lang w:eastAsia="zh-CN"/>
        </w:rPr>
        <w:t>C</w:t>
      </w:r>
      <w:r w:rsidR="003260B8">
        <w:rPr>
          <w:lang w:eastAsia="zh-CN"/>
        </w:rPr>
        <w:t>onvention against Corruption</w:t>
      </w:r>
      <w:r w:rsidR="003260B8" w:rsidRPr="00316FDC">
        <w:rPr>
          <w:lang w:eastAsia="zh-CN"/>
        </w:rPr>
        <w:t xml:space="preserve"> </w:t>
      </w:r>
      <w:r w:rsidR="003260B8">
        <w:rPr>
          <w:lang w:eastAsia="zh-CN"/>
        </w:rPr>
        <w:t xml:space="preserve">(UNCAC) </w:t>
      </w:r>
      <w:r w:rsidR="002F630B" w:rsidRPr="00316FDC">
        <w:rPr>
          <w:lang w:eastAsia="zh-CN"/>
        </w:rPr>
        <w:t>in September</w:t>
      </w:r>
      <w:r w:rsidR="003260B8">
        <w:rPr>
          <w:lang w:eastAsia="zh-CN"/>
        </w:rPr>
        <w:t xml:space="preserve"> and </w:t>
      </w:r>
      <w:r w:rsidR="00F63BCF">
        <w:rPr>
          <w:lang w:eastAsia="zh-CN"/>
        </w:rPr>
        <w:t>PNG</w:t>
      </w:r>
      <w:r w:rsidR="003260B8">
        <w:rPr>
          <w:lang w:eastAsia="zh-CN"/>
        </w:rPr>
        <w:t xml:space="preserve"> and Vanuatu completed their</w:t>
      </w:r>
      <w:r w:rsidR="002F630B" w:rsidRPr="00316FDC">
        <w:rPr>
          <w:lang w:eastAsia="zh-CN"/>
        </w:rPr>
        <w:t xml:space="preserve"> </w:t>
      </w:r>
      <w:r w:rsidR="002F630B" w:rsidRPr="00F42B66">
        <w:rPr>
          <w:lang w:eastAsia="zh-CN"/>
        </w:rPr>
        <w:t>implementati</w:t>
      </w:r>
      <w:r w:rsidR="003260B8">
        <w:rPr>
          <w:lang w:eastAsia="zh-CN"/>
        </w:rPr>
        <w:t>on reviews</w:t>
      </w:r>
      <w:r w:rsidR="00DD1814">
        <w:rPr>
          <w:lang w:eastAsia="zh-CN"/>
        </w:rPr>
        <w:t>.</w:t>
      </w:r>
      <w:r w:rsidR="002F630B" w:rsidRPr="00340AB4">
        <w:rPr>
          <w:rStyle w:val="FootnoteReference"/>
          <w:rFonts w:ascii="Franklin Gothic Book" w:hAnsi="Franklin Gothic Book"/>
          <w:sz w:val="21"/>
          <w:szCs w:val="21"/>
          <w:vertAlign w:val="superscript"/>
        </w:rPr>
        <w:footnoteReference w:id="26"/>
      </w:r>
      <w:r w:rsidR="00340AB4">
        <w:rPr>
          <w:lang w:eastAsia="zh-CN"/>
        </w:rPr>
        <w:t xml:space="preserve"> </w:t>
      </w:r>
      <w:r w:rsidR="008621FA">
        <w:rPr>
          <w:lang w:eastAsia="zh-CN"/>
        </w:rPr>
        <w:t>Representatives</w:t>
      </w:r>
      <w:r w:rsidR="008E2A55">
        <w:rPr>
          <w:rFonts w:cs="Segoe UI"/>
          <w:szCs w:val="21"/>
          <w:lang w:val="en"/>
        </w:rPr>
        <w:t xml:space="preserve"> </w:t>
      </w:r>
      <w:r w:rsidR="002F630B" w:rsidRPr="003260B8">
        <w:rPr>
          <w:rFonts w:cs="Segoe UI"/>
          <w:szCs w:val="21"/>
          <w:lang w:val="en"/>
        </w:rPr>
        <w:t>from Nauru and Kiribati undert</w:t>
      </w:r>
      <w:r w:rsidR="003260B8" w:rsidRPr="003260B8">
        <w:rPr>
          <w:rFonts w:cs="Segoe UI"/>
          <w:szCs w:val="21"/>
          <w:lang w:val="en"/>
        </w:rPr>
        <w:t xml:space="preserve">ook </w:t>
      </w:r>
      <w:r w:rsidR="002F630B" w:rsidRPr="003260B8">
        <w:rPr>
          <w:rFonts w:cs="Segoe UI"/>
          <w:szCs w:val="21"/>
          <w:lang w:val="en"/>
        </w:rPr>
        <w:t>a placement with the Fiji Financial Intelligence Unit to learn from Fiji’s experience on anti-money laundering</w:t>
      </w:r>
      <w:r w:rsidR="009901BF" w:rsidRPr="003260B8">
        <w:rPr>
          <w:rFonts w:cs="Segoe UI"/>
          <w:szCs w:val="21"/>
          <w:lang w:val="en"/>
        </w:rPr>
        <w:t>.</w:t>
      </w:r>
    </w:p>
    <w:p w:rsidR="00F66CA6" w:rsidRPr="003260B8" w:rsidRDefault="0082772C" w:rsidP="002F630B">
      <w:pPr>
        <w:pStyle w:val="BodyText"/>
        <w:numPr>
          <w:ilvl w:val="0"/>
          <w:numId w:val="32"/>
        </w:numPr>
        <w:spacing w:after="0"/>
        <w:ind w:left="714" w:hanging="357"/>
        <w:rPr>
          <w:lang w:eastAsia="zh-CN"/>
        </w:rPr>
      </w:pPr>
      <w:r>
        <w:rPr>
          <w:u w:val="single"/>
        </w:rPr>
        <w:t>Media</w:t>
      </w:r>
      <w:r w:rsidR="008621FA">
        <w:rPr>
          <w:u w:val="single"/>
        </w:rPr>
        <w:t>:</w:t>
      </w:r>
      <w:r>
        <w:t xml:space="preserve"> </w:t>
      </w:r>
      <w:r w:rsidR="00DD1814">
        <w:t xml:space="preserve">The </w:t>
      </w:r>
      <w:r w:rsidR="00340AB4">
        <w:rPr>
          <w:i/>
        </w:rPr>
        <w:t>Pacific Media Assistance Program (PACMAS)</w:t>
      </w:r>
      <w:r w:rsidR="00F66CA6" w:rsidRPr="00F66CA6">
        <w:rPr>
          <w:i/>
        </w:rPr>
        <w:t xml:space="preserve"> </w:t>
      </w:r>
      <w:r w:rsidR="00F66CA6">
        <w:t>remains a s</w:t>
      </w:r>
      <w:r w:rsidR="00F66CA6" w:rsidRPr="00F42B66">
        <w:t xml:space="preserve">ignificant investment </w:t>
      </w:r>
      <w:r w:rsidR="00F66CA6">
        <w:t xml:space="preserve">in </w:t>
      </w:r>
      <w:r w:rsidR="00F66CA6" w:rsidRPr="00F42B66">
        <w:t>improv</w:t>
      </w:r>
      <w:r w:rsidR="00F66CA6">
        <w:t xml:space="preserve">ing the </w:t>
      </w:r>
      <w:r w:rsidR="00F66CA6" w:rsidRPr="00F42B66">
        <w:t>quality of tertiary-level media education with a particular focus on expa</w:t>
      </w:r>
      <w:r w:rsidR="00F66CA6">
        <w:t>nding opportunities for women.  Key results included co</w:t>
      </w:r>
      <w:r w:rsidR="00F66CA6" w:rsidRPr="00F42B66">
        <w:t xml:space="preserve">llaboration between technicians, ICT specialists and businesses across the region to improve the quality and affordability of media delivery systems and </w:t>
      </w:r>
      <w:r w:rsidR="0084302C">
        <w:t xml:space="preserve">to </w:t>
      </w:r>
      <w:r w:rsidR="00F66CA6" w:rsidRPr="00F42B66">
        <w:t>respond to technological change.</w:t>
      </w:r>
    </w:p>
    <w:p w:rsidR="003260B8" w:rsidRDefault="003260B8" w:rsidP="003260B8">
      <w:pPr>
        <w:pStyle w:val="BodyText"/>
        <w:spacing w:after="0"/>
        <w:rPr>
          <w:rFonts w:cs="Segoe UI"/>
          <w:szCs w:val="21"/>
          <w:lang w:val="en"/>
        </w:rPr>
      </w:pPr>
    </w:p>
    <w:p w:rsidR="003260B8" w:rsidRPr="00C01471" w:rsidRDefault="003260B8" w:rsidP="003260B8">
      <w:pPr>
        <w:pStyle w:val="BodyText"/>
        <w:spacing w:after="0"/>
        <w:rPr>
          <w:rFonts w:cs="Segoe UI"/>
          <w:b/>
          <w:szCs w:val="21"/>
          <w:lang w:val="en"/>
        </w:rPr>
      </w:pPr>
      <w:r w:rsidRPr="00C01471">
        <w:rPr>
          <w:rFonts w:cs="Segoe UI"/>
          <w:b/>
          <w:szCs w:val="21"/>
          <w:lang w:val="en"/>
        </w:rPr>
        <w:t xml:space="preserve">Provision of specialized Governance services: </w:t>
      </w:r>
    </w:p>
    <w:p w:rsidR="00F66CA6" w:rsidRPr="00F66CA6" w:rsidRDefault="002F630B" w:rsidP="00F66CA6">
      <w:pPr>
        <w:pStyle w:val="BodyText"/>
        <w:numPr>
          <w:ilvl w:val="0"/>
          <w:numId w:val="33"/>
        </w:numPr>
        <w:spacing w:after="0"/>
        <w:rPr>
          <w:rFonts w:cs="Segoe UI"/>
          <w:szCs w:val="21"/>
          <w:lang w:val="en"/>
        </w:rPr>
      </w:pPr>
      <w:r w:rsidRPr="00F66CA6">
        <w:rPr>
          <w:i/>
          <w:lang w:eastAsia="zh-CN"/>
        </w:rPr>
        <w:t>Pacific Financial Technical Assistance (PFTAC</w:t>
      </w:r>
      <w:r w:rsidR="006B2FD9" w:rsidRPr="00F66CA6">
        <w:rPr>
          <w:i/>
          <w:lang w:eastAsia="zh-CN"/>
        </w:rPr>
        <w:t>)</w:t>
      </w:r>
      <w:r w:rsidRPr="00F42B66">
        <w:rPr>
          <w:lang w:eastAsia="zh-CN"/>
        </w:rPr>
        <w:t xml:space="preserve"> continues to play a valuable role in the region</w:t>
      </w:r>
      <w:r w:rsidR="003260B8">
        <w:rPr>
          <w:lang w:eastAsia="zh-CN"/>
        </w:rPr>
        <w:t xml:space="preserve"> supporting </w:t>
      </w:r>
      <w:r w:rsidRPr="00F42B66">
        <w:rPr>
          <w:lang w:eastAsia="zh-CN"/>
        </w:rPr>
        <w:t>Public Expenditure and Financial Accountability (PEFA) self-</w:t>
      </w:r>
      <w:r w:rsidRPr="00F42B66">
        <w:rPr>
          <w:lang w:eastAsia="zh-CN"/>
        </w:rPr>
        <w:lastRenderedPageBreak/>
        <w:t>assessment</w:t>
      </w:r>
      <w:r w:rsidR="00DD1814">
        <w:rPr>
          <w:lang w:eastAsia="zh-CN"/>
        </w:rPr>
        <w:t>,</w:t>
      </w:r>
      <w:r w:rsidR="003260B8" w:rsidRPr="00C0128E">
        <w:rPr>
          <w:rStyle w:val="FootnoteReference"/>
          <w:rFonts w:ascii="Franklin Gothic Book" w:hAnsi="Franklin Gothic Book"/>
          <w:sz w:val="21"/>
          <w:szCs w:val="21"/>
          <w:vertAlign w:val="superscript"/>
        </w:rPr>
        <w:footnoteReference w:id="27"/>
      </w:r>
      <w:r w:rsidR="00340AB4">
        <w:rPr>
          <w:lang w:eastAsia="zh-CN"/>
        </w:rPr>
        <w:t xml:space="preserve"> with two</w:t>
      </w:r>
      <w:r w:rsidR="00F66CA6">
        <w:rPr>
          <w:lang w:eastAsia="zh-CN"/>
        </w:rPr>
        <w:t xml:space="preserve"> </w:t>
      </w:r>
      <w:r w:rsidR="008E2A55">
        <w:rPr>
          <w:lang w:eastAsia="zh-CN"/>
        </w:rPr>
        <w:t>additional</w:t>
      </w:r>
      <w:r w:rsidR="00F66CA6">
        <w:rPr>
          <w:lang w:eastAsia="zh-CN"/>
        </w:rPr>
        <w:t xml:space="preserve"> countries undertaking PEFA in the last year.  It also </w:t>
      </w:r>
      <w:r w:rsidR="00DD1814">
        <w:rPr>
          <w:lang w:eastAsia="zh-CN"/>
        </w:rPr>
        <w:t xml:space="preserve">continued </w:t>
      </w:r>
      <w:r w:rsidR="00F66CA6">
        <w:rPr>
          <w:lang w:eastAsia="zh-CN"/>
        </w:rPr>
        <w:t xml:space="preserve">to </w:t>
      </w:r>
      <w:r w:rsidR="00DD1814">
        <w:rPr>
          <w:lang w:eastAsia="zh-CN"/>
        </w:rPr>
        <w:t>provide high-</w:t>
      </w:r>
      <w:r w:rsidR="00F66CA6">
        <w:rPr>
          <w:lang w:eastAsia="zh-CN"/>
        </w:rPr>
        <w:t>level technical advic</w:t>
      </w:r>
      <w:r w:rsidR="003260B8">
        <w:rPr>
          <w:lang w:eastAsia="zh-CN"/>
        </w:rPr>
        <w:t>e</w:t>
      </w:r>
      <w:r w:rsidR="00F66CA6">
        <w:rPr>
          <w:lang w:eastAsia="zh-CN"/>
        </w:rPr>
        <w:t xml:space="preserve"> and trained 234 public servant</w:t>
      </w:r>
      <w:r w:rsidR="0084302C">
        <w:rPr>
          <w:lang w:eastAsia="zh-CN"/>
        </w:rPr>
        <w:t>s</w:t>
      </w:r>
      <w:r>
        <w:t>.</w:t>
      </w:r>
    </w:p>
    <w:p w:rsidR="00F66CA6" w:rsidRDefault="002F630B" w:rsidP="002F630B">
      <w:pPr>
        <w:pStyle w:val="BodyText"/>
        <w:numPr>
          <w:ilvl w:val="0"/>
          <w:numId w:val="32"/>
        </w:numPr>
        <w:spacing w:after="0"/>
        <w:ind w:left="714" w:hanging="357"/>
        <w:rPr>
          <w:lang w:eastAsia="zh-CN"/>
        </w:rPr>
      </w:pPr>
      <w:r w:rsidRPr="00F66CA6">
        <w:rPr>
          <w:i/>
          <w:lang w:eastAsia="zh-CN"/>
        </w:rPr>
        <w:t>Pacific Technical Assistance Mechanism (PACTAM)</w:t>
      </w:r>
      <w:r w:rsidRPr="000B53B3">
        <w:rPr>
          <w:lang w:eastAsia="zh-CN"/>
        </w:rPr>
        <w:t xml:space="preserve"> continued to provide an efficient and effective mechanism for recruiting and managing advisers around the Pacific.</w:t>
      </w:r>
      <w:r w:rsidR="00F66CA6" w:rsidRPr="00C0128E">
        <w:rPr>
          <w:rStyle w:val="FootnoteReference"/>
          <w:rFonts w:ascii="Franklin Gothic Book" w:hAnsi="Franklin Gothic Book"/>
          <w:sz w:val="21"/>
          <w:szCs w:val="21"/>
          <w:vertAlign w:val="superscript"/>
        </w:rPr>
        <w:footnoteReference w:id="28"/>
      </w:r>
      <w:r w:rsidRPr="00C0128E">
        <w:rPr>
          <w:rStyle w:val="FootnoteReference"/>
          <w:rFonts w:ascii="Franklin Gothic Book" w:hAnsi="Franklin Gothic Book"/>
          <w:sz w:val="21"/>
          <w:szCs w:val="21"/>
          <w:vertAlign w:val="superscript"/>
        </w:rPr>
        <w:t xml:space="preserve"> </w:t>
      </w:r>
      <w:r w:rsidR="00DD1814">
        <w:rPr>
          <w:lang w:eastAsia="zh-CN"/>
        </w:rPr>
        <w:t>As of</w:t>
      </w:r>
      <w:r w:rsidR="00DD1814" w:rsidRPr="000B53B3">
        <w:rPr>
          <w:lang w:eastAsia="zh-CN"/>
        </w:rPr>
        <w:t xml:space="preserve"> </w:t>
      </w:r>
      <w:r w:rsidRPr="000B53B3">
        <w:rPr>
          <w:lang w:eastAsia="zh-CN"/>
        </w:rPr>
        <w:t>31 March 2014, a total of 28 advisers were on a</w:t>
      </w:r>
      <w:r w:rsidR="009901BF">
        <w:rPr>
          <w:lang w:eastAsia="zh-CN"/>
        </w:rPr>
        <w:t xml:space="preserve">ssignment across </w:t>
      </w:r>
      <w:r w:rsidR="00C0128E">
        <w:rPr>
          <w:lang w:eastAsia="zh-CN"/>
        </w:rPr>
        <w:t>eight</w:t>
      </w:r>
      <w:r w:rsidR="009901BF">
        <w:rPr>
          <w:lang w:eastAsia="zh-CN"/>
        </w:rPr>
        <w:t xml:space="preserve"> countries - o</w:t>
      </w:r>
      <w:r>
        <w:rPr>
          <w:lang w:eastAsia="zh-CN"/>
        </w:rPr>
        <w:t xml:space="preserve">ften in in-line positions.  </w:t>
      </w:r>
    </w:p>
    <w:p w:rsidR="00F66CA6" w:rsidRDefault="002F630B" w:rsidP="002F630B">
      <w:pPr>
        <w:pStyle w:val="BodyText"/>
        <w:numPr>
          <w:ilvl w:val="0"/>
          <w:numId w:val="32"/>
        </w:numPr>
        <w:spacing w:after="0"/>
        <w:ind w:left="714" w:hanging="357"/>
        <w:rPr>
          <w:lang w:eastAsia="zh-CN"/>
        </w:rPr>
      </w:pPr>
      <w:r w:rsidRPr="00F66CA6">
        <w:rPr>
          <w:i/>
          <w:lang w:eastAsia="zh-CN"/>
        </w:rPr>
        <w:t>Pacific Islands Centre for Public Administration (PICPA)</w:t>
      </w:r>
      <w:r w:rsidR="009901BF">
        <w:rPr>
          <w:lang w:eastAsia="zh-CN"/>
        </w:rPr>
        <w:t xml:space="preserve"> </w:t>
      </w:r>
      <w:r w:rsidR="00F66CA6">
        <w:rPr>
          <w:lang w:eastAsia="zh-CN"/>
        </w:rPr>
        <w:t>trained 459 public servants in Public Financial Management and Public Policy.</w:t>
      </w:r>
    </w:p>
    <w:p w:rsidR="00F66CA6" w:rsidRDefault="002F630B" w:rsidP="00F66CA6">
      <w:pPr>
        <w:pStyle w:val="BodyText"/>
        <w:numPr>
          <w:ilvl w:val="0"/>
          <w:numId w:val="32"/>
        </w:numPr>
        <w:spacing w:after="0"/>
        <w:ind w:left="714" w:hanging="357"/>
        <w:rPr>
          <w:lang w:eastAsia="zh-CN"/>
        </w:rPr>
      </w:pPr>
      <w:r w:rsidRPr="00F66CA6">
        <w:rPr>
          <w:i/>
          <w:lang w:eastAsia="zh-CN"/>
        </w:rPr>
        <w:t>Pacific Regional Audit Initiative (PRAI)</w:t>
      </w:r>
      <w:r w:rsidR="009901BF">
        <w:rPr>
          <w:lang w:eastAsia="zh-CN"/>
        </w:rPr>
        <w:t xml:space="preserve"> </w:t>
      </w:r>
      <w:r w:rsidR="0084302C">
        <w:rPr>
          <w:lang w:eastAsia="zh-CN"/>
        </w:rPr>
        <w:t>supported</w:t>
      </w:r>
      <w:r w:rsidRPr="007D7A11">
        <w:rPr>
          <w:lang w:eastAsia="zh-CN"/>
        </w:rPr>
        <w:t xml:space="preserve"> improvements in strengthening audit capacity across the region</w:t>
      </w:r>
      <w:r w:rsidR="00F66CA6">
        <w:rPr>
          <w:lang w:eastAsia="zh-CN"/>
        </w:rPr>
        <w:t xml:space="preserve"> with </w:t>
      </w:r>
      <w:r w:rsidRPr="007D7A11">
        <w:t>72</w:t>
      </w:r>
      <w:r w:rsidR="00C01471">
        <w:t xml:space="preserve"> </w:t>
      </w:r>
      <w:r w:rsidR="00737052">
        <w:t>per cent</w:t>
      </w:r>
      <w:r w:rsidRPr="007D7A11">
        <w:t xml:space="preserve"> of Supreme Audit Insti</w:t>
      </w:r>
      <w:r w:rsidR="00C0128E">
        <w:t>tutes (SAIs) in the region rating</w:t>
      </w:r>
      <w:r w:rsidRPr="007D7A11">
        <w:t xml:space="preserve"> their capability at level 3 or higher in 2012</w:t>
      </w:r>
      <w:r w:rsidR="00C0128E">
        <w:t>,</w:t>
      </w:r>
      <w:r w:rsidRPr="007D7A11">
        <w:t xml:space="preserve"> compared to 57</w:t>
      </w:r>
      <w:r w:rsidR="00C01471">
        <w:t xml:space="preserve"> </w:t>
      </w:r>
      <w:r w:rsidR="00737052">
        <w:t>per cent</w:t>
      </w:r>
      <w:r w:rsidRPr="007D7A11">
        <w:t xml:space="preserve"> in 2011</w:t>
      </w:r>
      <w:r w:rsidRPr="007D7A11">
        <w:rPr>
          <w:lang w:eastAsia="zh-CN"/>
        </w:rPr>
        <w:t xml:space="preserve">. </w:t>
      </w:r>
      <w:r w:rsidRPr="007D7A11">
        <w:t>Professionally qualified staff in SAIs increased from an average</w:t>
      </w:r>
      <w:r>
        <w:t xml:space="preserve"> </w:t>
      </w:r>
      <w:r w:rsidR="00F66CA6">
        <w:t>of 23</w:t>
      </w:r>
      <w:r w:rsidR="00C01471">
        <w:t xml:space="preserve"> </w:t>
      </w:r>
      <w:r w:rsidR="00737052">
        <w:t>per cent</w:t>
      </w:r>
      <w:r w:rsidR="00F66CA6">
        <w:t xml:space="preserve"> in 2011 to 40</w:t>
      </w:r>
      <w:r w:rsidR="00C01471">
        <w:t xml:space="preserve"> </w:t>
      </w:r>
      <w:r w:rsidR="00737052">
        <w:t>per cent</w:t>
      </w:r>
      <w:r w:rsidR="00F66CA6">
        <w:t xml:space="preserve"> in 2012.</w:t>
      </w:r>
    </w:p>
    <w:p w:rsidR="007B7FFD" w:rsidRPr="007B7FFD" w:rsidRDefault="007B7FFD" w:rsidP="007B7FFD">
      <w:pPr>
        <w:pStyle w:val="BodyText"/>
        <w:numPr>
          <w:ilvl w:val="0"/>
          <w:numId w:val="32"/>
        </w:numPr>
        <w:spacing w:after="0"/>
        <w:ind w:left="714" w:hanging="357"/>
        <w:rPr>
          <w:rFonts w:ascii="Helvetica" w:hAnsi="Helvetica" w:cs="Arial"/>
          <w:color w:val="124486"/>
          <w:kern w:val="28"/>
          <w:sz w:val="22"/>
          <w:szCs w:val="22"/>
        </w:rPr>
      </w:pPr>
      <w:r w:rsidRPr="007B7FFD">
        <w:t>Australia</w:t>
      </w:r>
      <w:r w:rsidR="00DA76BE">
        <w:t>’s</w:t>
      </w:r>
      <w:r w:rsidRPr="007B7FFD">
        <w:t xml:space="preserve"> support for the Ten Year Pacific Statistics Strategy (TYPSS) Action Plan has made significant progress in building the capacity of PICs to collect data. Future programming will focus on analysis and dissemination. SPC’s statistics program makes a significant contribution to the collection and dissemination of sex-dis</w:t>
      </w:r>
      <w:r w:rsidR="00C01471">
        <w:t>aggregated data in key economic</w:t>
      </w:r>
      <w:r w:rsidRPr="007B7FFD">
        <w:t xml:space="preserve"> and </w:t>
      </w:r>
      <w:r w:rsidR="00DA76BE">
        <w:t xml:space="preserve">a range of </w:t>
      </w:r>
      <w:r w:rsidRPr="007B7FFD">
        <w:t>social sectors including national accounts, trade, health, edu</w:t>
      </w:r>
      <w:r>
        <w:t>cation and labour participation</w:t>
      </w:r>
      <w:r w:rsidR="00DA76BE">
        <w:t>.</w:t>
      </w:r>
      <w:r w:rsidRPr="007562DA">
        <w:rPr>
          <w:vertAlign w:val="superscript"/>
          <w:lang w:eastAsia="zh-CN"/>
        </w:rPr>
        <w:footnoteReference w:id="29"/>
      </w:r>
    </w:p>
    <w:p w:rsidR="002F630B" w:rsidRPr="002572E6" w:rsidRDefault="002F630B" w:rsidP="007B7FFD">
      <w:pPr>
        <w:pStyle w:val="Heading4"/>
      </w:pPr>
      <w:r w:rsidRPr="002572E6">
        <w:t>Factors affecting progress and future directions</w:t>
      </w:r>
    </w:p>
    <w:p w:rsidR="00D07F3C" w:rsidRDefault="00D07F3C" w:rsidP="00D07F3C">
      <w:pPr>
        <w:pStyle w:val="BodyText"/>
        <w:rPr>
          <w:lang w:eastAsia="zh-CN"/>
        </w:rPr>
      </w:pPr>
      <w:r>
        <w:rPr>
          <w:lang w:eastAsia="zh-CN"/>
        </w:rPr>
        <w:t>DFAT has undertaken a desk review of the regional governance portfolio and proposed significant consolidation around effective programs that</w:t>
      </w:r>
      <w:r w:rsidR="0082772C">
        <w:rPr>
          <w:lang w:eastAsia="zh-CN"/>
        </w:rPr>
        <w:t xml:space="preserve"> meet the subsidiarity test and</w:t>
      </w:r>
      <w:r>
        <w:rPr>
          <w:lang w:eastAsia="zh-CN"/>
        </w:rPr>
        <w:t xml:space="preserve"> have proven successful</w:t>
      </w:r>
      <w:r w:rsidR="0082772C">
        <w:rPr>
          <w:lang w:eastAsia="zh-CN"/>
        </w:rPr>
        <w:t xml:space="preserve"> in supporting</w:t>
      </w:r>
      <w:r>
        <w:rPr>
          <w:lang w:eastAsia="zh-CN"/>
        </w:rPr>
        <w:t xml:space="preserve"> effective</w:t>
      </w:r>
      <w:r w:rsidR="008621FA">
        <w:rPr>
          <w:lang w:eastAsia="zh-CN"/>
        </w:rPr>
        <w:t xml:space="preserve"> governance across the Pacific.</w:t>
      </w:r>
      <w:r>
        <w:rPr>
          <w:lang w:eastAsia="zh-CN"/>
        </w:rPr>
        <w:t xml:space="preserve"> The revised portfolio will </w:t>
      </w:r>
      <w:r w:rsidR="00C0128E">
        <w:rPr>
          <w:lang w:eastAsia="zh-CN"/>
        </w:rPr>
        <w:t>focus</w:t>
      </w:r>
      <w:r>
        <w:rPr>
          <w:lang w:eastAsia="zh-CN"/>
        </w:rPr>
        <w:t xml:space="preserve"> on </w:t>
      </w:r>
      <w:r w:rsidR="0082772C">
        <w:rPr>
          <w:lang w:eastAsia="zh-CN"/>
        </w:rPr>
        <w:t>creating an enabling environment for inclusive growth and service delivery through investments that</w:t>
      </w:r>
      <w:r>
        <w:rPr>
          <w:lang w:eastAsia="zh-CN"/>
        </w:rPr>
        <w:t xml:space="preserve"> Australia can’t support on a country by country basis.   </w:t>
      </w:r>
    </w:p>
    <w:p w:rsidR="009901BF" w:rsidRPr="005E4462" w:rsidRDefault="009901BF" w:rsidP="005E4462">
      <w:pPr>
        <w:pStyle w:val="BodyText"/>
      </w:pPr>
      <w:r w:rsidRPr="005E4462">
        <w:t xml:space="preserve">In 2013/14, DFAT also commenced dialogue with PICPA, PRAI and PFTAC to work collaboratively on </w:t>
      </w:r>
      <w:r w:rsidR="00C0128E">
        <w:t>public financial management (</w:t>
      </w:r>
      <w:r w:rsidRPr="005E4462">
        <w:t>PFM</w:t>
      </w:r>
      <w:r w:rsidR="00C0128E">
        <w:t>)</w:t>
      </w:r>
      <w:r w:rsidRPr="005E4462">
        <w:t xml:space="preserve"> activities in the Pacific to ensure that support provided in this area </w:t>
      </w:r>
      <w:r w:rsidR="0084302C">
        <w:t xml:space="preserve">is </w:t>
      </w:r>
      <w:r w:rsidRPr="005E4462">
        <w:t>complement</w:t>
      </w:r>
      <w:r w:rsidR="0084302C">
        <w:t>ary</w:t>
      </w:r>
      <w:r w:rsidRPr="005E4462">
        <w:t xml:space="preserve"> and countries have access to a full spectrum of support (from training to technical support to implement the acquired knowledge</w:t>
      </w:r>
      <w:r w:rsidR="00C0128E">
        <w:t>).</w:t>
      </w:r>
      <w:r w:rsidRPr="005E4462">
        <w:t xml:space="preserve"> This will also remain a key focus </w:t>
      </w:r>
      <w:r w:rsidR="00DA76BE">
        <w:t>in</w:t>
      </w:r>
      <w:r w:rsidR="00DA76BE" w:rsidRPr="005E4462">
        <w:t xml:space="preserve"> </w:t>
      </w:r>
      <w:r w:rsidRPr="005E4462">
        <w:t>2014/15.</w:t>
      </w:r>
      <w:r w:rsidR="00CA7A13">
        <w:t xml:space="preserve"> The Pacific Risk Resilience Program is developing a governance approach to disaster and climate risk in the region. This approach looks to support partner governments better plan and manage many of the disaster risks that undermine broader development gains. </w:t>
      </w:r>
    </w:p>
    <w:p w:rsidR="00971B9C" w:rsidRDefault="00971B9C" w:rsidP="000D733F">
      <w:pPr>
        <w:pStyle w:val="Heading3"/>
      </w:pPr>
      <w:r>
        <w:t>Education</w:t>
      </w:r>
      <w:r w:rsidR="00F42B66">
        <w:t xml:space="preserve"> and Health </w:t>
      </w:r>
    </w:p>
    <w:p w:rsidR="00193AB5" w:rsidRPr="00F42B66" w:rsidRDefault="00193AB5" w:rsidP="00024FC6">
      <w:pPr>
        <w:pStyle w:val="Heading4"/>
        <w:numPr>
          <w:ilvl w:val="3"/>
          <w:numId w:val="22"/>
        </w:numPr>
      </w:pPr>
      <w:r w:rsidRPr="00F42B66">
        <w:t>Regional education program</w:t>
      </w:r>
    </w:p>
    <w:p w:rsidR="00193AB5" w:rsidRDefault="00193AB5" w:rsidP="00193AB5">
      <w:pPr>
        <w:pStyle w:val="BodyText"/>
        <w:rPr>
          <w:lang w:eastAsia="zh-CN"/>
        </w:rPr>
      </w:pPr>
      <w:r>
        <w:rPr>
          <w:lang w:eastAsia="zh-CN"/>
        </w:rPr>
        <w:t>Australia’s long-term focus is to</w:t>
      </w:r>
      <w:r w:rsidR="00C0128E">
        <w:rPr>
          <w:lang w:eastAsia="zh-CN"/>
        </w:rPr>
        <w:t xml:space="preserve"> ensure that all young Pacific </w:t>
      </w:r>
      <w:r w:rsidR="00DA76BE">
        <w:rPr>
          <w:lang w:eastAsia="zh-CN"/>
        </w:rPr>
        <w:t xml:space="preserve">Islanders </w:t>
      </w:r>
      <w:r>
        <w:rPr>
          <w:lang w:eastAsia="zh-CN"/>
        </w:rPr>
        <w:t>have the skills needed to lead a productive life</w:t>
      </w:r>
      <w:r w:rsidR="0084302C">
        <w:rPr>
          <w:lang w:eastAsia="zh-CN"/>
        </w:rPr>
        <w:t xml:space="preserve"> and contribute to economic growth in their countries</w:t>
      </w:r>
      <w:r w:rsidR="00C0128E">
        <w:rPr>
          <w:lang w:eastAsia="zh-CN"/>
        </w:rPr>
        <w:t>. </w:t>
      </w:r>
      <w:r w:rsidR="00E62764">
        <w:rPr>
          <w:lang w:eastAsia="zh-CN"/>
        </w:rPr>
        <w:t>The Pacific R</w:t>
      </w:r>
      <w:r>
        <w:rPr>
          <w:lang w:eastAsia="zh-CN"/>
        </w:rPr>
        <w:t>egional education program in 2013-14 was guided by the Pacific Education and Skills Development Agenda (PESDA)</w:t>
      </w:r>
      <w:r w:rsidR="00C0128E">
        <w:rPr>
          <w:lang w:eastAsia="zh-CN"/>
        </w:rPr>
        <w:t>,</w:t>
      </w:r>
      <w:r>
        <w:rPr>
          <w:lang w:eastAsia="zh-CN"/>
        </w:rPr>
        <w:t xml:space="preserve"> which has the objective of ensuring access to quality basic education and opportunities for young people to develop skills and gain valued qualifications.    </w:t>
      </w:r>
    </w:p>
    <w:p w:rsidR="00193AB5" w:rsidRDefault="00193AB5" w:rsidP="00024FC6">
      <w:pPr>
        <w:pStyle w:val="Heading4"/>
        <w:numPr>
          <w:ilvl w:val="3"/>
          <w:numId w:val="22"/>
        </w:numPr>
        <w:rPr>
          <w:i/>
          <w:iCs/>
        </w:rPr>
      </w:pPr>
      <w:r>
        <w:rPr>
          <w:i/>
          <w:iCs/>
        </w:rPr>
        <w:lastRenderedPageBreak/>
        <w:t>Key achievements</w:t>
      </w:r>
    </w:p>
    <w:p w:rsidR="00193AB5" w:rsidRDefault="00193AB5" w:rsidP="00193AB5">
      <w:pPr>
        <w:pStyle w:val="BodyText"/>
      </w:pPr>
      <w:r>
        <w:t>In 2013–14, the regional education program focused on benchmarking literacy achievement and supporting quality provision of tertiary education qualifications.</w:t>
      </w:r>
    </w:p>
    <w:p w:rsidR="008E2A55" w:rsidRDefault="00193AB5" w:rsidP="00193AB5">
      <w:pPr>
        <w:pStyle w:val="ListBullet"/>
        <w:numPr>
          <w:ilvl w:val="0"/>
          <w:numId w:val="0"/>
        </w:numPr>
      </w:pPr>
      <w:r>
        <w:rPr>
          <w:i/>
          <w:iCs/>
        </w:rPr>
        <w:t>Australia-Pacific Technical College</w:t>
      </w:r>
      <w:r w:rsidR="00F63BCF">
        <w:rPr>
          <w:i/>
          <w:iCs/>
        </w:rPr>
        <w:t xml:space="preserve"> (APTC)</w:t>
      </w:r>
      <w:r>
        <w:rPr>
          <w:i/>
          <w:iCs/>
        </w:rPr>
        <w:t>: </w:t>
      </w:r>
      <w:r>
        <w:t>Recent research</w:t>
      </w:r>
      <w:r w:rsidRPr="00DA76BE">
        <w:rPr>
          <w:rStyle w:val="FootnoteReference"/>
          <w:rFonts w:ascii="Franklin Gothic Book" w:hAnsi="Franklin Gothic Book"/>
          <w:vertAlign w:val="superscript"/>
        </w:rPr>
        <w:footnoteReference w:id="30"/>
      </w:r>
      <w:r w:rsidRPr="00DA76BE">
        <w:rPr>
          <w:vertAlign w:val="superscript"/>
        </w:rPr>
        <w:t xml:space="preserve"> </w:t>
      </w:r>
      <w:r>
        <w:t>has confirmed impressive employment outcomes for APTC graduates with 95.9</w:t>
      </w:r>
      <w:r w:rsidR="00C01471">
        <w:t xml:space="preserve"> </w:t>
      </w:r>
      <w:r w:rsidR="00737052">
        <w:t>per cent</w:t>
      </w:r>
      <w:r>
        <w:t xml:space="preserve"> of all APTC graduates employed.</w:t>
      </w:r>
      <w:r w:rsidR="00C0128E">
        <w:t> </w:t>
      </w:r>
      <w:r w:rsidR="00764E47">
        <w:t>With the Pacific having the highest rates o</w:t>
      </w:r>
      <w:r w:rsidR="00C0128E">
        <w:t xml:space="preserve">f gender based violence and </w:t>
      </w:r>
      <w:r w:rsidR="00F63BCF">
        <w:t>NCDs</w:t>
      </w:r>
      <w:r w:rsidR="00764E47">
        <w:t xml:space="preserve"> in the world, 94.9</w:t>
      </w:r>
      <w:r w:rsidR="00C01471">
        <w:t xml:space="preserve"> </w:t>
      </w:r>
      <w:r w:rsidR="00737052">
        <w:t>per cent</w:t>
      </w:r>
      <w:r w:rsidR="00764E47">
        <w:t xml:space="preserve"> of graduates reported a better understanding of the importance of gender equality and 97.6</w:t>
      </w:r>
      <w:r w:rsidR="00C01471">
        <w:t xml:space="preserve"> </w:t>
      </w:r>
      <w:r w:rsidR="00737052">
        <w:t>per cent</w:t>
      </w:r>
      <w:r w:rsidR="00764E47">
        <w:t xml:space="preserve"> reported a better understanding of the importance of physical health. </w:t>
      </w:r>
    </w:p>
    <w:p w:rsidR="00193AB5" w:rsidRDefault="00193AB5" w:rsidP="00193AB5">
      <w:pPr>
        <w:pStyle w:val="ListBullet"/>
        <w:numPr>
          <w:ilvl w:val="0"/>
          <w:numId w:val="0"/>
        </w:numPr>
      </w:pPr>
      <w:r>
        <w:rPr>
          <w:i/>
          <w:iCs/>
        </w:rPr>
        <w:t>University of the South Pacific:</w:t>
      </w:r>
      <w:r>
        <w:t xml:space="preserve"> USP continues to provide the best opportunity in the Pacific for quality, internationally-recognised higher education. In 2013, 2</w:t>
      </w:r>
      <w:r w:rsidR="00DA76BE">
        <w:t>,</w:t>
      </w:r>
      <w:r>
        <w:t>499 students graduated (56 per cent female) and the 2013 Graduate Destination survey confirmed that 60 per cent of graduates had found employment within four months of graduating.</w:t>
      </w:r>
    </w:p>
    <w:p w:rsidR="00193AB5" w:rsidRDefault="00193AB5" w:rsidP="00193AB5">
      <w:pPr>
        <w:pStyle w:val="ListBullet"/>
        <w:numPr>
          <w:ilvl w:val="0"/>
          <w:numId w:val="0"/>
        </w:numPr>
        <w:rPr>
          <w:rStyle w:val="st"/>
        </w:rPr>
      </w:pPr>
      <w:r>
        <w:rPr>
          <w:rStyle w:val="st"/>
          <w:i/>
          <w:iCs/>
        </w:rPr>
        <w:t>SPC Secretariat of the Pacific Board of Educational Assessment (SPBEA): </w:t>
      </w:r>
      <w:r>
        <w:rPr>
          <w:rStyle w:val="st"/>
        </w:rPr>
        <w:t>The Pacific Benchmarking for Education Results pilot program is helping</w:t>
      </w:r>
      <w:r w:rsidR="005801B9">
        <w:rPr>
          <w:rStyle w:val="st"/>
        </w:rPr>
        <w:t xml:space="preserve"> education m</w:t>
      </w:r>
      <w:r>
        <w:rPr>
          <w:rStyle w:val="st"/>
        </w:rPr>
        <w:t xml:space="preserve">inistries in Samoa, Solomon Islands and </w:t>
      </w:r>
      <w:r w:rsidR="00F63BCF">
        <w:rPr>
          <w:rStyle w:val="st"/>
        </w:rPr>
        <w:t>PNG</w:t>
      </w:r>
      <w:r>
        <w:rPr>
          <w:rStyle w:val="st"/>
        </w:rPr>
        <w:t xml:space="preserve"> improve the performance of their education systems</w:t>
      </w:r>
      <w:r w:rsidR="00DA76BE">
        <w:rPr>
          <w:rStyle w:val="st"/>
        </w:rPr>
        <w:t>.</w:t>
      </w:r>
      <w:r>
        <w:rPr>
          <w:rStyle w:val="FootnoteReference"/>
          <w:vertAlign w:val="superscript"/>
        </w:rPr>
        <w:footnoteReference w:id="31"/>
      </w:r>
      <w:r w:rsidR="00C0128E">
        <w:rPr>
          <w:rStyle w:val="st"/>
        </w:rPr>
        <w:t> </w:t>
      </w:r>
      <w:r>
        <w:rPr>
          <w:rStyle w:val="st"/>
        </w:rPr>
        <w:t>Early impacts include the establishment of a Literacy Policy Task Force in Solomon Islands and the integration of literacy pedagogy training in Samoa. For the first time, these three countries agreed to share data on the performance of their education systems</w:t>
      </w:r>
      <w:r w:rsidR="00DA76BE">
        <w:rPr>
          <w:rStyle w:val="st"/>
        </w:rPr>
        <w:t>,</w:t>
      </w:r>
      <w:r>
        <w:rPr>
          <w:rStyle w:val="st"/>
        </w:rPr>
        <w:t xml:space="preserve"> allowing for cross-regional learning on how to imp</w:t>
      </w:r>
      <w:r w:rsidR="008621FA">
        <w:rPr>
          <w:rStyle w:val="st"/>
        </w:rPr>
        <w:t>rove the quality of education. </w:t>
      </w:r>
      <w:r>
        <w:rPr>
          <w:rStyle w:val="st"/>
        </w:rPr>
        <w:t>In addition, SPBEA is supporting recognition of qualifications and labour mobility through the Pacific Register of Qualifications and Standards</w:t>
      </w:r>
      <w:r w:rsidR="00DA76BE">
        <w:rPr>
          <w:rStyle w:val="st"/>
        </w:rPr>
        <w:t>.</w:t>
      </w:r>
      <w:r>
        <w:rPr>
          <w:rStyle w:val="FootnoteReference"/>
          <w:vertAlign w:val="superscript"/>
        </w:rPr>
        <w:footnoteReference w:id="32"/>
      </w:r>
    </w:p>
    <w:p w:rsidR="00193AB5" w:rsidRDefault="00193AB5" w:rsidP="00024FC6">
      <w:pPr>
        <w:pStyle w:val="Heading4"/>
        <w:numPr>
          <w:ilvl w:val="3"/>
          <w:numId w:val="22"/>
        </w:numPr>
      </w:pPr>
      <w:r>
        <w:t>Factors affecting progress</w:t>
      </w:r>
    </w:p>
    <w:p w:rsidR="00193AB5" w:rsidRDefault="00193AB5" w:rsidP="00193AB5">
      <w:pPr>
        <w:pStyle w:val="ListBullet"/>
        <w:numPr>
          <w:ilvl w:val="0"/>
          <w:numId w:val="0"/>
        </w:numPr>
        <w:rPr>
          <w:rStyle w:val="st"/>
        </w:rPr>
      </w:pPr>
      <w:r>
        <w:rPr>
          <w:lang w:eastAsia="zh-CN"/>
        </w:rPr>
        <w:t>In 2014-15</w:t>
      </w:r>
      <w:r w:rsidR="00C0128E">
        <w:rPr>
          <w:lang w:eastAsia="zh-CN"/>
        </w:rPr>
        <w:t>,</w:t>
      </w:r>
      <w:r>
        <w:rPr>
          <w:lang w:eastAsia="zh-CN"/>
        </w:rPr>
        <w:t xml:space="preserve"> Australia will strengthen its response to improving employment and labour </w:t>
      </w:r>
      <w:r w:rsidR="00C0128E">
        <w:rPr>
          <w:lang w:eastAsia="zh-CN"/>
        </w:rPr>
        <w:t>mobility prospects for Pacific i</w:t>
      </w:r>
      <w:r>
        <w:rPr>
          <w:lang w:eastAsia="zh-CN"/>
        </w:rPr>
        <w:t xml:space="preserve">slanders through an independent evaluation of the APTC and a major new program, </w:t>
      </w:r>
      <w:r>
        <w:rPr>
          <w:i/>
          <w:lang w:eastAsia="zh-CN"/>
        </w:rPr>
        <w:t>Skilling Youth in the Pacific</w:t>
      </w:r>
      <w:r>
        <w:rPr>
          <w:lang w:eastAsia="zh-CN"/>
        </w:rPr>
        <w:t>, which will address the high numbers of unemployed yo</w:t>
      </w:r>
      <w:r w:rsidR="00F42B66">
        <w:rPr>
          <w:lang w:eastAsia="zh-CN"/>
        </w:rPr>
        <w:t>ung people, skills shortages and</w:t>
      </w:r>
      <w:r>
        <w:rPr>
          <w:lang w:eastAsia="zh-CN"/>
        </w:rPr>
        <w:t xml:space="preserve"> quality assurance of local training providers.</w:t>
      </w:r>
    </w:p>
    <w:p w:rsidR="00DE3586" w:rsidRPr="00F42B66" w:rsidRDefault="00DE3586" w:rsidP="00DE3586">
      <w:pPr>
        <w:pStyle w:val="Heading4"/>
        <w:numPr>
          <w:ilvl w:val="3"/>
          <w:numId w:val="22"/>
        </w:numPr>
      </w:pPr>
      <w:r w:rsidRPr="00F42B66">
        <w:t xml:space="preserve">Regional Health Program </w:t>
      </w:r>
    </w:p>
    <w:p w:rsidR="00DE3586" w:rsidRPr="00DE3586" w:rsidRDefault="00DE3586" w:rsidP="00DE3586">
      <w:pPr>
        <w:pStyle w:val="BodyText"/>
        <w:rPr>
          <w:lang w:eastAsia="zh-CN"/>
        </w:rPr>
      </w:pPr>
      <w:r>
        <w:rPr>
          <w:rFonts w:eastAsiaTheme="minorHAnsi"/>
          <w:szCs w:val="21"/>
        </w:rPr>
        <w:t xml:space="preserve">Australia began implementing a new regional health program in 2013-14 to address significant program fragmentation and has consolidated the </w:t>
      </w:r>
      <w:r w:rsidR="00DA76BE">
        <w:rPr>
          <w:rFonts w:eastAsiaTheme="minorHAnsi"/>
          <w:szCs w:val="21"/>
        </w:rPr>
        <w:t xml:space="preserve">original </w:t>
      </w:r>
      <w:r>
        <w:rPr>
          <w:rFonts w:eastAsiaTheme="minorHAnsi"/>
          <w:szCs w:val="21"/>
        </w:rPr>
        <w:t xml:space="preserve">12 regional initiatives with 30 funding agreements across 8 agencies in 2012 down to 6 regional initiatives with 6 funding agreements across 6 key partners in 2013-14. Australia’s new approach has a strong focus on health services that necessitate a regional or multi-country approach, taking into account capacity constraints faced by national level health systems. The five-year (2013-2017) program outcome for Australia’s Pacific Regional Health Program is that selected regional health functions are efficiently and effectively supporting </w:t>
      </w:r>
      <w:r w:rsidR="00DA76BE">
        <w:rPr>
          <w:rFonts w:eastAsiaTheme="minorHAnsi"/>
          <w:szCs w:val="21"/>
        </w:rPr>
        <w:t>PICs</w:t>
      </w:r>
      <w:r>
        <w:rPr>
          <w:rFonts w:eastAsiaTheme="minorHAnsi"/>
          <w:szCs w:val="21"/>
        </w:rPr>
        <w:t xml:space="preserve"> to develop and deliver cost-effective, quality and equitable health policies and services to their citizens. The regional health program </w:t>
      </w:r>
      <w:r w:rsidRPr="00CF100F">
        <w:rPr>
          <w:lang w:eastAsia="zh-CN"/>
        </w:rPr>
        <w:t xml:space="preserve">is directly engaging with and supporting the operation of </w:t>
      </w:r>
      <w:r>
        <w:rPr>
          <w:lang w:eastAsia="zh-CN"/>
        </w:rPr>
        <w:t>regional</w:t>
      </w:r>
      <w:r w:rsidRPr="00CF100F">
        <w:rPr>
          <w:lang w:eastAsia="zh-CN"/>
        </w:rPr>
        <w:t xml:space="preserve"> governance arrangements, and using its policy engagement and funding incentives to drive multilateral and regional organisations to deliver strengthened regional and country-level health improvement</w:t>
      </w:r>
      <w:r>
        <w:rPr>
          <w:lang w:eastAsia="zh-CN"/>
        </w:rPr>
        <w:t xml:space="preserve">s. </w:t>
      </w:r>
    </w:p>
    <w:p w:rsidR="00DE3586" w:rsidRDefault="00DE3586" w:rsidP="00DE3586">
      <w:pPr>
        <w:pStyle w:val="Heading4"/>
        <w:numPr>
          <w:ilvl w:val="3"/>
          <w:numId w:val="22"/>
        </w:numPr>
        <w:rPr>
          <w:i/>
          <w:iCs/>
        </w:rPr>
      </w:pPr>
      <w:r>
        <w:rPr>
          <w:i/>
          <w:iCs/>
        </w:rPr>
        <w:t>Key achievements</w:t>
      </w:r>
    </w:p>
    <w:p w:rsidR="00DE3586" w:rsidRDefault="00DE3586" w:rsidP="00DE3586">
      <w:pPr>
        <w:pStyle w:val="BodyText"/>
      </w:pPr>
      <w:r>
        <w:rPr>
          <w:i/>
          <w:iCs/>
          <w:lang w:eastAsia="zh-CN"/>
        </w:rPr>
        <w:lastRenderedPageBreak/>
        <w:t>Strengthened regional architecture:</w:t>
      </w:r>
      <w:r w:rsidRPr="008D5126">
        <w:rPr>
          <w:i/>
          <w:iCs/>
          <w:lang w:eastAsia="zh-CN"/>
        </w:rPr>
        <w:t xml:space="preserve"> </w:t>
      </w:r>
      <w:r>
        <w:t>Grant funding from Australia helped senior health officials to directly engage with the Pacific Plan Review team in April 2013</w:t>
      </w:r>
      <w:r w:rsidR="00DA76BE">
        <w:t>;</w:t>
      </w:r>
      <w:r w:rsidRPr="005801B9">
        <w:rPr>
          <w:rStyle w:val="FootnoteReference"/>
          <w:vertAlign w:val="superscript"/>
        </w:rPr>
        <w:footnoteReference w:id="33"/>
      </w:r>
      <w:r>
        <w:t xml:space="preserve"> and also supported changes to the regional governance architecture through inclusion of a Pacific Directors of Health forum in 2013 and 2014 to discuss key issues impacting on health outcomes in the region.  </w:t>
      </w:r>
    </w:p>
    <w:p w:rsidR="00DE3586" w:rsidRDefault="00DE3586" w:rsidP="00DE3586">
      <w:pPr>
        <w:pStyle w:val="BodyText"/>
        <w:rPr>
          <w:color w:val="FF0000"/>
        </w:rPr>
      </w:pPr>
      <w:r>
        <w:rPr>
          <w:i/>
        </w:rPr>
        <w:t>Quality healthcare and medical training:</w:t>
      </w:r>
      <w:r>
        <w:t>  In 2012-14, Australia provided $5 million in core support for the College of Medicine, Nursing and Health Sciences at the Fiji National University</w:t>
      </w:r>
      <w:r w:rsidR="00DA76BE">
        <w:t>,</w:t>
      </w:r>
      <w:r>
        <w:rPr>
          <w:rStyle w:val="FootnoteReference"/>
          <w:vertAlign w:val="superscript"/>
        </w:rPr>
        <w:footnoteReference w:id="34"/>
      </w:r>
      <w:r>
        <w:t xml:space="preserve"> which produced 775 graduates in 2013, including 387 nursing graduates. Australia’s support aided the development of new courses such as the Postgraduate Diploma in Paediatric Nursing and a Postgraduate Certificate in Diabetic Nursing, and helped establish three research centres</w:t>
      </w:r>
      <w:r>
        <w:rPr>
          <w:rStyle w:val="FootnoteReference"/>
          <w:vertAlign w:val="superscript"/>
        </w:rPr>
        <w:footnoteReference w:id="35"/>
      </w:r>
      <w:r>
        <w:rPr>
          <w:sz w:val="16"/>
          <w:szCs w:val="16"/>
          <w:vertAlign w:val="superscript"/>
        </w:rPr>
        <w:t xml:space="preserve"> </w:t>
      </w:r>
      <w:r>
        <w:t>to address emerging health priorities in the region.</w:t>
      </w:r>
    </w:p>
    <w:p w:rsidR="00DE3586" w:rsidRDefault="00DE3586" w:rsidP="00DE3586">
      <w:pPr>
        <w:pStyle w:val="ListBullet"/>
        <w:numPr>
          <w:ilvl w:val="0"/>
          <w:numId w:val="0"/>
        </w:numPr>
      </w:pPr>
      <w:r>
        <w:rPr>
          <w:i/>
        </w:rPr>
        <w:t>Addressing Non-communicable Diseases (NCDs)</w:t>
      </w:r>
      <w:r>
        <w:t xml:space="preserve">: Throughout 2013-14 Australia was one of the key partners, along with </w:t>
      </w:r>
      <w:r w:rsidR="00DA76BE">
        <w:t xml:space="preserve">the </w:t>
      </w:r>
      <w:r>
        <w:t>SPC, World Health Organisation (WHO), World Bank and New Zealand</w:t>
      </w:r>
      <w:r w:rsidR="00DA76BE">
        <w:t>,</w:t>
      </w:r>
      <w:r>
        <w:t xml:space="preserve"> supporting the development of the ‘NCD Roadmap’ at the request of the 2013 Forum Economic Ministers Meeting. The Roadmap synthesises global evidence on the most cost-effective NCD interventions across all sectors and presents these as a ‘menu of options’ for countries to choose from. The Roadmap was unanimously endorsed at the Joint Forum Economic Ministers and Pacific Health Ministers meeting in July 2014. Australian funding allowed the World Bank to expand its work in Pacific health, and the Bank has been uniquely placed to support economic and health ministers consider multi-sectoral responses to NCDs.</w:t>
      </w:r>
    </w:p>
    <w:p w:rsidR="00DE3586" w:rsidRDefault="00DE3586" w:rsidP="00DE3586">
      <w:pPr>
        <w:pStyle w:val="BodyText"/>
      </w:pPr>
      <w:r>
        <w:rPr>
          <w:i/>
          <w:iCs/>
          <w:lang w:eastAsia="zh-CN"/>
        </w:rPr>
        <w:t xml:space="preserve">Promoting regional norms and standards:  </w:t>
      </w:r>
      <w:r>
        <w:t xml:space="preserve">Australian support to </w:t>
      </w:r>
      <w:r w:rsidR="00DA76BE">
        <w:t xml:space="preserve">the </w:t>
      </w:r>
      <w:r>
        <w:t>WHO Pacific sub-regional office assisted four countries (Cook Islands, Federated States of Micronesia, Fiji and Samoa) to reach a level of at least 90</w:t>
      </w:r>
      <w:r w:rsidR="00EA550D">
        <w:t xml:space="preserve"> </w:t>
      </w:r>
      <w:r w:rsidR="00737052">
        <w:t>per cent</w:t>
      </w:r>
      <w:r>
        <w:t xml:space="preserve"> of suspected disease outbreaks adequately investigated and controlled</w:t>
      </w:r>
      <w:r w:rsidR="00DA76BE">
        <w:t>.</w:t>
      </w:r>
      <w:r>
        <w:rPr>
          <w:rStyle w:val="FootnoteReference"/>
          <w:vertAlign w:val="superscript"/>
        </w:rPr>
        <w:footnoteReference w:id="36"/>
      </w:r>
      <w:r>
        <w:t xml:space="preserve"> Australia’s support enabled the United Nations Children’s Fund (UNICEF) to help PICs maintain polio-free status and enhanced progress towards measles elimination and hepatitis B control by 2015.  While full immunisation coverage rates in PICs are mixed, gains made in immunisation coverage are evidenced by no major outbreaks of vaccine-preventable diseases in 2013-14.  UNICEF continued to meet vaccination supply needs, with 14 participating PICs receiving vaccines in accordance with forecasted requirements. </w:t>
      </w:r>
    </w:p>
    <w:p w:rsidR="00DE3586" w:rsidRDefault="00DE3586" w:rsidP="00DE3586">
      <w:pPr>
        <w:pStyle w:val="BodyText"/>
      </w:pPr>
      <w:r>
        <w:rPr>
          <w:i/>
          <w:iCs/>
          <w:lang w:eastAsia="zh-CN"/>
        </w:rPr>
        <w:t>Providing specialised services: </w:t>
      </w:r>
      <w:r>
        <w:t>In 2013, the Pacific Islands Project provided 42 specialist clinical service and mentoring visits to nine countries. Through these visits, 4,194 individuals</w:t>
      </w:r>
      <w:r>
        <w:rPr>
          <w:b/>
          <w:bCs/>
        </w:rPr>
        <w:t xml:space="preserve"> </w:t>
      </w:r>
      <w:r>
        <w:t xml:space="preserve">accessed specialised clinical consultations and 1,128 individuals received life-changing surgical procedures.  </w:t>
      </w:r>
      <w:r w:rsidR="00DA76BE">
        <w:t>Twenty-</w:t>
      </w:r>
      <w:r>
        <w:t>six Pacific doctors were directly involved in 323 surgical procedures, and performed the lead surgeon role in half of the recorded procedures.</w:t>
      </w:r>
    </w:p>
    <w:p w:rsidR="00DE3586" w:rsidRDefault="00DE3586" w:rsidP="00DE3586">
      <w:pPr>
        <w:pStyle w:val="Heading4"/>
        <w:numPr>
          <w:ilvl w:val="3"/>
          <w:numId w:val="22"/>
        </w:numPr>
      </w:pPr>
      <w:r>
        <w:t>Factors affecting progress</w:t>
      </w:r>
    </w:p>
    <w:p w:rsidR="00DE3586" w:rsidRDefault="00DE3586" w:rsidP="00DE3586">
      <w:pPr>
        <w:pStyle w:val="BodyText"/>
        <w:rPr>
          <w:lang w:eastAsia="zh-CN"/>
        </w:rPr>
      </w:pPr>
      <w:r w:rsidRPr="00DE3586">
        <w:rPr>
          <w:lang w:eastAsia="zh-CN"/>
        </w:rPr>
        <w:t xml:space="preserve">In 2013-14, Australia’s Pacific Regional Health Delivery Strategy demanded a new way of working with health partners in order to deliver better health outcomes in the region. This included developing new funding modalities and approaches for new programs to capitalise and leverage Australia’s existing bilateral health initiatives. In 2014-15, Australia will commence designs for 3-4 new programs covering </w:t>
      </w:r>
      <w:r w:rsidR="00DA76BE">
        <w:rPr>
          <w:lang w:eastAsia="zh-CN"/>
        </w:rPr>
        <w:t>r</w:t>
      </w:r>
      <w:r w:rsidR="00DA76BE" w:rsidRPr="00DE3586">
        <w:rPr>
          <w:lang w:eastAsia="zh-CN"/>
        </w:rPr>
        <w:t>eproductive</w:t>
      </w:r>
      <w:r w:rsidRPr="00DE3586">
        <w:rPr>
          <w:lang w:eastAsia="zh-CN"/>
        </w:rPr>
        <w:t xml:space="preserve">, </w:t>
      </w:r>
      <w:r w:rsidR="00DA76BE">
        <w:rPr>
          <w:lang w:eastAsia="zh-CN"/>
        </w:rPr>
        <w:t>m</w:t>
      </w:r>
      <w:r w:rsidR="00DA76BE" w:rsidRPr="00DE3586">
        <w:rPr>
          <w:lang w:eastAsia="zh-CN"/>
        </w:rPr>
        <w:t>aternal</w:t>
      </w:r>
      <w:r w:rsidRPr="00DE3586">
        <w:rPr>
          <w:lang w:eastAsia="zh-CN"/>
        </w:rPr>
        <w:t xml:space="preserve">, </w:t>
      </w:r>
      <w:r w:rsidR="00DA76BE">
        <w:rPr>
          <w:lang w:eastAsia="zh-CN"/>
        </w:rPr>
        <w:t>n</w:t>
      </w:r>
      <w:r w:rsidR="00DA76BE" w:rsidRPr="00DE3586">
        <w:rPr>
          <w:lang w:eastAsia="zh-CN"/>
        </w:rPr>
        <w:t>ewborn</w:t>
      </w:r>
      <w:r w:rsidRPr="00DE3586">
        <w:rPr>
          <w:lang w:eastAsia="zh-CN"/>
        </w:rPr>
        <w:t xml:space="preserve">, </w:t>
      </w:r>
      <w:r w:rsidR="00DA76BE">
        <w:rPr>
          <w:lang w:eastAsia="zh-CN"/>
        </w:rPr>
        <w:t>a</w:t>
      </w:r>
      <w:r w:rsidR="00DA76BE" w:rsidRPr="00DE3586">
        <w:rPr>
          <w:lang w:eastAsia="zh-CN"/>
        </w:rPr>
        <w:t xml:space="preserve">dolescent </w:t>
      </w:r>
      <w:r w:rsidRPr="00DE3586">
        <w:rPr>
          <w:lang w:eastAsia="zh-CN"/>
        </w:rPr>
        <w:t xml:space="preserve">and </w:t>
      </w:r>
      <w:r w:rsidR="00DA76BE">
        <w:rPr>
          <w:lang w:eastAsia="zh-CN"/>
        </w:rPr>
        <w:t>c</w:t>
      </w:r>
      <w:r w:rsidR="00DA76BE" w:rsidRPr="00DE3586">
        <w:rPr>
          <w:lang w:eastAsia="zh-CN"/>
        </w:rPr>
        <w:t xml:space="preserve">hild </w:t>
      </w:r>
      <w:r w:rsidR="00DA76BE">
        <w:rPr>
          <w:lang w:eastAsia="zh-CN"/>
        </w:rPr>
        <w:lastRenderedPageBreak/>
        <w:t>h</w:t>
      </w:r>
      <w:r w:rsidR="00DA76BE" w:rsidRPr="00DE3586">
        <w:rPr>
          <w:lang w:eastAsia="zh-CN"/>
        </w:rPr>
        <w:t>ealth</w:t>
      </w:r>
      <w:r w:rsidRPr="00DE3586">
        <w:rPr>
          <w:lang w:eastAsia="zh-CN"/>
        </w:rPr>
        <w:t xml:space="preserve">; </w:t>
      </w:r>
      <w:r w:rsidR="00DA76BE">
        <w:rPr>
          <w:lang w:eastAsia="zh-CN"/>
        </w:rPr>
        <w:t>s</w:t>
      </w:r>
      <w:r w:rsidR="00DA76BE" w:rsidRPr="00DE3586">
        <w:rPr>
          <w:lang w:eastAsia="zh-CN"/>
        </w:rPr>
        <w:t xml:space="preserve">exual </w:t>
      </w:r>
      <w:r w:rsidRPr="00DE3586">
        <w:rPr>
          <w:lang w:eastAsia="zh-CN"/>
        </w:rPr>
        <w:t xml:space="preserve">reproductive health and rights; health workforce; and specialised clinical health services. </w:t>
      </w:r>
    </w:p>
    <w:p w:rsidR="00DE3586" w:rsidRPr="00DE3586" w:rsidRDefault="00DE3586" w:rsidP="00DE3586">
      <w:pPr>
        <w:pStyle w:val="Heading4"/>
        <w:numPr>
          <w:ilvl w:val="3"/>
          <w:numId w:val="22"/>
        </w:numPr>
      </w:pPr>
      <w:r w:rsidRPr="00DE3586">
        <w:t xml:space="preserve">Regional Sport Program </w:t>
      </w:r>
    </w:p>
    <w:p w:rsidR="00DE3586" w:rsidRDefault="00DE3586" w:rsidP="00DE3586">
      <w:pPr>
        <w:pStyle w:val="BodyText"/>
        <w:rPr>
          <w:lang w:eastAsia="zh-CN"/>
        </w:rPr>
      </w:pPr>
      <w:r>
        <w:rPr>
          <w:lang w:eastAsia="zh-CN"/>
        </w:rPr>
        <w:t xml:space="preserve">Development through </w:t>
      </w:r>
      <w:r w:rsidR="00DA76BE">
        <w:rPr>
          <w:lang w:eastAsia="zh-CN"/>
        </w:rPr>
        <w:t>s</w:t>
      </w:r>
      <w:r w:rsidR="00DA76BE" w:rsidRPr="00C04E74">
        <w:rPr>
          <w:lang w:eastAsia="zh-CN"/>
        </w:rPr>
        <w:t>port</w:t>
      </w:r>
      <w:r w:rsidR="00DA76BE">
        <w:rPr>
          <w:lang w:eastAsia="zh-CN"/>
        </w:rPr>
        <w:t xml:space="preserve"> </w:t>
      </w:r>
      <w:r>
        <w:rPr>
          <w:lang w:eastAsia="zh-CN"/>
        </w:rPr>
        <w:t>activities in the Pacific address issues such as health, social inclusion, social cohesion, gender equality and personal wellbeing. In 2013</w:t>
      </w:r>
      <w:r w:rsidR="00DA76BE">
        <w:rPr>
          <w:lang w:eastAsia="zh-CN"/>
        </w:rPr>
        <w:t>-</w:t>
      </w:r>
      <w:r>
        <w:rPr>
          <w:lang w:eastAsia="zh-CN"/>
        </w:rPr>
        <w:t xml:space="preserve">14 an Independent Evaluation of the </w:t>
      </w:r>
      <w:r w:rsidRPr="00C04E74">
        <w:rPr>
          <w:lang w:eastAsia="zh-CN"/>
        </w:rPr>
        <w:t xml:space="preserve">Australian Sports Outreach (Country Programs) </w:t>
      </w:r>
      <w:r>
        <w:rPr>
          <w:lang w:eastAsia="zh-CN"/>
        </w:rPr>
        <w:t xml:space="preserve">found the program had had positive outcomes in terms of changed attitudes to healthy living. Under the second </w:t>
      </w:r>
      <w:r w:rsidRPr="00C04E74">
        <w:rPr>
          <w:lang w:eastAsia="zh-CN"/>
        </w:rPr>
        <w:t xml:space="preserve">Pacific Sports Partnerships </w:t>
      </w:r>
      <w:r>
        <w:rPr>
          <w:lang w:eastAsia="zh-CN"/>
        </w:rPr>
        <w:t xml:space="preserve">(PSP) </w:t>
      </w:r>
      <w:r w:rsidRPr="00C04E74">
        <w:rPr>
          <w:lang w:eastAsia="zh-CN"/>
        </w:rPr>
        <w:t>Program</w:t>
      </w:r>
      <w:r>
        <w:rPr>
          <w:lang w:eastAsia="zh-CN"/>
        </w:rPr>
        <w:t xml:space="preserve"> commencing in 2013, arrangements were finalised with five new sports and activities commenced from February 2014. </w:t>
      </w:r>
    </w:p>
    <w:p w:rsidR="00DE3586" w:rsidRDefault="00DE3586" w:rsidP="00DE3586">
      <w:pPr>
        <w:pStyle w:val="BodyText"/>
        <w:rPr>
          <w:lang w:eastAsia="zh-CN"/>
        </w:rPr>
      </w:pPr>
      <w:r>
        <w:rPr>
          <w:lang w:eastAsia="zh-CN"/>
        </w:rPr>
        <w:t>Key results in 2013</w:t>
      </w:r>
      <w:r w:rsidR="00DA76BE">
        <w:rPr>
          <w:lang w:eastAsia="zh-CN"/>
        </w:rPr>
        <w:t>-</w:t>
      </w:r>
      <w:r>
        <w:rPr>
          <w:lang w:eastAsia="zh-CN"/>
        </w:rPr>
        <w:t>14 included:</w:t>
      </w:r>
    </w:p>
    <w:p w:rsidR="00DE3586" w:rsidRDefault="00DE3586" w:rsidP="00DE3586">
      <w:pPr>
        <w:pStyle w:val="BodyText"/>
        <w:numPr>
          <w:ilvl w:val="0"/>
          <w:numId w:val="32"/>
        </w:numPr>
        <w:spacing w:after="0"/>
        <w:ind w:left="714" w:hanging="357"/>
        <w:rPr>
          <w:lang w:eastAsia="zh-CN"/>
        </w:rPr>
      </w:pPr>
      <w:r>
        <w:rPr>
          <w:lang w:eastAsia="zh-CN"/>
        </w:rPr>
        <w:t>362,094 people involved in PSP activities as participants. This reflects an increase of 12</w:t>
      </w:r>
      <w:r w:rsidR="00EA550D">
        <w:rPr>
          <w:lang w:eastAsia="zh-CN"/>
        </w:rPr>
        <w:t xml:space="preserve"> </w:t>
      </w:r>
      <w:r w:rsidR="00737052">
        <w:rPr>
          <w:lang w:eastAsia="zh-CN"/>
        </w:rPr>
        <w:t>per cent</w:t>
      </w:r>
      <w:r>
        <w:rPr>
          <w:lang w:eastAsia="zh-CN"/>
        </w:rPr>
        <w:t xml:space="preserve"> on the previous year.</w:t>
      </w:r>
    </w:p>
    <w:p w:rsidR="00EA550D" w:rsidRDefault="00DE3586" w:rsidP="00EA550D">
      <w:pPr>
        <w:pStyle w:val="BodyText"/>
        <w:numPr>
          <w:ilvl w:val="0"/>
          <w:numId w:val="32"/>
        </w:numPr>
        <w:spacing w:after="0"/>
        <w:ind w:left="714" w:hanging="357"/>
        <w:rPr>
          <w:lang w:eastAsia="zh-CN"/>
        </w:rPr>
      </w:pPr>
      <w:r>
        <w:rPr>
          <w:lang w:eastAsia="zh-CN"/>
        </w:rPr>
        <w:t>171,478 of those participants were women and girls, which reflects 47</w:t>
      </w:r>
      <w:r w:rsidR="00EA550D">
        <w:rPr>
          <w:lang w:eastAsia="zh-CN"/>
        </w:rPr>
        <w:t xml:space="preserve"> </w:t>
      </w:r>
      <w:r w:rsidR="00737052">
        <w:rPr>
          <w:lang w:eastAsia="zh-CN"/>
        </w:rPr>
        <w:t>per cent</w:t>
      </w:r>
      <w:r>
        <w:rPr>
          <w:lang w:eastAsia="zh-CN"/>
        </w:rPr>
        <w:t xml:space="preserve"> of all participants and an 11</w:t>
      </w:r>
      <w:r w:rsidR="00EA550D">
        <w:rPr>
          <w:lang w:eastAsia="zh-CN"/>
        </w:rPr>
        <w:t xml:space="preserve"> </w:t>
      </w:r>
      <w:r w:rsidR="00737052">
        <w:rPr>
          <w:lang w:eastAsia="zh-CN"/>
        </w:rPr>
        <w:t>per cent</w:t>
      </w:r>
      <w:r>
        <w:rPr>
          <w:lang w:eastAsia="zh-CN"/>
        </w:rPr>
        <w:t xml:space="preserve"> increase on the previous year.</w:t>
      </w:r>
    </w:p>
    <w:p w:rsidR="00C04E74" w:rsidRDefault="00DE3586" w:rsidP="00EA550D">
      <w:pPr>
        <w:pStyle w:val="BodyText"/>
        <w:numPr>
          <w:ilvl w:val="0"/>
          <w:numId w:val="32"/>
        </w:numPr>
        <w:spacing w:after="0"/>
        <w:ind w:left="714" w:hanging="357"/>
        <w:rPr>
          <w:lang w:eastAsia="zh-CN"/>
        </w:rPr>
      </w:pPr>
      <w:r>
        <w:rPr>
          <w:lang w:eastAsia="zh-CN"/>
        </w:rPr>
        <w:t>3</w:t>
      </w:r>
      <w:r w:rsidR="00DA76BE">
        <w:rPr>
          <w:lang w:eastAsia="zh-CN"/>
        </w:rPr>
        <w:t>,</w:t>
      </w:r>
      <w:r>
        <w:rPr>
          <w:lang w:eastAsia="zh-CN"/>
        </w:rPr>
        <w:t>652 people with disability were involved in PSP activities as participants in 2013</w:t>
      </w:r>
      <w:r w:rsidR="00DA76BE">
        <w:rPr>
          <w:lang w:eastAsia="zh-CN"/>
        </w:rPr>
        <w:t>-</w:t>
      </w:r>
      <w:r>
        <w:rPr>
          <w:lang w:eastAsia="zh-CN"/>
        </w:rPr>
        <w:t>14. This reflects an increase of more than 300</w:t>
      </w:r>
      <w:r w:rsidR="00EA550D">
        <w:rPr>
          <w:lang w:eastAsia="zh-CN"/>
        </w:rPr>
        <w:t xml:space="preserve"> </w:t>
      </w:r>
      <w:r w:rsidR="00737052">
        <w:rPr>
          <w:lang w:eastAsia="zh-CN"/>
        </w:rPr>
        <w:t>per cent</w:t>
      </w:r>
      <w:r>
        <w:rPr>
          <w:lang w:eastAsia="zh-CN"/>
        </w:rPr>
        <w:t xml:space="preserve"> on participation figures in 2012/13.</w:t>
      </w:r>
    </w:p>
    <w:p w:rsidR="001C52D2" w:rsidRDefault="00B835C9" w:rsidP="00B835C9">
      <w:pPr>
        <w:pStyle w:val="Heading3"/>
      </w:pPr>
      <w:r>
        <w:t>Building resilience: humanitarian assistance, disaster risk reduction and social protection</w:t>
      </w:r>
    </w:p>
    <w:p w:rsidR="00BD715F" w:rsidRDefault="00BD715F" w:rsidP="00BD715F">
      <w:pPr>
        <w:rPr>
          <w:rFonts w:eastAsiaTheme="minorHAnsi"/>
        </w:rPr>
      </w:pPr>
    </w:p>
    <w:p w:rsidR="00BD715F" w:rsidRDefault="00BD715F" w:rsidP="00BD715F">
      <w:pPr>
        <w:pStyle w:val="ListBullet"/>
        <w:numPr>
          <w:ilvl w:val="0"/>
          <w:numId w:val="0"/>
        </w:numPr>
      </w:pPr>
      <w:r>
        <w:t xml:space="preserve">Climate change and </w:t>
      </w:r>
      <w:r w:rsidR="007B3DFB">
        <w:t xml:space="preserve">natural </w:t>
      </w:r>
      <w:r>
        <w:t xml:space="preserve">disasters are particularly important and sensitive issues in the Pacific. </w:t>
      </w:r>
      <w:r w:rsidR="007B3DFB">
        <w:t>PICs</w:t>
      </w:r>
      <w:r>
        <w:t xml:space="preserve"> are exposed to a wide variety of natural hazards (cyclones, droughts, earthquakes, floods</w:t>
      </w:r>
      <w:r w:rsidR="001163BC">
        <w:t>,</w:t>
      </w:r>
      <w:r>
        <w:t xml:space="preserve"> storm surges, tsunami and volcanoes). Climate change and natural disasters cut across sectors, threaten economic gains and exacerbate existing pressures on food, water, infrastructure, health and economies. Australia will continue to support climate change activities in the aid program: i) in line with partner government requests; ii) to protect Australian aid program activities that are vulnerable to climate risks, or iii) through other activities in support of our economic diplomacy agenda.</w:t>
      </w:r>
    </w:p>
    <w:p w:rsidR="00BD715F" w:rsidRDefault="00BD715F" w:rsidP="00BD715F">
      <w:pPr>
        <w:pStyle w:val="BodyText"/>
        <w:spacing w:after="120"/>
        <w:jc w:val="both"/>
      </w:pPr>
      <w:r>
        <w:rPr>
          <w:u w:val="single"/>
        </w:rPr>
        <w:t>Understanding climate and weather events:</w:t>
      </w:r>
      <w:r>
        <w:rPr>
          <w:i/>
          <w:iCs/>
        </w:rPr>
        <w:t xml:space="preserve"> The Climate and Oceans Support Program in the Pacific (COSPPac)</w:t>
      </w:r>
      <w:r>
        <w:t xml:space="preserve"> supports the National Meteorological Services (NMSs) of 13 Pacific countries to pr</w:t>
      </w:r>
      <w:r w:rsidR="00680473">
        <w:t>ovide meteorological services. </w:t>
      </w:r>
      <w:r>
        <w:t xml:space="preserve">Recent achievements include tools enabling NMSs to provide specific advice to climate sensitive industries in their countries and to improve planning </w:t>
      </w:r>
      <w:r w:rsidR="00680473">
        <w:t xml:space="preserve">in key sectors, such as health. </w:t>
      </w:r>
      <w:r>
        <w:t>In the Solomon Islands, COSPPac is assisting to develop a Malaria Early Warning System, using weather and disease incidence data.</w:t>
      </w:r>
    </w:p>
    <w:p w:rsidR="00BD715F" w:rsidRDefault="006521EA" w:rsidP="00BD715F">
      <w:pPr>
        <w:pStyle w:val="ListBullet"/>
        <w:numPr>
          <w:ilvl w:val="0"/>
          <w:numId w:val="0"/>
        </w:numPr>
      </w:pPr>
      <w:r>
        <w:rPr>
          <w:u w:val="single"/>
        </w:rPr>
        <w:t>Helping better manage r</w:t>
      </w:r>
      <w:r w:rsidR="00BD715F">
        <w:rPr>
          <w:u w:val="single"/>
        </w:rPr>
        <w:t>isk:</w:t>
      </w:r>
      <w:r w:rsidR="00BD715F">
        <w:rPr>
          <w:i/>
          <w:iCs/>
        </w:rPr>
        <w:t xml:space="preserve"> Australia’s Pacific Risk Resilience Program (PRRP)</w:t>
      </w:r>
      <w:r w:rsidR="00BD715F">
        <w:t xml:space="preserve"> is strengthening the resilience of the most disaster prone </w:t>
      </w:r>
      <w:r w:rsidR="001163BC">
        <w:t>PICs</w:t>
      </w:r>
      <w:r w:rsidR="00BD715F">
        <w:t xml:space="preserve"> to natural disa</w:t>
      </w:r>
      <w:r w:rsidR="00680473">
        <w:t>sters and climate change risk. </w:t>
      </w:r>
      <w:r w:rsidR="00BD715F">
        <w:t xml:space="preserve">For example, communities in Tonga affected by Tropical Cyclone Ian are receiving PRRP support to restore crops and livelihoods in ways that build resilience to the next cyclone. PRRP is also supporting the integration of risk into national budgeting and planning processes in Solomon Islands and Vanuatu. In the Solomon Islands, 21 schools in Temotu and schools across Guadalcanal Province are developing and implementing disaster plans.  </w:t>
      </w:r>
    </w:p>
    <w:p w:rsidR="00BD715F" w:rsidRDefault="006521EA" w:rsidP="00BD715F">
      <w:pPr>
        <w:pStyle w:val="BodyText"/>
        <w:spacing w:after="120"/>
        <w:jc w:val="both"/>
      </w:pPr>
      <w:r>
        <w:rPr>
          <w:u w:val="single"/>
        </w:rPr>
        <w:t>Food security and h</w:t>
      </w:r>
      <w:r w:rsidR="00BD715F">
        <w:rPr>
          <w:u w:val="single"/>
        </w:rPr>
        <w:t>ealth in a changing climate:</w:t>
      </w:r>
      <w:r w:rsidR="00BD715F">
        <w:rPr>
          <w:i/>
          <w:iCs/>
        </w:rPr>
        <w:t xml:space="preserve"> </w:t>
      </w:r>
      <w:r w:rsidR="00BD715F">
        <w:t>SPC is developing the ‘Vulnerability of Pacific Agriculture to Climate Change’ publication (due October 2014) which offers a comprehensive vulnerability a</w:t>
      </w:r>
      <w:r w:rsidR="00680473">
        <w:t>ssessment of the Pacific. SPC m</w:t>
      </w:r>
      <w:r w:rsidR="00BD715F">
        <w:t xml:space="preserve">embers now have access to over 100 climate resilient varieties of staple Pacific crops through the Pacific Centre for Crops and Trees (CePaCT). On-farm field trials of </w:t>
      </w:r>
      <w:r w:rsidR="001163BC">
        <w:t>climate-</w:t>
      </w:r>
      <w:r w:rsidR="00BD715F">
        <w:t>ready crops were set-up in Coo</w:t>
      </w:r>
      <w:r w:rsidR="001724A3">
        <w:t>k Islands, FSM, Samoa and Tonga</w:t>
      </w:r>
      <w:r w:rsidR="00BD715F">
        <w:t xml:space="preserve">. Four germ-plasm centres were established in Solomon Islands, and pilot sites for </w:t>
      </w:r>
      <w:r w:rsidR="00BD715F">
        <w:lastRenderedPageBreak/>
        <w:t>gene-pool enhancement w</w:t>
      </w:r>
      <w:r w:rsidR="00563377">
        <w:t>ere set up in Palau and Tuva</w:t>
      </w:r>
      <w:r w:rsidR="001724A3">
        <w:t xml:space="preserve">lu. </w:t>
      </w:r>
      <w:r w:rsidR="00BD715F">
        <w:t>SPC is expanding the taro improvement program model from Samoa to support other members threatened by taro leaf blight (Cook Islands, Fiji and Tonga).</w:t>
      </w:r>
    </w:p>
    <w:p w:rsidR="00BD715F" w:rsidRDefault="00BD715F" w:rsidP="00BD715F">
      <w:pPr>
        <w:pStyle w:val="BodyText"/>
        <w:spacing w:after="120"/>
      </w:pPr>
      <w:r>
        <w:t>Pacific communities</w:t>
      </w:r>
      <w:r w:rsidR="00680473">
        <w:t>’</w:t>
      </w:r>
      <w:r>
        <w:t xml:space="preserve"> understanding </w:t>
      </w:r>
      <w:r w:rsidR="00680473">
        <w:t xml:space="preserve">of </w:t>
      </w:r>
      <w:r>
        <w:t>the health implications of climate change has been increased through a range of supported activities including: climate related disease surveillance training in Nauru, RMI and Kiribati; trialling a rapid low cost dengue diagnostic technique in Solomon Islands; assessment of the impact of climate change on Chiku</w:t>
      </w:r>
      <w:r w:rsidR="000734C0">
        <w:t>n</w:t>
      </w:r>
      <w:r>
        <w:t>gun</w:t>
      </w:r>
      <w:r w:rsidR="000734C0">
        <w:t>y</w:t>
      </w:r>
      <w:r>
        <w:t xml:space="preserve">a </w:t>
      </w:r>
      <w:r w:rsidR="00680473">
        <w:t>virus</w:t>
      </w:r>
      <w:r>
        <w:t xml:space="preserve">; </w:t>
      </w:r>
      <w:r w:rsidR="001163BC">
        <w:t xml:space="preserve">and </w:t>
      </w:r>
      <w:r>
        <w:t>establishing a Pacific climate change and health taskforce to increase the focus of national health officials on climate change health impacts.</w:t>
      </w:r>
    </w:p>
    <w:p w:rsidR="00BD715F" w:rsidRDefault="006521EA" w:rsidP="00BD715F">
      <w:pPr>
        <w:pStyle w:val="ListBullet"/>
        <w:numPr>
          <w:ilvl w:val="0"/>
          <w:numId w:val="0"/>
        </w:numPr>
      </w:pPr>
      <w:r>
        <w:rPr>
          <w:u w:val="single"/>
        </w:rPr>
        <w:t>Partnering with the private s</w:t>
      </w:r>
      <w:r w:rsidR="00BD715F">
        <w:rPr>
          <w:u w:val="single"/>
        </w:rPr>
        <w:t>ector to improve resilience:</w:t>
      </w:r>
      <w:r w:rsidR="00BD715F">
        <w:t xml:space="preserve"> PRRP will begin partnering with </w:t>
      </w:r>
      <w:r w:rsidR="001163BC">
        <w:t xml:space="preserve">the </w:t>
      </w:r>
      <w:r w:rsidR="00BD715F">
        <w:t>tourism industry</w:t>
      </w:r>
      <w:r w:rsidR="00680473">
        <w:t>,</w:t>
      </w:r>
      <w:r w:rsidR="00BD715F">
        <w:t xml:space="preserve"> </w:t>
      </w:r>
      <w:r w:rsidR="001163BC">
        <w:t xml:space="preserve">and </w:t>
      </w:r>
      <w:r w:rsidR="00BD715F">
        <w:t xml:space="preserve">corporate </w:t>
      </w:r>
      <w:r w:rsidR="00680473">
        <w:t xml:space="preserve">and </w:t>
      </w:r>
      <w:r w:rsidR="00BD715F">
        <w:t>philanthropic organisations in Fiji to support improved management of disaster and climate chang</w:t>
      </w:r>
      <w:r w:rsidR="00680473">
        <w:t xml:space="preserve">e risk at the community level. </w:t>
      </w:r>
      <w:r w:rsidR="00BD715F">
        <w:t>Financial inclusion (bank accounts and insurance products) provide</w:t>
      </w:r>
      <w:r w:rsidR="00680473">
        <w:t>d to more than 500,000 Pacific i</w:t>
      </w:r>
      <w:r w:rsidR="00BD715F">
        <w:t>slanders through the Pacific Financial Inclusion Program (PFIP) should make individuals and families more financially resilient to disasters. PFIP Phase 2 will attempt to provide an evidence base to this assertion.</w:t>
      </w:r>
    </w:p>
    <w:p w:rsidR="00BD715F" w:rsidRDefault="00BD715F" w:rsidP="00BD715F">
      <w:pPr>
        <w:pStyle w:val="Heading4"/>
        <w:numPr>
          <w:ilvl w:val="0"/>
          <w:numId w:val="0"/>
        </w:numPr>
      </w:pPr>
      <w:r>
        <w:t>Factors affecting progress and future directions</w:t>
      </w:r>
    </w:p>
    <w:p w:rsidR="00BD715F" w:rsidRDefault="00BD715F" w:rsidP="00BD715F">
      <w:pPr>
        <w:pStyle w:val="BodyText"/>
        <w:rPr>
          <w:rFonts w:eastAsiaTheme="minorHAnsi"/>
          <w:color w:val="FF0000"/>
        </w:rPr>
      </w:pPr>
      <w:r>
        <w:t xml:space="preserve">Progress towards a Pacific Strategy for Climate and Disaster Resilient Development (SRDP) by </w:t>
      </w:r>
      <w:r w:rsidR="001163BC">
        <w:t>PICs</w:t>
      </w:r>
      <w:r>
        <w:t xml:space="preserve"> and Territories to replace the two existing regional strategies for climate change adaptation and disaster risk reduction is in line with Australia’s focus on building resilience to multiple risks. The draft SRDP will be tabled for endorsement at both </w:t>
      </w:r>
      <w:r w:rsidR="00680473">
        <w:t xml:space="preserve">the </w:t>
      </w:r>
      <w:r w:rsidR="00680473" w:rsidRPr="00680473">
        <w:t xml:space="preserve">Secretariat of the Pacific Regional Environment Programme </w:t>
      </w:r>
      <w:r w:rsidR="00680473">
        <w:t>(</w:t>
      </w:r>
      <w:r>
        <w:t>SPREP</w:t>
      </w:r>
      <w:r w:rsidR="00680473">
        <w:t>)</w:t>
      </w:r>
      <w:r>
        <w:t xml:space="preserve"> and SPC council meetings in 2014</w:t>
      </w:r>
      <w:r w:rsidR="001724A3">
        <w:t>,</w:t>
      </w:r>
      <w:r>
        <w:t xml:space="preserve"> for approval at the 2015 Forum Leaders</w:t>
      </w:r>
      <w:r w:rsidR="00680473">
        <w:t>’</w:t>
      </w:r>
      <w:r>
        <w:t xml:space="preserve"> Meeting. The development of a joint strategy for the Pacific is a global first and will serve to focus attention on regional vulnerabilities and integrated responses by countries and donors.</w:t>
      </w:r>
    </w:p>
    <w:p w:rsidR="0021324C" w:rsidRDefault="0021324C" w:rsidP="0021324C">
      <w:pPr>
        <w:pStyle w:val="Heading3"/>
        <w:rPr>
          <w:lang w:val="en-US"/>
        </w:rPr>
      </w:pPr>
      <w:r>
        <w:rPr>
          <w:lang w:val="en-US"/>
        </w:rPr>
        <w:t>Disability Inclusive Development</w:t>
      </w:r>
    </w:p>
    <w:p w:rsidR="00826A3F" w:rsidRDefault="00826A3F" w:rsidP="00826A3F">
      <w:pPr>
        <w:pStyle w:val="BodyText"/>
        <w:spacing w:after="0"/>
        <w:jc w:val="both"/>
        <w:rPr>
          <w:i/>
          <w:szCs w:val="21"/>
        </w:rPr>
      </w:pPr>
      <w:r w:rsidRPr="00826A3F">
        <w:rPr>
          <w:szCs w:val="21"/>
        </w:rPr>
        <w:t>The</w:t>
      </w:r>
      <w:r w:rsidRPr="00B31AE6">
        <w:rPr>
          <w:szCs w:val="21"/>
        </w:rPr>
        <w:t xml:space="preserve"> complexity of the issues faced by people with disabilities, and their long history of marginalisation and exclusion, means change is a long-term prospect. But the </w:t>
      </w:r>
      <w:r w:rsidRPr="00826A3F">
        <w:rPr>
          <w:szCs w:val="21"/>
        </w:rPr>
        <w:t xml:space="preserve">Pacific Regional Strategy on Disability </w:t>
      </w:r>
      <w:r>
        <w:rPr>
          <w:szCs w:val="21"/>
        </w:rPr>
        <w:t>(</w:t>
      </w:r>
      <w:r w:rsidRPr="00B31AE6">
        <w:rPr>
          <w:szCs w:val="21"/>
        </w:rPr>
        <w:t>PRSD</w:t>
      </w:r>
      <w:r>
        <w:rPr>
          <w:szCs w:val="21"/>
        </w:rPr>
        <w:t>) 2011-2015, whose implementation is supported by DFAT through PIFS,</w:t>
      </w:r>
      <w:r w:rsidRPr="00B31AE6">
        <w:rPr>
          <w:szCs w:val="21"/>
        </w:rPr>
        <w:t xml:space="preserve"> represents an important step in closing the gap between the experience of people with disabilities and the rest of the Pacific community</w:t>
      </w:r>
      <w:r w:rsidR="001163BC">
        <w:rPr>
          <w:szCs w:val="21"/>
        </w:rPr>
        <w:t>,</w:t>
      </w:r>
      <w:r w:rsidRPr="00B31AE6">
        <w:rPr>
          <w:szCs w:val="21"/>
        </w:rPr>
        <w:t xml:space="preserve"> and ensuring that people with disabilities have every opportunity to fully participate in the social, cultural and economic life of the nation. </w:t>
      </w:r>
      <w:r w:rsidRPr="00AD083B">
        <w:rPr>
          <w:szCs w:val="21"/>
        </w:rPr>
        <w:t xml:space="preserve">An independent review of the PRSD </w:t>
      </w:r>
      <w:r>
        <w:rPr>
          <w:szCs w:val="21"/>
        </w:rPr>
        <w:t>was undertaken in</w:t>
      </w:r>
      <w:r w:rsidRPr="00AD083B">
        <w:rPr>
          <w:szCs w:val="21"/>
        </w:rPr>
        <w:t xml:space="preserve"> 2014</w:t>
      </w:r>
      <w:r>
        <w:rPr>
          <w:szCs w:val="21"/>
        </w:rPr>
        <w:t xml:space="preserve"> and found </w:t>
      </w:r>
      <w:r w:rsidR="00267733">
        <w:rPr>
          <w:szCs w:val="21"/>
        </w:rPr>
        <w:t>‘</w:t>
      </w:r>
      <w:r>
        <w:rPr>
          <w:i/>
          <w:szCs w:val="21"/>
        </w:rPr>
        <w:t>T</w:t>
      </w:r>
      <w:r w:rsidRPr="00D42702">
        <w:rPr>
          <w:i/>
          <w:szCs w:val="21"/>
        </w:rPr>
        <w:t>he PRSD has added value and contributed to progress in relation to disability rights and inclusion.</w:t>
      </w:r>
      <w:r>
        <w:rPr>
          <w:i/>
          <w:szCs w:val="21"/>
        </w:rPr>
        <w:t xml:space="preserve"> </w:t>
      </w:r>
      <w:r w:rsidRPr="00D42702">
        <w:rPr>
          <w:i/>
          <w:szCs w:val="21"/>
        </w:rPr>
        <w:t>Most significant progress has been in the areas of political leadership; enhancing the central role of people with disabilities; strengthening partnerships, coordination and collaboration; and in the recognition of human rights of persons with disabilities</w:t>
      </w:r>
      <w:r>
        <w:rPr>
          <w:i/>
          <w:szCs w:val="21"/>
        </w:rPr>
        <w:t>’</w:t>
      </w:r>
      <w:r w:rsidRPr="00D42702">
        <w:rPr>
          <w:i/>
          <w:szCs w:val="21"/>
        </w:rPr>
        <w:t xml:space="preserve">. </w:t>
      </w:r>
    </w:p>
    <w:p w:rsidR="00680473" w:rsidRDefault="00680473" w:rsidP="00826A3F">
      <w:pPr>
        <w:pStyle w:val="BodyText"/>
        <w:spacing w:after="0"/>
        <w:jc w:val="both"/>
        <w:rPr>
          <w:i/>
          <w:szCs w:val="21"/>
        </w:rPr>
      </w:pPr>
    </w:p>
    <w:p w:rsidR="00826A3F" w:rsidRDefault="00E55D09" w:rsidP="00826A3F">
      <w:pPr>
        <w:pStyle w:val="Heading3"/>
        <w:tabs>
          <w:tab w:val="left" w:pos="720"/>
        </w:tabs>
        <w:spacing w:before="0" w:line="280" w:lineRule="exact"/>
        <w:rPr>
          <w:rFonts w:ascii="Franklin Gothic Book" w:eastAsiaTheme="minorHAnsi" w:hAnsi="Franklin Gothic Book" w:cs="IdealSans-Light"/>
          <w:b w:val="0"/>
          <w:color w:val="000000"/>
          <w:kern w:val="0"/>
          <w:sz w:val="21"/>
          <w:szCs w:val="21"/>
          <w:lang w:val="en-NZ" w:eastAsia="en-US"/>
        </w:rPr>
      </w:pPr>
      <w:r w:rsidRPr="00456249">
        <w:rPr>
          <w:rFonts w:ascii="Franklin Gothic Book" w:eastAsiaTheme="minorHAnsi" w:hAnsi="Franklin Gothic Book" w:cs="IdealSans-Light"/>
          <w:b w:val="0"/>
          <w:color w:val="000000"/>
          <w:kern w:val="0"/>
          <w:sz w:val="21"/>
          <w:szCs w:val="21"/>
          <w:lang w:val="en-NZ" w:eastAsia="en-US"/>
        </w:rPr>
        <w:t>The rights of persons with a disability are beginning to be recognised and gradually included in national development processes, driven by the advoca</w:t>
      </w:r>
      <w:r w:rsidR="00EA550D">
        <w:rPr>
          <w:rFonts w:ascii="Franklin Gothic Book" w:eastAsiaTheme="minorHAnsi" w:hAnsi="Franklin Gothic Book" w:cs="IdealSans-Light"/>
          <w:b w:val="0"/>
          <w:color w:val="000000"/>
          <w:kern w:val="0"/>
          <w:sz w:val="21"/>
          <w:szCs w:val="21"/>
          <w:lang w:val="en-NZ" w:eastAsia="en-US"/>
        </w:rPr>
        <w:t>cy work of</w:t>
      </w:r>
      <w:r w:rsidRPr="00456249">
        <w:rPr>
          <w:rFonts w:ascii="Franklin Gothic Book" w:eastAsiaTheme="minorHAnsi" w:hAnsi="Franklin Gothic Book" w:cs="IdealSans-Light"/>
          <w:b w:val="0"/>
          <w:color w:val="000000"/>
          <w:kern w:val="0"/>
          <w:sz w:val="21"/>
          <w:szCs w:val="21"/>
          <w:lang w:val="en-NZ" w:eastAsia="en-US"/>
        </w:rPr>
        <w:t xml:space="preserve"> Disabled Persons</w:t>
      </w:r>
      <w:r w:rsidR="001724A3">
        <w:rPr>
          <w:rFonts w:ascii="Franklin Gothic Book" w:eastAsiaTheme="minorHAnsi" w:hAnsi="Franklin Gothic Book" w:cs="IdealSans-Light"/>
          <w:b w:val="0"/>
          <w:color w:val="000000"/>
          <w:kern w:val="0"/>
          <w:sz w:val="21"/>
          <w:szCs w:val="21"/>
          <w:lang w:val="en-NZ" w:eastAsia="en-US"/>
        </w:rPr>
        <w:t>’</w:t>
      </w:r>
      <w:r w:rsidRPr="00456249">
        <w:rPr>
          <w:rFonts w:ascii="Franklin Gothic Book" w:eastAsiaTheme="minorHAnsi" w:hAnsi="Franklin Gothic Book" w:cs="IdealSans-Light"/>
          <w:b w:val="0"/>
          <w:color w:val="000000"/>
          <w:kern w:val="0"/>
          <w:sz w:val="21"/>
          <w:szCs w:val="21"/>
          <w:lang w:val="en-NZ" w:eastAsia="en-US"/>
        </w:rPr>
        <w:t xml:space="preserve"> Organisations</w:t>
      </w:r>
      <w:r w:rsidR="001163BC">
        <w:rPr>
          <w:rFonts w:ascii="Franklin Gothic Book" w:eastAsiaTheme="minorHAnsi" w:hAnsi="Franklin Gothic Book" w:cs="IdealSans-Light"/>
          <w:b w:val="0"/>
          <w:color w:val="000000"/>
          <w:kern w:val="0"/>
          <w:sz w:val="21"/>
          <w:szCs w:val="21"/>
          <w:lang w:val="en-NZ" w:eastAsia="en-US"/>
        </w:rPr>
        <w:t xml:space="preserve"> (DPOs)</w:t>
      </w:r>
      <w:r w:rsidRPr="00456249">
        <w:rPr>
          <w:rFonts w:ascii="Franklin Gothic Book" w:eastAsiaTheme="minorHAnsi" w:hAnsi="Franklin Gothic Book" w:cs="IdealSans-Light"/>
          <w:b w:val="0"/>
          <w:color w:val="000000"/>
          <w:kern w:val="0"/>
          <w:sz w:val="21"/>
          <w:szCs w:val="21"/>
          <w:lang w:val="en-NZ" w:eastAsia="en-US"/>
        </w:rPr>
        <w:t xml:space="preserve"> in the Pacific and the regional efforts of organisations like </w:t>
      </w:r>
      <w:r w:rsidR="00006A08">
        <w:rPr>
          <w:rFonts w:ascii="Franklin Gothic Book" w:eastAsiaTheme="minorHAnsi" w:hAnsi="Franklin Gothic Book" w:cs="IdealSans-Light"/>
          <w:b w:val="0"/>
          <w:color w:val="000000"/>
          <w:kern w:val="0"/>
          <w:sz w:val="21"/>
          <w:szCs w:val="21"/>
          <w:lang w:val="en-NZ" w:eastAsia="en-US"/>
        </w:rPr>
        <w:t xml:space="preserve">PIFS </w:t>
      </w:r>
      <w:r w:rsidRPr="00456249">
        <w:rPr>
          <w:rFonts w:ascii="Franklin Gothic Book" w:eastAsiaTheme="minorHAnsi" w:hAnsi="Franklin Gothic Book" w:cs="IdealSans-Light"/>
          <w:b w:val="0"/>
          <w:color w:val="000000"/>
          <w:kern w:val="0"/>
          <w:sz w:val="21"/>
          <w:szCs w:val="21"/>
          <w:lang w:val="en-NZ" w:eastAsia="en-US"/>
        </w:rPr>
        <w:t>and the Pacific Disability Forum</w:t>
      </w:r>
      <w:r w:rsidR="00006A08">
        <w:rPr>
          <w:rFonts w:ascii="Franklin Gothic Book" w:eastAsiaTheme="minorHAnsi" w:hAnsi="Franklin Gothic Book" w:cs="IdealSans-Light"/>
          <w:b w:val="0"/>
          <w:color w:val="000000"/>
          <w:kern w:val="0"/>
          <w:sz w:val="21"/>
          <w:szCs w:val="21"/>
          <w:lang w:val="en-NZ" w:eastAsia="en-US"/>
        </w:rPr>
        <w:t xml:space="preserve"> (PDF)</w:t>
      </w:r>
      <w:r w:rsidRPr="00456249">
        <w:rPr>
          <w:rFonts w:ascii="Franklin Gothic Book" w:eastAsiaTheme="minorHAnsi" w:hAnsi="Franklin Gothic Book" w:cs="IdealSans-Light"/>
          <w:b w:val="0"/>
          <w:color w:val="000000"/>
          <w:kern w:val="0"/>
          <w:sz w:val="21"/>
          <w:szCs w:val="21"/>
          <w:lang w:val="en-NZ" w:eastAsia="en-US"/>
        </w:rPr>
        <w:t xml:space="preserve">. </w:t>
      </w:r>
      <w:r w:rsidR="00826A3F">
        <w:rPr>
          <w:rFonts w:ascii="Franklin Gothic Book" w:eastAsiaTheme="minorHAnsi" w:hAnsi="Franklin Gothic Book" w:cs="IdealSans-Light"/>
          <w:b w:val="0"/>
          <w:color w:val="000000"/>
          <w:kern w:val="0"/>
          <w:sz w:val="21"/>
          <w:szCs w:val="21"/>
          <w:lang w:val="en-NZ" w:eastAsia="en-US"/>
        </w:rPr>
        <w:t xml:space="preserve"> </w:t>
      </w:r>
      <w:r w:rsidRPr="00456249">
        <w:rPr>
          <w:rFonts w:ascii="Franklin Gothic Book" w:eastAsiaTheme="minorHAnsi" w:hAnsi="Franklin Gothic Book" w:cs="IdealSans-Light"/>
          <w:b w:val="0"/>
          <w:color w:val="000000"/>
          <w:kern w:val="0"/>
          <w:sz w:val="21"/>
          <w:szCs w:val="21"/>
          <w:lang w:val="en-NZ" w:eastAsia="en-US"/>
        </w:rPr>
        <w:t xml:space="preserve">At the regional level, Ministerial meetings advocate </w:t>
      </w:r>
      <w:r w:rsidR="00DA61AF">
        <w:rPr>
          <w:rFonts w:ascii="Franklin Gothic Book" w:eastAsiaTheme="minorHAnsi" w:hAnsi="Franklin Gothic Book" w:cs="IdealSans-Light"/>
          <w:b w:val="0"/>
          <w:color w:val="000000"/>
          <w:kern w:val="0"/>
          <w:sz w:val="21"/>
          <w:szCs w:val="21"/>
          <w:lang w:val="en-NZ" w:eastAsia="en-US"/>
        </w:rPr>
        <w:t xml:space="preserve">for </w:t>
      </w:r>
      <w:r w:rsidRPr="00456249">
        <w:rPr>
          <w:rFonts w:ascii="Franklin Gothic Book" w:eastAsiaTheme="minorHAnsi" w:hAnsi="Franklin Gothic Book" w:cs="IdealSans-Light"/>
          <w:b w:val="0"/>
          <w:color w:val="000000"/>
          <w:kern w:val="0"/>
          <w:sz w:val="21"/>
          <w:szCs w:val="21"/>
          <w:lang w:val="en-NZ" w:eastAsia="en-US"/>
        </w:rPr>
        <w:t>and strengthen political leadersh</w:t>
      </w:r>
      <w:r w:rsidR="001724A3">
        <w:rPr>
          <w:rFonts w:ascii="Franklin Gothic Book" w:eastAsiaTheme="minorHAnsi" w:hAnsi="Franklin Gothic Book" w:cs="IdealSans-Light"/>
          <w:b w:val="0"/>
          <w:color w:val="000000"/>
          <w:kern w:val="0"/>
          <w:sz w:val="21"/>
          <w:szCs w:val="21"/>
          <w:lang w:val="en-NZ" w:eastAsia="en-US"/>
        </w:rPr>
        <w:t>ip and commitment to disability-</w:t>
      </w:r>
      <w:r w:rsidR="00510974">
        <w:rPr>
          <w:rFonts w:ascii="Franklin Gothic Book" w:eastAsiaTheme="minorHAnsi" w:hAnsi="Franklin Gothic Book" w:cs="IdealSans-Light"/>
          <w:b w:val="0"/>
          <w:color w:val="000000"/>
          <w:kern w:val="0"/>
          <w:sz w:val="21"/>
          <w:szCs w:val="21"/>
          <w:lang w:val="en-NZ" w:eastAsia="en-US"/>
        </w:rPr>
        <w:t>i</w:t>
      </w:r>
      <w:r w:rsidRPr="00456249">
        <w:rPr>
          <w:rFonts w:ascii="Franklin Gothic Book" w:eastAsiaTheme="minorHAnsi" w:hAnsi="Franklin Gothic Book" w:cs="IdealSans-Light"/>
          <w:b w:val="0"/>
          <w:color w:val="000000"/>
          <w:kern w:val="0"/>
          <w:sz w:val="21"/>
          <w:szCs w:val="21"/>
          <w:lang w:val="en-NZ" w:eastAsia="en-US"/>
        </w:rPr>
        <w:t xml:space="preserve">nclusive development issues. </w:t>
      </w:r>
      <w:r w:rsidR="00510974">
        <w:rPr>
          <w:rFonts w:ascii="Franklin Gothic Book" w:eastAsiaTheme="minorHAnsi" w:hAnsi="Franklin Gothic Book" w:cs="IdealSans-Light"/>
          <w:b w:val="0"/>
          <w:color w:val="000000"/>
          <w:kern w:val="0"/>
          <w:sz w:val="21"/>
          <w:szCs w:val="21"/>
          <w:lang w:val="en-NZ" w:eastAsia="en-US"/>
        </w:rPr>
        <w:t xml:space="preserve"> T</w:t>
      </w:r>
      <w:r w:rsidRPr="00456249">
        <w:rPr>
          <w:rFonts w:ascii="Franklin Gothic Book" w:eastAsiaTheme="minorHAnsi" w:hAnsi="Franklin Gothic Book" w:cs="IdealSans-Light"/>
          <w:b w:val="0"/>
          <w:color w:val="000000"/>
          <w:kern w:val="0"/>
          <w:sz w:val="21"/>
          <w:szCs w:val="21"/>
          <w:lang w:val="en-NZ" w:eastAsia="en-US"/>
        </w:rPr>
        <w:t>hematic areas</w:t>
      </w:r>
      <w:r w:rsidR="00510974">
        <w:rPr>
          <w:rFonts w:ascii="Franklin Gothic Book" w:eastAsiaTheme="minorHAnsi" w:hAnsi="Franklin Gothic Book" w:cs="IdealSans-Light"/>
          <w:b w:val="0"/>
          <w:color w:val="000000"/>
          <w:kern w:val="0"/>
          <w:sz w:val="21"/>
          <w:szCs w:val="21"/>
          <w:lang w:val="en-NZ" w:eastAsia="en-US"/>
        </w:rPr>
        <w:t>,</w:t>
      </w:r>
      <w:r w:rsidRPr="00456249">
        <w:rPr>
          <w:rFonts w:ascii="Franklin Gothic Book" w:eastAsiaTheme="minorHAnsi" w:hAnsi="Franklin Gothic Book" w:cs="IdealSans-Light"/>
          <w:b w:val="0"/>
          <w:color w:val="000000"/>
          <w:kern w:val="0"/>
          <w:sz w:val="21"/>
          <w:szCs w:val="21"/>
          <w:lang w:val="en-NZ" w:eastAsia="en-US"/>
        </w:rPr>
        <w:t xml:space="preserve"> such as health and education</w:t>
      </w:r>
      <w:r w:rsidR="00510974">
        <w:rPr>
          <w:rFonts w:ascii="Franklin Gothic Book" w:eastAsiaTheme="minorHAnsi" w:hAnsi="Franklin Gothic Book" w:cs="IdealSans-Light"/>
          <w:b w:val="0"/>
          <w:color w:val="000000"/>
          <w:kern w:val="0"/>
          <w:sz w:val="21"/>
          <w:szCs w:val="21"/>
          <w:lang w:val="en-NZ" w:eastAsia="en-US"/>
        </w:rPr>
        <w:t xml:space="preserve">, </w:t>
      </w:r>
      <w:r w:rsidRPr="00456249">
        <w:rPr>
          <w:rFonts w:ascii="Franklin Gothic Book" w:eastAsiaTheme="minorHAnsi" w:hAnsi="Franklin Gothic Book" w:cs="IdealSans-Light"/>
          <w:b w:val="0"/>
          <w:color w:val="000000"/>
          <w:kern w:val="0"/>
          <w:sz w:val="21"/>
          <w:szCs w:val="21"/>
          <w:lang w:val="en-NZ" w:eastAsia="en-US"/>
        </w:rPr>
        <w:t xml:space="preserve">are slowly showing some results. </w:t>
      </w:r>
    </w:p>
    <w:p w:rsidR="00E55D09" w:rsidRPr="00826A3F" w:rsidRDefault="00006A08" w:rsidP="00826A3F">
      <w:pPr>
        <w:pStyle w:val="Heading3"/>
        <w:tabs>
          <w:tab w:val="left" w:pos="720"/>
        </w:tabs>
        <w:spacing w:before="0" w:line="280" w:lineRule="exact"/>
        <w:rPr>
          <w:rFonts w:ascii="Franklin Gothic Book" w:eastAsiaTheme="minorHAnsi" w:hAnsi="Franklin Gothic Book" w:cs="IdealSans-Light"/>
          <w:b w:val="0"/>
          <w:color w:val="000000"/>
          <w:kern w:val="0"/>
          <w:sz w:val="21"/>
          <w:szCs w:val="21"/>
          <w:lang w:val="en-NZ" w:eastAsia="en-US"/>
        </w:rPr>
      </w:pPr>
      <w:r>
        <w:rPr>
          <w:rFonts w:ascii="Franklin Gothic Book" w:eastAsiaTheme="minorHAnsi" w:hAnsi="Franklin Gothic Book" w:cs="IdealSans-Light"/>
          <w:b w:val="0"/>
          <w:color w:val="000000"/>
          <w:kern w:val="0"/>
          <w:sz w:val="21"/>
          <w:szCs w:val="21"/>
          <w:lang w:val="en-NZ" w:eastAsia="en-US"/>
        </w:rPr>
        <w:t xml:space="preserve">Australian support for </w:t>
      </w:r>
      <w:r w:rsidR="00680473">
        <w:rPr>
          <w:rFonts w:ascii="Franklin Gothic Book" w:eastAsiaTheme="minorHAnsi" w:hAnsi="Franklin Gothic Book" w:cs="IdealSans-Light"/>
          <w:b w:val="0"/>
          <w:color w:val="000000"/>
          <w:kern w:val="0"/>
          <w:sz w:val="21"/>
          <w:szCs w:val="21"/>
          <w:lang w:val="en-NZ" w:eastAsia="en-US"/>
        </w:rPr>
        <w:t xml:space="preserve">disability-inclusive </w:t>
      </w:r>
      <w:r w:rsidRPr="0097092E">
        <w:rPr>
          <w:rFonts w:ascii="Franklin Gothic Book" w:eastAsiaTheme="minorHAnsi" w:hAnsi="Franklin Gothic Book" w:cs="IdealSans-Light"/>
          <w:b w:val="0"/>
          <w:color w:val="000000"/>
          <w:kern w:val="0"/>
          <w:sz w:val="21"/>
          <w:szCs w:val="21"/>
          <w:lang w:val="en-NZ" w:eastAsia="en-US"/>
        </w:rPr>
        <w:t xml:space="preserve">development </w:t>
      </w:r>
      <w:r>
        <w:rPr>
          <w:rFonts w:ascii="Franklin Gothic Book" w:eastAsiaTheme="minorHAnsi" w:hAnsi="Franklin Gothic Book" w:cs="IdealSans-Light"/>
          <w:b w:val="0"/>
          <w:color w:val="000000"/>
          <w:kern w:val="0"/>
          <w:sz w:val="21"/>
          <w:szCs w:val="21"/>
          <w:lang w:val="en-NZ" w:eastAsia="en-US"/>
        </w:rPr>
        <w:t xml:space="preserve">in the Pacific is </w:t>
      </w:r>
      <w:r w:rsidRPr="0097092E">
        <w:rPr>
          <w:rFonts w:ascii="Franklin Gothic Book" w:eastAsiaTheme="minorHAnsi" w:hAnsi="Franklin Gothic Book" w:cs="IdealSans-Light"/>
          <w:b w:val="0"/>
          <w:color w:val="000000"/>
          <w:kern w:val="0"/>
          <w:sz w:val="21"/>
          <w:szCs w:val="21"/>
          <w:lang w:val="en-NZ" w:eastAsia="en-US"/>
        </w:rPr>
        <w:t>through both targeted and mainstreaming approaches</w:t>
      </w:r>
      <w:r w:rsidR="00680473">
        <w:rPr>
          <w:rFonts w:ascii="Franklin Gothic Book" w:eastAsiaTheme="minorHAnsi" w:hAnsi="Franklin Gothic Book" w:cs="IdealSans-Light"/>
          <w:b w:val="0"/>
          <w:color w:val="000000"/>
          <w:kern w:val="0"/>
          <w:sz w:val="21"/>
          <w:szCs w:val="21"/>
          <w:lang w:val="en-NZ" w:eastAsia="en-US"/>
        </w:rPr>
        <w:t>. R</w:t>
      </w:r>
      <w:r w:rsidR="00826A3F">
        <w:rPr>
          <w:rFonts w:ascii="Franklin Gothic Book" w:eastAsiaTheme="minorHAnsi" w:hAnsi="Franklin Gothic Book" w:cs="IdealSans-Light"/>
          <w:b w:val="0"/>
          <w:color w:val="000000"/>
          <w:kern w:val="0"/>
          <w:sz w:val="21"/>
          <w:szCs w:val="21"/>
          <w:lang w:val="en-NZ" w:eastAsia="en-US"/>
        </w:rPr>
        <w:t>esults include</w:t>
      </w:r>
      <w:r>
        <w:rPr>
          <w:rFonts w:ascii="Franklin Gothic Book" w:eastAsiaTheme="minorHAnsi" w:hAnsi="Franklin Gothic Book" w:cs="IdealSans-Light"/>
          <w:b w:val="0"/>
          <w:color w:val="000000"/>
          <w:kern w:val="0"/>
          <w:sz w:val="21"/>
          <w:szCs w:val="21"/>
          <w:lang w:val="en-NZ" w:eastAsia="en-US"/>
        </w:rPr>
        <w:t xml:space="preserve">: </w:t>
      </w:r>
    </w:p>
    <w:p w:rsidR="00826A3F" w:rsidRDefault="00E55D09" w:rsidP="00024FC6">
      <w:pPr>
        <w:pStyle w:val="BodyText"/>
        <w:numPr>
          <w:ilvl w:val="0"/>
          <w:numId w:val="23"/>
        </w:numPr>
        <w:spacing w:after="120"/>
        <w:jc w:val="both"/>
        <w:rPr>
          <w:szCs w:val="21"/>
        </w:rPr>
      </w:pPr>
      <w:r w:rsidRPr="0091562D">
        <w:rPr>
          <w:szCs w:val="21"/>
        </w:rPr>
        <w:lastRenderedPageBreak/>
        <w:t xml:space="preserve">Support to </w:t>
      </w:r>
      <w:r w:rsidR="00680473">
        <w:rPr>
          <w:szCs w:val="21"/>
        </w:rPr>
        <w:t xml:space="preserve">DPOs </w:t>
      </w:r>
      <w:r w:rsidRPr="0091562D">
        <w:rPr>
          <w:szCs w:val="21"/>
        </w:rPr>
        <w:t xml:space="preserve">($1.2 million in 2013-14) </w:t>
      </w:r>
      <w:r w:rsidR="00006A08">
        <w:rPr>
          <w:szCs w:val="21"/>
        </w:rPr>
        <w:t>gave</w:t>
      </w:r>
      <w:r w:rsidRPr="0091562D">
        <w:rPr>
          <w:szCs w:val="21"/>
        </w:rPr>
        <w:t xml:space="preserve"> a voice to people with disability to influence national decision-making processes through </w:t>
      </w:r>
      <w:r w:rsidR="00006A08">
        <w:rPr>
          <w:szCs w:val="21"/>
        </w:rPr>
        <w:t xml:space="preserve">Australia’s </w:t>
      </w:r>
      <w:r w:rsidRPr="0091562D">
        <w:rPr>
          <w:szCs w:val="21"/>
        </w:rPr>
        <w:t xml:space="preserve">partnership with the </w:t>
      </w:r>
      <w:r w:rsidR="001724A3">
        <w:rPr>
          <w:szCs w:val="21"/>
        </w:rPr>
        <w:t>PDF</w:t>
      </w:r>
      <w:r w:rsidR="00680473">
        <w:rPr>
          <w:szCs w:val="21"/>
        </w:rPr>
        <w:t xml:space="preserve">. </w:t>
      </w:r>
      <w:r w:rsidRPr="0091562D">
        <w:rPr>
          <w:szCs w:val="21"/>
        </w:rPr>
        <w:t xml:space="preserve">PDF supported 17 </w:t>
      </w:r>
      <w:r w:rsidR="001724A3">
        <w:rPr>
          <w:szCs w:val="21"/>
        </w:rPr>
        <w:t xml:space="preserve">DPOs </w:t>
      </w:r>
      <w:r w:rsidRPr="0091562D">
        <w:rPr>
          <w:szCs w:val="21"/>
        </w:rPr>
        <w:t xml:space="preserve">across 13 </w:t>
      </w:r>
      <w:r w:rsidR="008621FA">
        <w:rPr>
          <w:szCs w:val="21"/>
        </w:rPr>
        <w:t>PICs</w:t>
      </w:r>
      <w:r w:rsidRPr="0091562D">
        <w:rPr>
          <w:szCs w:val="21"/>
        </w:rPr>
        <w:t xml:space="preserve"> to raise awareness about disability rights in the</w:t>
      </w:r>
      <w:r w:rsidR="001724A3">
        <w:rPr>
          <w:szCs w:val="21"/>
        </w:rPr>
        <w:t xml:space="preserve"> Pacific and promote disability-</w:t>
      </w:r>
      <w:r w:rsidRPr="0091562D">
        <w:rPr>
          <w:szCs w:val="21"/>
        </w:rPr>
        <w:t xml:space="preserve">inclusive development. </w:t>
      </w:r>
    </w:p>
    <w:p w:rsidR="00AD083B" w:rsidRPr="00826A3F" w:rsidRDefault="00BB1CDB" w:rsidP="007515D3">
      <w:pPr>
        <w:pStyle w:val="BodyText"/>
        <w:numPr>
          <w:ilvl w:val="0"/>
          <w:numId w:val="23"/>
        </w:numPr>
        <w:spacing w:after="120"/>
        <w:jc w:val="both"/>
        <w:rPr>
          <w:szCs w:val="21"/>
        </w:rPr>
      </w:pPr>
      <w:r w:rsidRPr="00826A3F">
        <w:rPr>
          <w:szCs w:val="21"/>
        </w:rPr>
        <w:t xml:space="preserve">PIFS </w:t>
      </w:r>
      <w:r w:rsidR="00006A08" w:rsidRPr="00826A3F">
        <w:rPr>
          <w:szCs w:val="21"/>
        </w:rPr>
        <w:t xml:space="preserve">advocates for </w:t>
      </w:r>
      <w:r w:rsidRPr="00826A3F">
        <w:rPr>
          <w:szCs w:val="21"/>
        </w:rPr>
        <w:t xml:space="preserve">disability </w:t>
      </w:r>
      <w:r w:rsidR="00006A08" w:rsidRPr="00826A3F">
        <w:rPr>
          <w:szCs w:val="21"/>
        </w:rPr>
        <w:t xml:space="preserve">issues at </w:t>
      </w:r>
      <w:r w:rsidRPr="00826A3F">
        <w:rPr>
          <w:szCs w:val="21"/>
        </w:rPr>
        <w:t xml:space="preserve">a regional </w:t>
      </w:r>
      <w:r w:rsidR="00006A08" w:rsidRPr="00826A3F">
        <w:rPr>
          <w:szCs w:val="21"/>
        </w:rPr>
        <w:t xml:space="preserve">level </w:t>
      </w:r>
      <w:r w:rsidRPr="00826A3F">
        <w:rPr>
          <w:szCs w:val="21"/>
        </w:rPr>
        <w:t xml:space="preserve">and oversees implementation of the </w:t>
      </w:r>
      <w:r w:rsidR="00006A08" w:rsidRPr="00826A3F">
        <w:rPr>
          <w:szCs w:val="21"/>
        </w:rPr>
        <w:t xml:space="preserve">PRSD. Australia supported PIFS to implement activities across all </w:t>
      </w:r>
      <w:r w:rsidRPr="00826A3F">
        <w:rPr>
          <w:szCs w:val="21"/>
        </w:rPr>
        <w:t xml:space="preserve">six thematic areas of </w:t>
      </w:r>
      <w:r w:rsidR="00006A08" w:rsidRPr="00826A3F">
        <w:rPr>
          <w:szCs w:val="21"/>
        </w:rPr>
        <w:t>the PRSD</w:t>
      </w:r>
      <w:r w:rsidR="001163BC">
        <w:rPr>
          <w:szCs w:val="21"/>
        </w:rPr>
        <w:t>.</w:t>
      </w:r>
      <w:r w:rsidR="00826A3F" w:rsidRPr="00680473">
        <w:rPr>
          <w:rStyle w:val="FootnoteReference"/>
          <w:vertAlign w:val="superscript"/>
        </w:rPr>
        <w:footnoteReference w:id="37"/>
      </w:r>
      <w:r w:rsidRPr="00826A3F">
        <w:rPr>
          <w:szCs w:val="21"/>
        </w:rPr>
        <w:t xml:space="preserve"> </w:t>
      </w:r>
      <w:r w:rsidR="00006A08" w:rsidRPr="00826A3F">
        <w:rPr>
          <w:szCs w:val="21"/>
        </w:rPr>
        <w:t>PIFS’</w:t>
      </w:r>
      <w:r w:rsidR="00AD083B" w:rsidRPr="00826A3F">
        <w:rPr>
          <w:szCs w:val="21"/>
        </w:rPr>
        <w:t xml:space="preserve"> Disability Coordination Unit mad</w:t>
      </w:r>
      <w:r w:rsidR="00680473">
        <w:rPr>
          <w:szCs w:val="21"/>
        </w:rPr>
        <w:t>e significant progress towards disability-inclusive d</w:t>
      </w:r>
      <w:r w:rsidR="00AD083B" w:rsidRPr="00826A3F">
        <w:rPr>
          <w:szCs w:val="21"/>
        </w:rPr>
        <w:t>evelopment in the Pacific and the implementation of the PRSD</w:t>
      </w:r>
      <w:r w:rsidR="00826A3F">
        <w:rPr>
          <w:szCs w:val="21"/>
        </w:rPr>
        <w:t xml:space="preserve">, including: </w:t>
      </w:r>
      <w:r w:rsidR="007515D3" w:rsidRPr="00826A3F">
        <w:rPr>
          <w:szCs w:val="21"/>
        </w:rPr>
        <w:t xml:space="preserve">Cook Islands, Kiribati, Nauru, Palau, PNG, Tuvalu and Vanuatu </w:t>
      </w:r>
      <w:r w:rsidR="007515D3">
        <w:rPr>
          <w:szCs w:val="21"/>
        </w:rPr>
        <w:t>ratifying</w:t>
      </w:r>
      <w:r w:rsidR="00AD083B" w:rsidRPr="00826A3F">
        <w:rPr>
          <w:szCs w:val="21"/>
        </w:rPr>
        <w:t xml:space="preserve"> the </w:t>
      </w:r>
      <w:r w:rsidR="007515D3" w:rsidRPr="007515D3">
        <w:rPr>
          <w:szCs w:val="21"/>
        </w:rPr>
        <w:t>Convention on the Rights of Persons with Disabilities</w:t>
      </w:r>
      <w:r w:rsidR="007515D3">
        <w:rPr>
          <w:szCs w:val="21"/>
        </w:rPr>
        <w:t xml:space="preserve"> (</w:t>
      </w:r>
      <w:r w:rsidR="00AD083B" w:rsidRPr="00826A3F">
        <w:rPr>
          <w:szCs w:val="21"/>
        </w:rPr>
        <w:t>CRPD</w:t>
      </w:r>
      <w:r w:rsidR="007515D3">
        <w:rPr>
          <w:szCs w:val="21"/>
        </w:rPr>
        <w:t>)</w:t>
      </w:r>
      <w:r w:rsidR="00AD083B" w:rsidRPr="00826A3F">
        <w:rPr>
          <w:szCs w:val="21"/>
        </w:rPr>
        <w:t xml:space="preserve"> </w:t>
      </w:r>
      <w:r w:rsidR="00953E06" w:rsidRPr="00826A3F">
        <w:rPr>
          <w:szCs w:val="21"/>
        </w:rPr>
        <w:t xml:space="preserve">and </w:t>
      </w:r>
      <w:r w:rsidR="001724A3">
        <w:rPr>
          <w:szCs w:val="21"/>
        </w:rPr>
        <w:t>FSM, Fiji, Solomon Islands</w:t>
      </w:r>
      <w:r w:rsidR="007515D3" w:rsidRPr="00826A3F">
        <w:rPr>
          <w:szCs w:val="21"/>
        </w:rPr>
        <w:t xml:space="preserve"> and Tonga </w:t>
      </w:r>
      <w:r w:rsidR="007515D3">
        <w:rPr>
          <w:szCs w:val="21"/>
        </w:rPr>
        <w:t xml:space="preserve">signing </w:t>
      </w:r>
      <w:r w:rsidR="00AD083B" w:rsidRPr="00826A3F">
        <w:rPr>
          <w:szCs w:val="21"/>
        </w:rPr>
        <w:t xml:space="preserve">the </w:t>
      </w:r>
      <w:r w:rsidR="007515D3">
        <w:rPr>
          <w:szCs w:val="21"/>
        </w:rPr>
        <w:t>CRPD</w:t>
      </w:r>
      <w:r w:rsidR="00AD083B" w:rsidRPr="00826A3F">
        <w:rPr>
          <w:szCs w:val="21"/>
        </w:rPr>
        <w:t xml:space="preserve">. </w:t>
      </w:r>
    </w:p>
    <w:p w:rsidR="0021324C" w:rsidRPr="0091562D" w:rsidRDefault="001724A3" w:rsidP="00826A3F">
      <w:pPr>
        <w:pStyle w:val="BodyText"/>
        <w:spacing w:after="0"/>
        <w:jc w:val="both"/>
        <w:rPr>
          <w:szCs w:val="21"/>
        </w:rPr>
      </w:pPr>
      <w:r>
        <w:rPr>
          <w:szCs w:val="21"/>
        </w:rPr>
        <w:t>T</w:t>
      </w:r>
      <w:r w:rsidR="00953E06" w:rsidRPr="0091562D">
        <w:rPr>
          <w:szCs w:val="21"/>
        </w:rPr>
        <w:t xml:space="preserve">hrough </w:t>
      </w:r>
      <w:r w:rsidR="0091562D">
        <w:rPr>
          <w:szCs w:val="21"/>
        </w:rPr>
        <w:t>Australia’s</w:t>
      </w:r>
      <w:r w:rsidR="00953E06" w:rsidRPr="0091562D">
        <w:rPr>
          <w:szCs w:val="21"/>
        </w:rPr>
        <w:t xml:space="preserve"> support to the Regional Rights Resource Team (RRRT)</w:t>
      </w:r>
      <w:r w:rsidR="007515D3">
        <w:rPr>
          <w:szCs w:val="21"/>
        </w:rPr>
        <w:t>,</w:t>
      </w:r>
      <w:r w:rsidR="00953E06" w:rsidRPr="0091562D">
        <w:rPr>
          <w:szCs w:val="21"/>
        </w:rPr>
        <w:t xml:space="preserve"> countries have access to technical support and training on obligations under the CRPD, ens</w:t>
      </w:r>
      <w:r w:rsidR="007515D3">
        <w:rPr>
          <w:szCs w:val="21"/>
        </w:rPr>
        <w:t>uring that national legislation</w:t>
      </w:r>
      <w:r w:rsidR="00953E06" w:rsidRPr="0091562D">
        <w:rPr>
          <w:szCs w:val="21"/>
        </w:rPr>
        <w:t xml:space="preserve"> and policies include the rights of persons with </w:t>
      </w:r>
      <w:r>
        <w:rPr>
          <w:szCs w:val="21"/>
        </w:rPr>
        <w:t xml:space="preserve">a </w:t>
      </w:r>
      <w:r w:rsidR="00953E06" w:rsidRPr="0091562D">
        <w:rPr>
          <w:szCs w:val="21"/>
        </w:rPr>
        <w:t>disability.</w:t>
      </w:r>
      <w:r w:rsidR="0091562D" w:rsidRPr="0091562D">
        <w:rPr>
          <w:szCs w:val="21"/>
        </w:rPr>
        <w:t xml:space="preserve"> </w:t>
      </w:r>
      <w:r w:rsidR="0091562D" w:rsidRPr="0041341E">
        <w:rPr>
          <w:szCs w:val="21"/>
        </w:rPr>
        <w:t xml:space="preserve">For example, in </w:t>
      </w:r>
      <w:r w:rsidR="007515D3">
        <w:rPr>
          <w:szCs w:val="21"/>
        </w:rPr>
        <w:t>FSM,</w:t>
      </w:r>
      <w:r>
        <w:rPr>
          <w:szCs w:val="21"/>
        </w:rPr>
        <w:t xml:space="preserve"> awareness-</w:t>
      </w:r>
      <w:r w:rsidR="0091562D" w:rsidRPr="0041341E">
        <w:rPr>
          <w:szCs w:val="21"/>
        </w:rPr>
        <w:t xml:space="preserve">raising on the rights of persons with </w:t>
      </w:r>
      <w:r>
        <w:rPr>
          <w:szCs w:val="21"/>
        </w:rPr>
        <w:t xml:space="preserve">a </w:t>
      </w:r>
      <w:r w:rsidR="0091562D" w:rsidRPr="0041341E">
        <w:rPr>
          <w:szCs w:val="21"/>
        </w:rPr>
        <w:t xml:space="preserve">disability has resulted in the call by non-state actors and </w:t>
      </w:r>
      <w:r w:rsidR="007515D3">
        <w:rPr>
          <w:szCs w:val="21"/>
        </w:rPr>
        <w:t>DPOs</w:t>
      </w:r>
      <w:r w:rsidR="0091562D" w:rsidRPr="0041341E">
        <w:rPr>
          <w:szCs w:val="21"/>
        </w:rPr>
        <w:t xml:space="preserve"> to review FSM</w:t>
      </w:r>
      <w:r>
        <w:rPr>
          <w:szCs w:val="21"/>
        </w:rPr>
        <w:t>’s</w:t>
      </w:r>
      <w:r w:rsidR="0091562D" w:rsidRPr="0041341E">
        <w:rPr>
          <w:szCs w:val="21"/>
        </w:rPr>
        <w:t xml:space="preserve"> national disability policy and actively lobby </w:t>
      </w:r>
      <w:r w:rsidR="007515D3">
        <w:rPr>
          <w:szCs w:val="21"/>
        </w:rPr>
        <w:t xml:space="preserve">the government to ratify CRPD. </w:t>
      </w:r>
      <w:r w:rsidR="0091562D" w:rsidRPr="0041341E">
        <w:rPr>
          <w:szCs w:val="21"/>
        </w:rPr>
        <w:t xml:space="preserve">RRRT </w:t>
      </w:r>
      <w:r w:rsidR="0041341E" w:rsidRPr="0041341E">
        <w:rPr>
          <w:szCs w:val="21"/>
        </w:rPr>
        <w:t xml:space="preserve">also </w:t>
      </w:r>
      <w:r w:rsidR="0091562D" w:rsidRPr="0041341E">
        <w:rPr>
          <w:szCs w:val="21"/>
        </w:rPr>
        <w:t xml:space="preserve">supported </w:t>
      </w:r>
      <w:r w:rsidR="0041341E" w:rsidRPr="0041341E">
        <w:rPr>
          <w:szCs w:val="21"/>
        </w:rPr>
        <w:t>Tuvalu</w:t>
      </w:r>
      <w:r w:rsidR="001163BC">
        <w:rPr>
          <w:szCs w:val="21"/>
        </w:rPr>
        <w:t xml:space="preserve"> to</w:t>
      </w:r>
      <w:r w:rsidR="0041341E" w:rsidRPr="0041341E">
        <w:rPr>
          <w:szCs w:val="21"/>
        </w:rPr>
        <w:t xml:space="preserve"> accede</w:t>
      </w:r>
      <w:r w:rsidR="0091562D" w:rsidRPr="0041341E">
        <w:rPr>
          <w:szCs w:val="21"/>
        </w:rPr>
        <w:t xml:space="preserve"> to CRPD in Dec</w:t>
      </w:r>
      <w:r w:rsidR="0041341E" w:rsidRPr="0041341E">
        <w:rPr>
          <w:szCs w:val="21"/>
        </w:rPr>
        <w:t>ember</w:t>
      </w:r>
      <w:r w:rsidR="0091562D" w:rsidRPr="0041341E">
        <w:rPr>
          <w:szCs w:val="21"/>
        </w:rPr>
        <w:t xml:space="preserve"> 2013.</w:t>
      </w:r>
      <w:r w:rsidR="0091562D" w:rsidRPr="0091562D">
        <w:rPr>
          <w:szCs w:val="21"/>
        </w:rPr>
        <w:t xml:space="preserve">  </w:t>
      </w:r>
    </w:p>
    <w:p w:rsidR="00AD083B" w:rsidRDefault="00AD083B" w:rsidP="00AD083B">
      <w:pPr>
        <w:pStyle w:val="Heading4"/>
      </w:pPr>
      <w:r>
        <w:t>Factors affecting progress and future directions</w:t>
      </w:r>
    </w:p>
    <w:p w:rsidR="00337FF7" w:rsidRDefault="00826A3F" w:rsidP="00826A3F">
      <w:pPr>
        <w:pStyle w:val="BodyText"/>
        <w:spacing w:after="0"/>
        <w:jc w:val="both"/>
        <w:rPr>
          <w:i/>
          <w:szCs w:val="21"/>
        </w:rPr>
      </w:pPr>
      <w:r>
        <w:rPr>
          <w:rFonts w:eastAsiaTheme="minorHAnsi" w:cs="IdealSans-Light"/>
          <w:color w:val="000000"/>
          <w:szCs w:val="21"/>
          <w:lang w:val="en-NZ"/>
        </w:rPr>
        <w:t xml:space="preserve">The review of the PRDS found </w:t>
      </w:r>
      <w:r w:rsidR="00267733">
        <w:rPr>
          <w:rFonts w:eastAsiaTheme="minorHAnsi" w:cs="IdealSans-Light"/>
          <w:color w:val="000000"/>
          <w:szCs w:val="21"/>
          <w:lang w:val="en-NZ"/>
        </w:rPr>
        <w:t>‘</w:t>
      </w:r>
      <w:r w:rsidRPr="007515D3">
        <w:rPr>
          <w:rFonts w:eastAsiaTheme="minorHAnsi" w:cs="IdealSans-Light"/>
          <w:i/>
          <w:color w:val="000000"/>
          <w:szCs w:val="21"/>
          <w:lang w:val="en-NZ"/>
        </w:rPr>
        <w:t>l</w:t>
      </w:r>
      <w:r w:rsidRPr="00D42702">
        <w:rPr>
          <w:i/>
          <w:szCs w:val="21"/>
        </w:rPr>
        <w:t>east progress has been made in the</w:t>
      </w:r>
      <w:r>
        <w:rPr>
          <w:i/>
          <w:szCs w:val="21"/>
        </w:rPr>
        <w:t xml:space="preserve"> ut</w:t>
      </w:r>
      <w:r w:rsidRPr="00D42702">
        <w:rPr>
          <w:i/>
          <w:szCs w:val="21"/>
        </w:rPr>
        <w:t>ilisation of resources particularly by governments to support implementation of disability specific and disability inclusive policies and programs. All stakeholder groups identified this as the greatest gap and a priority to focus on in the next stage of implementation of the strategy</w:t>
      </w:r>
      <w:r w:rsidR="00267733">
        <w:rPr>
          <w:i/>
          <w:szCs w:val="21"/>
        </w:rPr>
        <w:t>’</w:t>
      </w:r>
      <w:r w:rsidRPr="00D42702">
        <w:rPr>
          <w:i/>
          <w:szCs w:val="21"/>
        </w:rPr>
        <w:t>.</w:t>
      </w:r>
      <w:r w:rsidRPr="00826A3F">
        <w:rPr>
          <w:rFonts w:eastAsiaTheme="minorHAnsi" w:cs="IdealSans-Light"/>
          <w:color w:val="000000"/>
          <w:szCs w:val="21"/>
          <w:lang w:val="en-NZ"/>
        </w:rPr>
        <w:t xml:space="preserve"> </w:t>
      </w:r>
      <w:r>
        <w:rPr>
          <w:rFonts w:eastAsiaTheme="minorHAnsi" w:cs="IdealSans-Light"/>
          <w:color w:val="000000"/>
          <w:szCs w:val="21"/>
          <w:lang w:val="en-NZ"/>
        </w:rPr>
        <w:t>M</w:t>
      </w:r>
      <w:r w:rsidRPr="00826A3F">
        <w:rPr>
          <w:rFonts w:eastAsiaTheme="minorHAnsi" w:cs="IdealSans-Light"/>
          <w:color w:val="000000"/>
          <w:szCs w:val="21"/>
          <w:lang w:val="en-NZ"/>
        </w:rPr>
        <w:t>ore work n</w:t>
      </w:r>
      <w:r>
        <w:rPr>
          <w:rFonts w:eastAsiaTheme="minorHAnsi" w:cs="IdealSans-Light"/>
          <w:color w:val="000000"/>
          <w:szCs w:val="21"/>
          <w:lang w:val="en-NZ"/>
        </w:rPr>
        <w:t>eeds to be done in the area of l</w:t>
      </w:r>
      <w:r w:rsidRPr="00826A3F">
        <w:rPr>
          <w:rFonts w:eastAsiaTheme="minorHAnsi" w:cs="IdealSans-Light"/>
          <w:color w:val="000000"/>
          <w:szCs w:val="21"/>
          <w:lang w:val="en-NZ"/>
        </w:rPr>
        <w:t>egislative change and service provision</w:t>
      </w:r>
      <w:r>
        <w:rPr>
          <w:rFonts w:eastAsiaTheme="minorHAnsi" w:cs="IdealSans-Light"/>
          <w:color w:val="000000"/>
          <w:szCs w:val="21"/>
          <w:lang w:val="en-NZ"/>
        </w:rPr>
        <w:t xml:space="preserve"> and mo</w:t>
      </w:r>
      <w:r w:rsidRPr="00826A3F">
        <w:rPr>
          <w:rFonts w:eastAsiaTheme="minorHAnsi" w:cs="IdealSans-Light"/>
          <w:color w:val="000000"/>
          <w:szCs w:val="21"/>
          <w:lang w:val="en-NZ"/>
        </w:rPr>
        <w:t xml:space="preserve">re partnerships with </w:t>
      </w:r>
      <w:r w:rsidR="007515D3">
        <w:rPr>
          <w:rFonts w:eastAsiaTheme="minorHAnsi" w:cs="IdealSans-Light"/>
          <w:color w:val="000000"/>
          <w:szCs w:val="21"/>
          <w:lang w:val="en-NZ"/>
        </w:rPr>
        <w:t>DPOs</w:t>
      </w:r>
      <w:r w:rsidRPr="00826A3F">
        <w:rPr>
          <w:rFonts w:eastAsiaTheme="minorHAnsi" w:cs="IdealSans-Light"/>
          <w:color w:val="000000"/>
          <w:szCs w:val="21"/>
          <w:lang w:val="en-NZ"/>
        </w:rPr>
        <w:t xml:space="preserve"> and other agencies must be formed</w:t>
      </w:r>
      <w:r>
        <w:rPr>
          <w:rFonts w:eastAsiaTheme="minorHAnsi" w:cs="IdealSans-Light"/>
          <w:color w:val="000000"/>
          <w:szCs w:val="21"/>
          <w:lang w:val="en-NZ"/>
        </w:rPr>
        <w:t>.</w:t>
      </w:r>
    </w:p>
    <w:p w:rsidR="00B835C9" w:rsidRDefault="00B835C9" w:rsidP="000D733F">
      <w:pPr>
        <w:pStyle w:val="Heading3"/>
      </w:pPr>
      <w:r w:rsidRPr="00B835C9">
        <w:t>Gender equality and empowering women and girls</w:t>
      </w:r>
    </w:p>
    <w:p w:rsidR="00A82623" w:rsidRDefault="00582CAB" w:rsidP="00A82623">
      <w:pPr>
        <w:pStyle w:val="BodyText"/>
        <w:spacing w:after="120"/>
        <w:jc w:val="both"/>
      </w:pPr>
      <w:r w:rsidRPr="00582CAB">
        <w:t>Australia recognises o</w:t>
      </w:r>
      <w:r w:rsidRPr="00582CAB">
        <w:rPr>
          <w:szCs w:val="21"/>
        </w:rPr>
        <w:t xml:space="preserve">ne </w:t>
      </w:r>
      <w:r w:rsidRPr="00BE69DA">
        <w:rPr>
          <w:szCs w:val="21"/>
        </w:rPr>
        <w:t xml:space="preserve">of the best ways to achieve economic growth and prosperity in the Pacific region is to empower women. </w:t>
      </w:r>
      <w:r w:rsidR="00E62764">
        <w:rPr>
          <w:szCs w:val="21"/>
        </w:rPr>
        <w:t>Examples of how the Pacific R</w:t>
      </w:r>
      <w:r w:rsidR="00BE0322">
        <w:rPr>
          <w:szCs w:val="21"/>
        </w:rPr>
        <w:t>egional program portfolios are addressing gender equality and empowering women and girls are included throughout this APPR.</w:t>
      </w:r>
      <w:r w:rsidR="00881ECE">
        <w:rPr>
          <w:szCs w:val="21"/>
        </w:rPr>
        <w:t xml:space="preserve"> </w:t>
      </w:r>
      <w:r w:rsidR="00A82623">
        <w:t xml:space="preserve">A major program, working in 14 </w:t>
      </w:r>
      <w:r w:rsidR="008621FA">
        <w:t>PICs</w:t>
      </w:r>
      <w:r w:rsidR="00A82623">
        <w:t xml:space="preserve">, is the </w:t>
      </w:r>
      <w:r w:rsidR="008621FA">
        <w:t>ten-</w:t>
      </w:r>
      <w:r w:rsidR="00A82623">
        <w:t xml:space="preserve">year $320 million Pacific Women Shaping Pacific Development (Pacific Women) </w:t>
      </w:r>
      <w:r w:rsidR="007515D3">
        <w:t xml:space="preserve">program, </w:t>
      </w:r>
      <w:r w:rsidR="00A82623">
        <w:t>which has three focus areas: expanding women’s economic opportunities; improving women’s representation and effective leadership; and reducing violence against women.</w:t>
      </w:r>
      <w:r w:rsidR="00A31167">
        <w:t xml:space="preserve"> </w:t>
      </w:r>
      <w:r w:rsidR="00A82623">
        <w:rPr>
          <w:i/>
          <w:iCs/>
        </w:rPr>
        <w:t>Pacific Women</w:t>
      </w:r>
      <w:r w:rsidR="00A82623">
        <w:t xml:space="preserve"> is programmed through country plans and progress against these country plans is reported in individual country APPRs. A small numbe</w:t>
      </w:r>
      <w:r w:rsidR="008621FA">
        <w:t>r of regional and multi-</w:t>
      </w:r>
      <w:r w:rsidR="00A82623">
        <w:t>country activities are also implemented to address common issues and to complement country activities to achieve greater impact in addressing gender inequality</w:t>
      </w:r>
      <w:r w:rsidR="000734C0">
        <w:t>.</w:t>
      </w:r>
      <w:r w:rsidR="007C3236">
        <w:t xml:space="preserve"> </w:t>
      </w:r>
      <w:r w:rsidR="000734C0">
        <w:t>A</w:t>
      </w:r>
      <w:r w:rsidR="00A82623">
        <w:t>chievements</w:t>
      </w:r>
      <w:r w:rsidR="00A31167">
        <w:t xml:space="preserve"> of these </w:t>
      </w:r>
      <w:r w:rsidR="00A82623">
        <w:t>regional activities in 2013-14 include:</w:t>
      </w:r>
    </w:p>
    <w:p w:rsidR="00A82623" w:rsidRDefault="00A82623" w:rsidP="00A82623">
      <w:pPr>
        <w:rPr>
          <w:rFonts w:ascii="Franklin Gothic Book" w:hAnsi="Franklin Gothic Book"/>
          <w:sz w:val="21"/>
          <w:szCs w:val="21"/>
        </w:rPr>
      </w:pPr>
    </w:p>
    <w:p w:rsidR="00A82623" w:rsidRDefault="001163BC" w:rsidP="00A82623">
      <w:pPr>
        <w:pStyle w:val="ListParagraph"/>
        <w:numPr>
          <w:ilvl w:val="0"/>
          <w:numId w:val="28"/>
        </w:numPr>
        <w:spacing w:after="200" w:line="276" w:lineRule="auto"/>
        <w:contextualSpacing/>
        <w:rPr>
          <w:rFonts w:ascii="Franklin Gothic Book" w:hAnsi="Franklin Gothic Book"/>
          <w:sz w:val="21"/>
          <w:szCs w:val="21"/>
        </w:rPr>
      </w:pPr>
      <w:r>
        <w:rPr>
          <w:rFonts w:ascii="Franklin Gothic Book" w:hAnsi="Franklin Gothic Book"/>
          <w:sz w:val="21"/>
          <w:szCs w:val="21"/>
        </w:rPr>
        <w:t>dialogue</w:t>
      </w:r>
      <w:r w:rsidR="00A82623">
        <w:rPr>
          <w:rFonts w:ascii="Franklin Gothic Book" w:hAnsi="Franklin Gothic Book"/>
          <w:sz w:val="21"/>
          <w:szCs w:val="21"/>
        </w:rPr>
        <w:t>, exchanges, mentoring and training facilitated between Australian and Pacific Islands women MPs and parliamentary staff to improve gender equality issues being addressed by parliament through the Pacific Women’s Parliamentary Partnerships Program</w:t>
      </w:r>
      <w:r>
        <w:rPr>
          <w:rFonts w:ascii="Franklin Gothic Book" w:hAnsi="Franklin Gothic Book"/>
          <w:sz w:val="21"/>
          <w:szCs w:val="21"/>
        </w:rPr>
        <w:t>; and</w:t>
      </w:r>
    </w:p>
    <w:p w:rsidR="00A82623" w:rsidRDefault="001163BC" w:rsidP="00A82623">
      <w:pPr>
        <w:pStyle w:val="ListParagraph"/>
        <w:numPr>
          <w:ilvl w:val="0"/>
          <w:numId w:val="28"/>
        </w:numPr>
        <w:spacing w:after="200" w:line="276" w:lineRule="auto"/>
        <w:contextualSpacing/>
        <w:rPr>
          <w:rFonts w:ascii="Franklin Gothic Book" w:hAnsi="Franklin Gothic Book"/>
          <w:sz w:val="21"/>
          <w:szCs w:val="21"/>
        </w:rPr>
      </w:pPr>
      <w:r>
        <w:rPr>
          <w:rFonts w:ascii="Franklin Gothic Book" w:hAnsi="Franklin Gothic Book"/>
          <w:sz w:val="21"/>
          <w:szCs w:val="21"/>
        </w:rPr>
        <w:t xml:space="preserve">three </w:t>
      </w:r>
      <w:r w:rsidR="00097C65">
        <w:rPr>
          <w:rFonts w:ascii="Franklin Gothic Book" w:hAnsi="Franklin Gothic Book"/>
          <w:sz w:val="21"/>
          <w:szCs w:val="21"/>
        </w:rPr>
        <w:t xml:space="preserve">policy briefs produced by </w:t>
      </w:r>
      <w:r w:rsidR="00A82623">
        <w:rPr>
          <w:rFonts w:ascii="Franklin Gothic Book" w:hAnsi="Franklin Gothic Book"/>
          <w:sz w:val="21"/>
          <w:szCs w:val="21"/>
        </w:rPr>
        <w:t>State, Society and Governance in Melanesia on the success factors and pathways to women’s leadership and decision making in the Pacific to inform future aid programming.</w:t>
      </w:r>
    </w:p>
    <w:p w:rsidR="00021465" w:rsidRDefault="00021465" w:rsidP="00744ECA">
      <w:pPr>
        <w:pStyle w:val="ListBullet"/>
        <w:numPr>
          <w:ilvl w:val="0"/>
          <w:numId w:val="0"/>
        </w:numPr>
        <w:tabs>
          <w:tab w:val="clear" w:pos="284"/>
        </w:tabs>
        <w:rPr>
          <w:rFonts w:eastAsiaTheme="minorHAnsi" w:cs="IdealSans-Light"/>
          <w:color w:val="000000"/>
          <w:szCs w:val="21"/>
          <w:lang w:val="en-NZ"/>
        </w:rPr>
      </w:pPr>
      <w:r w:rsidRPr="00BE69DA">
        <w:rPr>
          <w:i/>
          <w:szCs w:val="21"/>
        </w:rPr>
        <w:lastRenderedPageBreak/>
        <w:t>Pacific Women</w:t>
      </w:r>
      <w:r w:rsidRPr="00BE69DA">
        <w:rPr>
          <w:szCs w:val="21"/>
        </w:rPr>
        <w:t xml:space="preserve"> support</w:t>
      </w:r>
      <w:r w:rsidR="00A82623">
        <w:rPr>
          <w:szCs w:val="21"/>
        </w:rPr>
        <w:t xml:space="preserve">s </w:t>
      </w:r>
      <w:r w:rsidR="00E62764">
        <w:rPr>
          <w:szCs w:val="21"/>
        </w:rPr>
        <w:t xml:space="preserve">PICs </w:t>
      </w:r>
      <w:r w:rsidRPr="00BE69DA">
        <w:rPr>
          <w:szCs w:val="21"/>
        </w:rPr>
        <w:t>to meet the commitments made in the 2012 Pacific Island</w:t>
      </w:r>
      <w:r w:rsidR="001163BC">
        <w:rPr>
          <w:szCs w:val="21"/>
        </w:rPr>
        <w:t>s</w:t>
      </w:r>
      <w:r w:rsidRPr="00BE69DA">
        <w:rPr>
          <w:szCs w:val="21"/>
        </w:rPr>
        <w:t xml:space="preserve"> Forum Leaders’ Gender Equality Declaration.</w:t>
      </w:r>
      <w:r w:rsidR="007C3236">
        <w:rPr>
          <w:szCs w:val="21"/>
        </w:rPr>
        <w:t xml:space="preserve"> </w:t>
      </w:r>
      <w:r w:rsidRPr="00582CAB">
        <w:rPr>
          <w:rFonts w:eastAsiaTheme="minorHAnsi" w:cs="IdealSans-Light"/>
          <w:color w:val="000000"/>
          <w:szCs w:val="21"/>
          <w:lang w:val="en-NZ"/>
        </w:rPr>
        <w:t>Overall, the pace of progress</w:t>
      </w:r>
      <w:r>
        <w:rPr>
          <w:rFonts w:eastAsiaTheme="minorHAnsi" w:cs="IdealSans-Light"/>
          <w:color w:val="000000"/>
          <w:szCs w:val="21"/>
          <w:lang w:val="en-NZ"/>
        </w:rPr>
        <w:t xml:space="preserve"> </w:t>
      </w:r>
      <w:r w:rsidRPr="00582CAB">
        <w:rPr>
          <w:rFonts w:eastAsiaTheme="minorHAnsi" w:cs="IdealSans-Light"/>
          <w:color w:val="000000"/>
          <w:szCs w:val="21"/>
          <w:lang w:val="en-NZ"/>
        </w:rPr>
        <w:t>reported</w:t>
      </w:r>
      <w:r w:rsidRPr="00582CAB">
        <w:rPr>
          <w:rFonts w:eastAsiaTheme="minorHAnsi" w:cs="IdealSans-Light"/>
          <w:color w:val="000000"/>
          <w:szCs w:val="21"/>
          <w:vertAlign w:val="superscript"/>
          <w:lang w:val="en-NZ"/>
        </w:rPr>
        <w:footnoteReference w:id="38"/>
      </w:r>
      <w:r w:rsidRPr="00582CAB">
        <w:rPr>
          <w:rFonts w:eastAsiaTheme="minorHAnsi" w:cs="IdealSans-Light"/>
          <w:color w:val="000000"/>
          <w:szCs w:val="21"/>
          <w:vertAlign w:val="superscript"/>
          <w:lang w:val="en-NZ"/>
        </w:rPr>
        <w:t xml:space="preserve"> </w:t>
      </w:r>
      <w:r w:rsidRPr="00582CAB">
        <w:rPr>
          <w:rFonts w:eastAsiaTheme="minorHAnsi" w:cs="IdealSans-Light"/>
          <w:color w:val="000000"/>
          <w:szCs w:val="21"/>
          <w:lang w:val="en-NZ"/>
        </w:rPr>
        <w:t>on the</w:t>
      </w:r>
      <w:r>
        <w:rPr>
          <w:rFonts w:eastAsiaTheme="minorHAnsi" w:cs="IdealSans-Light"/>
          <w:color w:val="000000"/>
          <w:szCs w:val="21"/>
          <w:lang w:val="en-NZ"/>
        </w:rPr>
        <w:t xml:space="preserve">se actions </w:t>
      </w:r>
      <w:r w:rsidRPr="00582CAB">
        <w:rPr>
          <w:rFonts w:eastAsiaTheme="minorHAnsi" w:cs="IdealSans-Light"/>
          <w:color w:val="000000"/>
          <w:szCs w:val="21"/>
          <w:lang w:val="en-NZ"/>
        </w:rPr>
        <w:t xml:space="preserve">has been slow, although there were </w:t>
      </w:r>
      <w:r w:rsidR="00BE0322">
        <w:rPr>
          <w:rFonts w:eastAsiaTheme="minorHAnsi" w:cs="IdealSans-Light"/>
          <w:color w:val="000000"/>
          <w:szCs w:val="21"/>
          <w:lang w:val="en-NZ"/>
        </w:rPr>
        <w:t xml:space="preserve">a </w:t>
      </w:r>
      <w:r w:rsidRPr="00582CAB">
        <w:rPr>
          <w:rFonts w:eastAsiaTheme="minorHAnsi" w:cs="IdealSans-Light"/>
          <w:color w:val="000000"/>
          <w:szCs w:val="21"/>
          <w:lang w:val="en-NZ"/>
        </w:rPr>
        <w:t>few positive developments over the year, particularly to a</w:t>
      </w:r>
      <w:r w:rsidR="007C3236">
        <w:rPr>
          <w:rFonts w:eastAsiaTheme="minorHAnsi" w:cs="IdealSans-Light"/>
          <w:color w:val="000000"/>
          <w:szCs w:val="21"/>
          <w:lang w:val="en-NZ"/>
        </w:rPr>
        <w:t xml:space="preserve">ddress violence against women. </w:t>
      </w:r>
      <w:r w:rsidRPr="00582CAB">
        <w:rPr>
          <w:rFonts w:eastAsiaTheme="minorHAnsi" w:cs="IdealSans-Light"/>
          <w:color w:val="000000"/>
          <w:szCs w:val="21"/>
          <w:lang w:val="en-NZ"/>
        </w:rPr>
        <w:t xml:space="preserve">Kiribati </w:t>
      </w:r>
      <w:r w:rsidR="007C3236">
        <w:rPr>
          <w:rFonts w:eastAsiaTheme="minorHAnsi" w:cs="IdealSans-Light"/>
          <w:color w:val="000000"/>
          <w:szCs w:val="21"/>
          <w:lang w:val="en-NZ"/>
        </w:rPr>
        <w:t>established a new Ministry for W</w:t>
      </w:r>
      <w:r w:rsidRPr="00582CAB">
        <w:rPr>
          <w:rFonts w:eastAsiaTheme="minorHAnsi" w:cs="IdealSans-Light"/>
          <w:color w:val="000000"/>
          <w:szCs w:val="21"/>
          <w:lang w:val="en-NZ"/>
        </w:rPr>
        <w:t>omen, while Tonga, RMI, Nauru, Niue and Tuvalu com</w:t>
      </w:r>
      <w:r w:rsidR="00944B08">
        <w:rPr>
          <w:rFonts w:eastAsiaTheme="minorHAnsi" w:cs="IdealSans-Light"/>
          <w:color w:val="000000"/>
          <w:szCs w:val="21"/>
          <w:lang w:val="en-NZ"/>
        </w:rPr>
        <w:t>pleted national gender policies</w:t>
      </w:r>
      <w:r w:rsidR="00EA550D">
        <w:rPr>
          <w:rFonts w:eastAsiaTheme="minorHAnsi" w:cs="IdealSans-Light"/>
          <w:color w:val="000000"/>
          <w:szCs w:val="21"/>
          <w:lang w:val="en-NZ"/>
        </w:rPr>
        <w:t xml:space="preserve">. Key challenges in </w:t>
      </w:r>
      <w:r w:rsidRPr="00582CAB">
        <w:rPr>
          <w:rFonts w:eastAsiaTheme="minorHAnsi" w:cs="IdealSans-Light"/>
          <w:color w:val="000000"/>
          <w:szCs w:val="21"/>
          <w:lang w:val="en-NZ"/>
        </w:rPr>
        <w:t xml:space="preserve">progressing the Declaration at the national level </w:t>
      </w:r>
      <w:r w:rsidR="007C3236">
        <w:rPr>
          <w:rFonts w:eastAsiaTheme="minorHAnsi" w:cs="IdealSans-Light"/>
          <w:color w:val="000000"/>
          <w:szCs w:val="21"/>
          <w:lang w:val="en-NZ"/>
        </w:rPr>
        <w:t>are</w:t>
      </w:r>
      <w:r w:rsidRPr="00582CAB">
        <w:rPr>
          <w:rFonts w:eastAsiaTheme="minorHAnsi" w:cs="IdealSans-Light"/>
          <w:color w:val="000000"/>
          <w:szCs w:val="21"/>
          <w:lang w:val="en-NZ"/>
        </w:rPr>
        <w:t xml:space="preserve"> the lack of awareness and ownership of the Declaration, lack of political will across government</w:t>
      </w:r>
      <w:r w:rsidR="001163BC">
        <w:rPr>
          <w:rFonts w:eastAsiaTheme="minorHAnsi" w:cs="IdealSans-Light"/>
          <w:color w:val="000000"/>
          <w:szCs w:val="21"/>
          <w:lang w:val="en-NZ"/>
        </w:rPr>
        <w:t>s</w:t>
      </w:r>
      <w:r w:rsidRPr="00582CAB">
        <w:rPr>
          <w:rFonts w:eastAsiaTheme="minorHAnsi" w:cs="IdealSans-Light"/>
          <w:color w:val="000000"/>
          <w:szCs w:val="21"/>
          <w:lang w:val="en-NZ"/>
        </w:rPr>
        <w:t xml:space="preserve"> towards implementing gender equality commitments and weak monitoring mechanisms.</w:t>
      </w:r>
    </w:p>
    <w:p w:rsidR="00755E69" w:rsidRPr="00826A3F" w:rsidRDefault="007C3236" w:rsidP="00A31167">
      <w:pPr>
        <w:pStyle w:val="ecxmsonormal"/>
        <w:spacing w:after="120" w:line="280" w:lineRule="exact"/>
        <w:rPr>
          <w:rFonts w:ascii="Franklin Gothic Book" w:hAnsi="Franklin Gothic Book"/>
          <w:sz w:val="21"/>
          <w:szCs w:val="21"/>
          <w:lang w:val="en-US"/>
        </w:rPr>
      </w:pPr>
      <w:r>
        <w:rPr>
          <w:rFonts w:ascii="Franklin Gothic Book" w:hAnsi="Franklin Gothic Book"/>
          <w:sz w:val="21"/>
          <w:szCs w:val="21"/>
          <w:lang w:val="en-US"/>
        </w:rPr>
        <w:t>The DFAT-</w:t>
      </w:r>
      <w:r w:rsidR="00A31167">
        <w:rPr>
          <w:rFonts w:ascii="Franklin Gothic Book" w:hAnsi="Franklin Gothic Book"/>
          <w:sz w:val="21"/>
          <w:szCs w:val="21"/>
          <w:lang w:val="en-US"/>
        </w:rPr>
        <w:t xml:space="preserve">supported </w:t>
      </w:r>
      <w:r w:rsidR="00F235EB" w:rsidRPr="00826A3F">
        <w:rPr>
          <w:rFonts w:ascii="Franklin Gothic Book" w:hAnsi="Franklin Gothic Book"/>
          <w:sz w:val="21"/>
          <w:szCs w:val="21"/>
          <w:lang w:val="en-US"/>
        </w:rPr>
        <w:t>Fiji Women’s Crisis Centre</w:t>
      </w:r>
      <w:r w:rsidR="00755E69" w:rsidRPr="00826A3F">
        <w:rPr>
          <w:rFonts w:ascii="Franklin Gothic Book" w:hAnsi="Franklin Gothic Book"/>
          <w:sz w:val="21"/>
          <w:szCs w:val="21"/>
          <w:lang w:val="en-US"/>
        </w:rPr>
        <w:t xml:space="preserve"> provided </w:t>
      </w:r>
      <w:r w:rsidR="00744ECA" w:rsidRPr="00826A3F">
        <w:rPr>
          <w:rFonts w:ascii="Franklin Gothic Book" w:hAnsi="Franklin Gothic Book"/>
          <w:sz w:val="21"/>
          <w:szCs w:val="21"/>
          <w:lang w:val="en-US"/>
        </w:rPr>
        <w:t xml:space="preserve">counselling services </w:t>
      </w:r>
      <w:r w:rsidR="00755E69" w:rsidRPr="00826A3F">
        <w:rPr>
          <w:rFonts w:ascii="Franklin Gothic Book" w:hAnsi="Franklin Gothic Book"/>
          <w:sz w:val="21"/>
          <w:szCs w:val="21"/>
          <w:lang w:val="en-US"/>
        </w:rPr>
        <w:t>to 1</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905 new clients and 2</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776 repeat clients in 2013</w:t>
      </w:r>
      <w:r>
        <w:rPr>
          <w:rFonts w:ascii="Franklin Gothic Book" w:hAnsi="Franklin Gothic Book"/>
          <w:sz w:val="21"/>
          <w:szCs w:val="21"/>
          <w:lang w:val="en-US"/>
        </w:rPr>
        <w:t xml:space="preserve"> </w:t>
      </w:r>
      <w:r w:rsidR="00755E69" w:rsidRPr="00826A3F">
        <w:rPr>
          <w:rFonts w:ascii="Franklin Gothic Book" w:hAnsi="Franklin Gothic Book"/>
          <w:sz w:val="21"/>
          <w:szCs w:val="21"/>
          <w:lang w:val="en-US"/>
        </w:rPr>
        <w:t>(1</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828 new clients an</w:t>
      </w:r>
      <w:r>
        <w:rPr>
          <w:rFonts w:ascii="Franklin Gothic Book" w:hAnsi="Franklin Gothic Book"/>
          <w:sz w:val="21"/>
          <w:szCs w:val="21"/>
          <w:lang w:val="en-US"/>
        </w:rPr>
        <w:t>d 2</w:t>
      </w:r>
      <w:r w:rsidR="001163BC">
        <w:rPr>
          <w:rFonts w:ascii="Franklin Gothic Book" w:hAnsi="Franklin Gothic Book"/>
          <w:sz w:val="21"/>
          <w:szCs w:val="21"/>
          <w:lang w:val="en-US"/>
        </w:rPr>
        <w:t>,</w:t>
      </w:r>
      <w:r>
        <w:rPr>
          <w:rFonts w:ascii="Franklin Gothic Book" w:hAnsi="Franklin Gothic Book"/>
          <w:sz w:val="21"/>
          <w:szCs w:val="21"/>
          <w:lang w:val="en-US"/>
        </w:rPr>
        <w:t>632 repeat clients in 2012).</w:t>
      </w:r>
      <w:r w:rsidR="00EA550D">
        <w:rPr>
          <w:rFonts w:ascii="Franklin Gothic Book" w:hAnsi="Franklin Gothic Book"/>
          <w:sz w:val="21"/>
          <w:szCs w:val="21"/>
          <w:lang w:val="en-US"/>
        </w:rPr>
        <w:t xml:space="preserve"> Training was provided to</w:t>
      </w:r>
      <w:r w:rsidR="00755E69" w:rsidRPr="00826A3F">
        <w:rPr>
          <w:rFonts w:ascii="Franklin Gothic Book" w:hAnsi="Franklin Gothic Book"/>
          <w:sz w:val="21"/>
          <w:szCs w:val="21"/>
          <w:lang w:val="en-US"/>
        </w:rPr>
        <w:t xml:space="preserve"> 2</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031 men, 4</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 xml:space="preserve">652 </w:t>
      </w:r>
      <w:r w:rsidR="00BE0322" w:rsidRPr="00826A3F">
        <w:rPr>
          <w:rFonts w:ascii="Franklin Gothic Book" w:hAnsi="Franklin Gothic Book"/>
          <w:sz w:val="21"/>
          <w:szCs w:val="21"/>
          <w:lang w:val="en-US"/>
        </w:rPr>
        <w:t>women and 2</w:t>
      </w:r>
      <w:r w:rsidR="001163BC">
        <w:rPr>
          <w:rFonts w:ascii="Franklin Gothic Book" w:hAnsi="Franklin Gothic Book"/>
          <w:sz w:val="21"/>
          <w:szCs w:val="21"/>
          <w:lang w:val="en-US"/>
        </w:rPr>
        <w:t>,</w:t>
      </w:r>
      <w:r w:rsidR="00BE0322" w:rsidRPr="00826A3F">
        <w:rPr>
          <w:rFonts w:ascii="Franklin Gothic Book" w:hAnsi="Franklin Gothic Book"/>
          <w:sz w:val="21"/>
          <w:szCs w:val="21"/>
          <w:lang w:val="en-US"/>
        </w:rPr>
        <w:t>245 children through</w:t>
      </w:r>
      <w:r w:rsidR="00755E69" w:rsidRPr="00826A3F">
        <w:rPr>
          <w:rFonts w:ascii="Franklin Gothic Book" w:hAnsi="Franklin Gothic Book"/>
          <w:sz w:val="21"/>
          <w:szCs w:val="21"/>
          <w:lang w:val="en-US"/>
        </w:rPr>
        <w:t xml:space="preserve"> 188 training sessions in 2013 (2</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193 men and 3</w:t>
      </w:r>
      <w:r w:rsidR="001163BC">
        <w:rPr>
          <w:rFonts w:ascii="Franklin Gothic Book" w:hAnsi="Franklin Gothic Book"/>
          <w:sz w:val="21"/>
          <w:szCs w:val="21"/>
          <w:lang w:val="en-US"/>
        </w:rPr>
        <w:t>,</w:t>
      </w:r>
      <w:r w:rsidR="00755E69" w:rsidRPr="00826A3F">
        <w:rPr>
          <w:rFonts w:ascii="Franklin Gothic Book" w:hAnsi="Franklin Gothic Book"/>
          <w:sz w:val="21"/>
          <w:szCs w:val="21"/>
          <w:lang w:val="en-US"/>
        </w:rPr>
        <w:t>834 women through </w:t>
      </w:r>
      <w:r>
        <w:rPr>
          <w:rFonts w:ascii="Franklin Gothic Book" w:hAnsi="Franklin Gothic Book"/>
          <w:sz w:val="21"/>
          <w:szCs w:val="21"/>
          <w:lang w:val="en-US"/>
        </w:rPr>
        <w:t>98 training sessions in 2012).</w:t>
      </w:r>
      <w:r w:rsidR="006A5155">
        <w:rPr>
          <w:rFonts w:ascii="Franklin Gothic Book" w:hAnsi="Franklin Gothic Book"/>
          <w:sz w:val="21"/>
          <w:szCs w:val="21"/>
          <w:lang w:val="en-US"/>
        </w:rPr>
        <w:t xml:space="preserve"> </w:t>
      </w:r>
      <w:r w:rsidR="001163BC">
        <w:rPr>
          <w:rFonts w:ascii="Franklin Gothic Book" w:hAnsi="Franklin Gothic Book"/>
          <w:sz w:val="21"/>
          <w:szCs w:val="21"/>
          <w:lang w:val="en-US"/>
        </w:rPr>
        <w:t>The FWCC assisted 132</w:t>
      </w:r>
      <w:r w:rsidR="006A5155">
        <w:rPr>
          <w:rFonts w:ascii="Franklin Gothic Book" w:hAnsi="Franklin Gothic Book"/>
          <w:sz w:val="21"/>
          <w:szCs w:val="21"/>
          <w:lang w:val="en-US"/>
        </w:rPr>
        <w:t xml:space="preserve"> </w:t>
      </w:r>
      <w:r w:rsidR="00EA550D">
        <w:rPr>
          <w:rFonts w:ascii="Franklin Gothic Book" w:hAnsi="Franklin Gothic Book"/>
          <w:sz w:val="21"/>
          <w:szCs w:val="21"/>
          <w:lang w:val="en-US"/>
        </w:rPr>
        <w:t>women</w:t>
      </w:r>
      <w:r w:rsidR="00755E69" w:rsidRPr="00826A3F">
        <w:rPr>
          <w:rFonts w:ascii="Franklin Gothic Book" w:hAnsi="Franklin Gothic Book"/>
          <w:sz w:val="21"/>
          <w:szCs w:val="21"/>
          <w:lang w:val="en-US"/>
        </w:rPr>
        <w:t xml:space="preserve"> with accommodation needs</w:t>
      </w:r>
      <w:r w:rsidR="00A31167">
        <w:rPr>
          <w:rFonts w:ascii="Franklin Gothic Book" w:hAnsi="Franklin Gothic Book"/>
          <w:sz w:val="21"/>
          <w:szCs w:val="21"/>
          <w:lang w:val="en-US"/>
        </w:rPr>
        <w:t>.</w:t>
      </w:r>
    </w:p>
    <w:p w:rsidR="00BA31A1" w:rsidRDefault="00BA31A1" w:rsidP="00BA31A1">
      <w:pPr>
        <w:pStyle w:val="Heading4"/>
      </w:pPr>
      <w:r>
        <w:t>Factors affecting progress and future directions</w:t>
      </w:r>
    </w:p>
    <w:p w:rsidR="00400709" w:rsidRDefault="00E62764" w:rsidP="00400709">
      <w:pPr>
        <w:pStyle w:val="BodyText"/>
        <w:rPr>
          <w:lang w:eastAsia="zh-CN"/>
        </w:rPr>
      </w:pPr>
      <w:r>
        <w:rPr>
          <w:lang w:eastAsia="zh-CN"/>
        </w:rPr>
        <w:t>The Pacific R</w:t>
      </w:r>
      <w:r w:rsidR="00400709">
        <w:rPr>
          <w:lang w:eastAsia="zh-CN"/>
        </w:rPr>
        <w:t>egional program is making some progress in being able to report on how women, men, girls and boys are benefitting from the</w:t>
      </w:r>
      <w:r w:rsidR="00097C65">
        <w:rPr>
          <w:lang w:eastAsia="zh-CN"/>
        </w:rPr>
        <w:t xml:space="preserve"> investments in its portfolio. </w:t>
      </w:r>
      <w:r w:rsidR="00400709">
        <w:rPr>
          <w:lang w:eastAsia="zh-CN"/>
        </w:rPr>
        <w:t>However, considerable effort is still required before such reporting becomes a well-established norm.</w:t>
      </w:r>
    </w:p>
    <w:p w:rsidR="0082772C" w:rsidRPr="006B4151" w:rsidRDefault="0082772C" w:rsidP="006B4151">
      <w:pPr>
        <w:spacing w:after="200" w:line="276" w:lineRule="auto"/>
        <w:contextualSpacing/>
        <w:rPr>
          <w:rFonts w:ascii="Franklin Gothic Book" w:hAnsi="Franklin Gothic Book"/>
          <w:sz w:val="21"/>
          <w:szCs w:val="21"/>
        </w:rPr>
      </w:pPr>
      <w:r w:rsidRPr="0082772C">
        <w:rPr>
          <w:rFonts w:ascii="Franklin Gothic Book" w:hAnsi="Franklin Gothic Book"/>
          <w:sz w:val="21"/>
          <w:szCs w:val="21"/>
        </w:rPr>
        <w:t xml:space="preserve">The UN Women Markets for Change and Safe Cities programs will improve market infrastructure, provide women market vendors with access to financial services and training, strengthen market vendor associations and work with local governments to improve market laws and policies.  </w:t>
      </w:r>
    </w:p>
    <w:p w:rsidR="000D733F" w:rsidRPr="001375E3" w:rsidRDefault="000D733F" w:rsidP="000D733F">
      <w:pPr>
        <w:pStyle w:val="Heading3"/>
        <w:rPr>
          <w:rStyle w:val="BodyTextChar"/>
          <w:b w:val="0"/>
          <w:color w:val="auto"/>
        </w:rPr>
      </w:pPr>
      <w:r w:rsidRPr="009E38C1">
        <w:rPr>
          <w:b w:val="0"/>
          <w:color w:val="007FAD"/>
          <w:sz w:val="28"/>
          <w:szCs w:val="28"/>
          <w:lang w:eastAsia="en-AU"/>
        </w:rPr>
        <w:t>Mutual Obligations</w:t>
      </w:r>
      <w:r w:rsidRPr="009E38C1">
        <w:rPr>
          <w:b w:val="0"/>
          <w:color w:val="007FAD"/>
          <w:sz w:val="32"/>
          <w:szCs w:val="32"/>
          <w:lang w:eastAsia="en-AU"/>
        </w:rPr>
        <w:tab/>
      </w:r>
      <w:r>
        <w:tab/>
      </w:r>
      <w:r>
        <w:tab/>
      </w:r>
      <w:r>
        <w:tab/>
      </w:r>
    </w:p>
    <w:p w:rsidR="00826A3F" w:rsidRPr="00826A3F" w:rsidRDefault="00826A3F" w:rsidP="00826A3F">
      <w:pPr>
        <w:pStyle w:val="ListBullet"/>
        <w:numPr>
          <w:ilvl w:val="0"/>
          <w:numId w:val="0"/>
        </w:numPr>
      </w:pPr>
      <w:r w:rsidRPr="00826A3F">
        <w:t xml:space="preserve">Mutual obligations have been established formally with the three major </w:t>
      </w:r>
      <w:r w:rsidR="00E62764">
        <w:t>PROs</w:t>
      </w:r>
      <w:r w:rsidRPr="00826A3F">
        <w:t xml:space="preserve"> (PIFS, SPC and USP) in Partnership Agreements negotiated and signed jointly in early 2014. These Agreements reflect a new way of doing business that is founded on mutual obligations. They set out how Australia will work with these organisations to address major regional development challenges in line with their specific mandates.</w:t>
      </w:r>
    </w:p>
    <w:p w:rsidR="00826A3F" w:rsidRPr="00826A3F" w:rsidRDefault="00826A3F" w:rsidP="00826A3F">
      <w:pPr>
        <w:pStyle w:val="ListBullet"/>
        <w:numPr>
          <w:ilvl w:val="0"/>
          <w:numId w:val="0"/>
        </w:numPr>
      </w:pPr>
      <w:r w:rsidRPr="00826A3F">
        <w:t xml:space="preserve">In each Agreement, Australia has committed to increasing the predictability and flexibility of its financing (by moving away from project-specific commitments to increased core and programmatic funding and by introducing multi-year indicative budgets). In return, the </w:t>
      </w:r>
      <w:r w:rsidR="00E62764">
        <w:t xml:space="preserve">PROs </w:t>
      </w:r>
      <w:r w:rsidRPr="00826A3F">
        <w:t xml:space="preserve">have committed to </w:t>
      </w:r>
      <w:r w:rsidR="001163BC" w:rsidRPr="00826A3F">
        <w:t>intens</w:t>
      </w:r>
      <w:r w:rsidR="001163BC">
        <w:t>ify</w:t>
      </w:r>
      <w:r w:rsidR="001163BC" w:rsidRPr="00826A3F">
        <w:t xml:space="preserve"> </w:t>
      </w:r>
      <w:r w:rsidRPr="00826A3F">
        <w:t>efforts to strengthen their strategic and corporate planning to improve their effectiveness, efficiency, and ability to report on outcomes they are achieving. Each Partnership Agreement includes a detailed Performance Assessment Framework specifying the results expected, and over what timeframe.</w:t>
      </w:r>
    </w:p>
    <w:p w:rsidR="00A44A28" w:rsidRPr="00A44A28" w:rsidRDefault="000D733F" w:rsidP="00A44A28">
      <w:pPr>
        <w:pStyle w:val="Heading3"/>
        <w:rPr>
          <w:b w:val="0"/>
          <w:sz w:val="32"/>
          <w:szCs w:val="32"/>
        </w:rPr>
      </w:pPr>
      <w:r w:rsidRPr="009E38C1">
        <w:rPr>
          <w:b w:val="0"/>
          <w:color w:val="007FAD"/>
          <w:sz w:val="28"/>
          <w:szCs w:val="28"/>
          <w:lang w:eastAsia="en-AU"/>
        </w:rPr>
        <w:t>Program Quality and Management</w:t>
      </w:r>
      <w:r w:rsidRPr="009E38C1">
        <w:rPr>
          <w:sz w:val="28"/>
          <w:szCs w:val="28"/>
        </w:rPr>
        <w:t xml:space="preserve"> </w:t>
      </w:r>
      <w:r w:rsidRPr="009E38C1">
        <w:rPr>
          <w:sz w:val="28"/>
          <w:szCs w:val="28"/>
        </w:rPr>
        <w:tab/>
      </w:r>
      <w:r>
        <w:tab/>
      </w:r>
    </w:p>
    <w:p w:rsidR="00A44A28" w:rsidRPr="006B2FD9" w:rsidRDefault="00767DA5" w:rsidP="006B2FD9">
      <w:pPr>
        <w:pStyle w:val="ListBullet"/>
        <w:numPr>
          <w:ilvl w:val="0"/>
          <w:numId w:val="0"/>
        </w:numPr>
      </w:pPr>
      <w:r>
        <w:t>The R</w:t>
      </w:r>
      <w:r w:rsidR="006A5155">
        <w:t>egional program’</w:t>
      </w:r>
      <w:r w:rsidR="00A44A28" w:rsidRPr="006B2FD9">
        <w:t xml:space="preserve">s </w:t>
      </w:r>
      <w:r w:rsidR="00A44A28" w:rsidRPr="00A44A28">
        <w:t>active planning for effective performance management of investments</w:t>
      </w:r>
      <w:r w:rsidR="00A44A28" w:rsidRPr="006B2FD9">
        <w:t xml:space="preserve"> has reduced the </w:t>
      </w:r>
      <w:r w:rsidR="00A44A28" w:rsidRPr="00A44A28">
        <w:t xml:space="preserve">number of ‘Investments Requiring Improvement’ from </w:t>
      </w:r>
      <w:r w:rsidR="001163BC">
        <w:t>9</w:t>
      </w:r>
      <w:r w:rsidR="001163BC" w:rsidRPr="006B2FD9">
        <w:t xml:space="preserve"> </w:t>
      </w:r>
      <w:r w:rsidR="00A44A28" w:rsidRPr="006B2FD9">
        <w:t xml:space="preserve">in 2011 to </w:t>
      </w:r>
      <w:r w:rsidR="001163BC">
        <w:t>2</w:t>
      </w:r>
      <w:r w:rsidR="001163BC" w:rsidRPr="006B2FD9">
        <w:t xml:space="preserve"> </w:t>
      </w:r>
      <w:r w:rsidR="00A44A28" w:rsidRPr="006B2FD9">
        <w:t xml:space="preserve">in 2014, </w:t>
      </w:r>
      <w:r w:rsidR="006A5155">
        <w:t>and</w:t>
      </w:r>
      <w:r w:rsidR="00A44A28" w:rsidRPr="006B2FD9">
        <w:t xml:space="preserve"> improved the use of the </w:t>
      </w:r>
      <w:r w:rsidR="00A44A28" w:rsidRPr="00A44A28">
        <w:t>Program Fund Plan in AidWorks to underpin program planning</w:t>
      </w:r>
      <w:r w:rsidR="00A44A28" w:rsidRPr="006B2FD9">
        <w:t xml:space="preserve"> and </w:t>
      </w:r>
      <w:r w:rsidR="006A5155">
        <w:t>improved AidWorks data quality.</w:t>
      </w:r>
      <w:r w:rsidR="00A44A28" w:rsidRPr="006B2FD9">
        <w:t xml:space="preserve"> In 2013</w:t>
      </w:r>
      <w:r w:rsidR="001163BC">
        <w:t>-</w:t>
      </w:r>
      <w:r w:rsidR="00EA550D">
        <w:t>1</w:t>
      </w:r>
      <w:r w:rsidR="00A44A28" w:rsidRPr="006B2FD9">
        <w:t>4</w:t>
      </w:r>
      <w:r w:rsidR="006A5155">
        <w:t>,</w:t>
      </w:r>
      <w:r w:rsidR="00A44A28" w:rsidRPr="006B2FD9">
        <w:t xml:space="preserve"> the program had a smooth expenditure profile, </w:t>
      </w:r>
      <w:r w:rsidR="00A44A28" w:rsidRPr="00A44A28">
        <w:t>reflecting sensible payment structures and enhanced ma</w:t>
      </w:r>
      <w:r w:rsidR="00A44A28" w:rsidRPr="006B2FD9">
        <w:t>nageability of the program.</w:t>
      </w:r>
    </w:p>
    <w:p w:rsidR="00A44A28" w:rsidRPr="002B159C" w:rsidRDefault="00767DA5" w:rsidP="006B2FD9">
      <w:pPr>
        <w:pStyle w:val="ListBullet"/>
        <w:numPr>
          <w:ilvl w:val="0"/>
          <w:numId w:val="0"/>
        </w:numPr>
      </w:pPr>
      <w:r>
        <w:t>The R</w:t>
      </w:r>
      <w:r w:rsidR="00A44A28" w:rsidRPr="006B2FD9">
        <w:t>egional program has made only modes</w:t>
      </w:r>
      <w:r w:rsidR="00097C65">
        <w:t>t progress towards consolidation</w:t>
      </w:r>
      <w:r w:rsidR="00A44A28" w:rsidRPr="006B2FD9">
        <w:t xml:space="preserve"> into fewer, larger investments and agreements. The 2012-13 APPR </w:t>
      </w:r>
      <w:r w:rsidR="001163BC" w:rsidRPr="006B2FD9">
        <w:t>recognise</w:t>
      </w:r>
      <w:r w:rsidR="001163BC">
        <w:t>d</w:t>
      </w:r>
      <w:r w:rsidR="001163BC" w:rsidRPr="006B2FD9">
        <w:t xml:space="preserve"> </w:t>
      </w:r>
      <w:r w:rsidR="00A44A28" w:rsidRPr="006B2FD9">
        <w:t xml:space="preserve">the need for further progress in </w:t>
      </w:r>
      <w:r w:rsidR="00A44A28" w:rsidRPr="006B2FD9">
        <w:lastRenderedPageBreak/>
        <w:t>this area. Consolidation is a particular challenge for the program given the nature of its engagement with a broad range of stakeholders.</w:t>
      </w:r>
    </w:p>
    <w:p w:rsidR="005D351A" w:rsidRPr="00024FC6" w:rsidRDefault="006B2FD9" w:rsidP="00024FC6">
      <w:pPr>
        <w:pStyle w:val="ListBullet"/>
        <w:numPr>
          <w:ilvl w:val="0"/>
          <w:numId w:val="0"/>
        </w:numPr>
      </w:pPr>
      <w:r>
        <w:t xml:space="preserve">The program has made </w:t>
      </w:r>
      <w:r w:rsidR="00024FC6">
        <w:t>significant</w:t>
      </w:r>
      <w:r w:rsidR="006A5155">
        <w:t xml:space="preserve"> progress in country-</w:t>
      </w:r>
      <w:r>
        <w:t>level reporting of both expend</w:t>
      </w:r>
      <w:r w:rsidR="006A5155">
        <w:t>iture and performance outcomes.</w:t>
      </w:r>
      <w:r>
        <w:t xml:space="preserve"> In 2013</w:t>
      </w:r>
      <w:r w:rsidR="006A5155">
        <w:t>,</w:t>
      </w:r>
      <w:r w:rsidR="00E62764">
        <w:t xml:space="preserve"> it undertook a</w:t>
      </w:r>
      <w:r>
        <w:t xml:space="preserve"> project to </w:t>
      </w:r>
      <w:r w:rsidR="002B159C">
        <w:t>c</w:t>
      </w:r>
      <w:r w:rsidR="00E72401" w:rsidRPr="002B159C">
        <w:t xml:space="preserve">ategorise all </w:t>
      </w:r>
      <w:r w:rsidR="00E62764">
        <w:t>r</w:t>
      </w:r>
      <w:r w:rsidR="00E72401" w:rsidRPr="002B159C">
        <w:t>egional initiatives for better reporting</w:t>
      </w:r>
      <w:r>
        <w:t xml:space="preserve"> and implement a range of structural changes to ensure greater regional and bilateral coherence</w:t>
      </w:r>
      <w:r w:rsidR="00E72401" w:rsidRPr="002B159C">
        <w:t>.</w:t>
      </w:r>
      <w:r>
        <w:t xml:space="preserve"> This has resulted in </w:t>
      </w:r>
      <w:r w:rsidR="00E62764">
        <w:t xml:space="preserve">the inclusion of </w:t>
      </w:r>
      <w:r>
        <w:t xml:space="preserve">country level annexes </w:t>
      </w:r>
      <w:r w:rsidR="00E62764">
        <w:t>in</w:t>
      </w:r>
      <w:r w:rsidR="00097C65">
        <w:t xml:space="preserve"> this</w:t>
      </w:r>
      <w:r>
        <w:t xml:space="preserve"> APPR.</w:t>
      </w:r>
    </w:p>
    <w:p w:rsidR="000D733F" w:rsidRPr="00180B19" w:rsidRDefault="000D733F" w:rsidP="000D733F">
      <w:pPr>
        <w:pStyle w:val="Heading3"/>
      </w:pPr>
      <w:r>
        <w:t xml:space="preserve">Analysis of </w:t>
      </w:r>
      <w:r w:rsidRPr="00180B19">
        <w:t xml:space="preserve">Quality at Implementation </w:t>
      </w:r>
      <w:r>
        <w:t xml:space="preserve">Reports </w:t>
      </w:r>
    </w:p>
    <w:p w:rsidR="00A44A28" w:rsidRPr="00A31167" w:rsidRDefault="00A44A28" w:rsidP="006B2FD9">
      <w:pPr>
        <w:pStyle w:val="BodyText"/>
      </w:pPr>
      <w:r>
        <w:t>Ninety-eight per cent of QAIs were completed by the due date, compared with 83 per cent in 2012. All QAIs were moderated. This increased complian</w:t>
      </w:r>
      <w:r w:rsidR="00E62764">
        <w:t>ce and comprehensive moderation</w:t>
      </w:r>
      <w:r>
        <w:t xml:space="preserve"> indicates an increasingly embedded QAI process for the program. </w:t>
      </w:r>
      <w:r w:rsidRPr="00A44A28">
        <w:rPr>
          <w:rFonts w:eastAsiaTheme="minorHAnsi"/>
          <w:lang w:eastAsia="en-AU"/>
        </w:rPr>
        <w:t xml:space="preserve">Ratings for the 2013 QAI round show that 87 per cent of investments were rated as effective overall, consistent with whole-of-aid-program performance. Seventy-seven per cent of all ratings across all criteria were satisfactory (4, 5 or 6) – a slightly larger diversity in satisfactory and unsatisfactory ratings than the Pacific Division or the Department as a whole. </w:t>
      </w:r>
    </w:p>
    <w:p w:rsidR="00A44A28" w:rsidRDefault="00A44A28" w:rsidP="006B2FD9">
      <w:pPr>
        <w:pStyle w:val="BodyText"/>
        <w:rPr>
          <w:rFonts w:eastAsiaTheme="minorHAnsi"/>
          <w:lang w:eastAsia="en-AU"/>
        </w:rPr>
      </w:pPr>
      <w:r w:rsidRPr="00A44A28">
        <w:rPr>
          <w:rFonts w:eastAsiaTheme="minorHAnsi"/>
          <w:lang w:eastAsia="en-AU"/>
        </w:rPr>
        <w:t>Ratings against all criteria improved from 2012 ratings, except for monitoring and evaluation (M&amp;E) which saw a 10 per cent decrease in satisfactory ratings</w:t>
      </w:r>
      <w:r w:rsidR="00E62764">
        <w:rPr>
          <w:rFonts w:eastAsiaTheme="minorHAnsi"/>
          <w:lang w:eastAsia="en-AU"/>
        </w:rPr>
        <w:t>,</w:t>
      </w:r>
      <w:r w:rsidR="006B2FD9">
        <w:rPr>
          <w:rFonts w:eastAsiaTheme="minorHAnsi"/>
          <w:lang w:eastAsia="en-AU"/>
        </w:rPr>
        <w:t xml:space="preserve"> attributed to </w:t>
      </w:r>
      <w:r w:rsidR="00E62764">
        <w:rPr>
          <w:rFonts w:eastAsiaTheme="minorHAnsi"/>
          <w:lang w:eastAsia="en-AU"/>
        </w:rPr>
        <w:t xml:space="preserve">the </w:t>
      </w:r>
      <w:r w:rsidR="006B2FD9">
        <w:rPr>
          <w:rFonts w:eastAsiaTheme="minorHAnsi"/>
          <w:lang w:eastAsia="en-AU"/>
        </w:rPr>
        <w:t xml:space="preserve">improved </w:t>
      </w:r>
      <w:r w:rsidR="00E62764">
        <w:rPr>
          <w:rFonts w:eastAsiaTheme="minorHAnsi"/>
          <w:lang w:eastAsia="en-AU"/>
        </w:rPr>
        <w:t>skills of</w:t>
      </w:r>
      <w:r w:rsidR="006B2FD9">
        <w:rPr>
          <w:rFonts w:eastAsiaTheme="minorHAnsi"/>
          <w:lang w:eastAsia="en-AU"/>
        </w:rPr>
        <w:t xml:space="preserve"> program managers to</w:t>
      </w:r>
      <w:r w:rsidR="00024FC6">
        <w:rPr>
          <w:rFonts w:eastAsiaTheme="minorHAnsi"/>
          <w:lang w:eastAsia="en-AU"/>
        </w:rPr>
        <w:t xml:space="preserve"> assess M&amp;E systems effectively against DFAT standards</w:t>
      </w:r>
      <w:r w:rsidRPr="00A44A28">
        <w:rPr>
          <w:rFonts w:eastAsiaTheme="minorHAnsi"/>
          <w:lang w:eastAsia="en-AU"/>
        </w:rPr>
        <w:t xml:space="preserve">. The most significant increases were in sustainability (from 80 to 85 per cent) and gender equality (from 59 to 64 per cent). </w:t>
      </w:r>
    </w:p>
    <w:p w:rsidR="00A44A28" w:rsidRDefault="00A44A28" w:rsidP="00024FC6">
      <w:pPr>
        <w:pStyle w:val="BodyText"/>
      </w:pPr>
      <w:r>
        <w:t xml:space="preserve">The program had two investments (INJ927 Pacific Adaptation to Climate Change Project (PACC); INJ261 Scholarships French Collectives) on the ‘initiatives requiring improvement’ (IRI) list </w:t>
      </w:r>
      <w:r w:rsidR="00E62764">
        <w:t xml:space="preserve">in </w:t>
      </w:r>
      <w:r>
        <w:t xml:space="preserve">2013. A remediation plan for PACC was approved in November 2013, and the investment showed improvement in the 2013 QAI round. </w:t>
      </w:r>
    </w:p>
    <w:p w:rsidR="00A44A28" w:rsidRDefault="00A44A28" w:rsidP="00024FC6">
      <w:pPr>
        <w:pStyle w:val="BodyText"/>
      </w:pPr>
      <w:r w:rsidRPr="00A31167">
        <w:t>The new performance framework for the aid program includes two high-level targets that will be monitored thro</w:t>
      </w:r>
      <w:r w:rsidR="006A5155">
        <w:t>ugh QAI ratings: 1. to ‘deliver</w:t>
      </w:r>
      <w:r w:rsidRPr="00A31167">
        <w:t xml:space="preserve"> high standards of value for money in at least 85 per cent of aid investments’; and 2. that ‘more than 80 per cent of investment</w:t>
      </w:r>
      <w:r w:rsidR="006A5155">
        <w:t>s</w:t>
      </w:r>
      <w:r w:rsidRPr="00A31167">
        <w:t xml:space="preserve">, regardless of their objectives, will effectively address gender issues in their implementation’. </w:t>
      </w:r>
      <w:r w:rsidRPr="00024FC6">
        <w:t xml:space="preserve">The </w:t>
      </w:r>
      <w:r w:rsidR="00E62764">
        <w:t>Pacific R</w:t>
      </w:r>
      <w:r>
        <w:t>egional program’s current performance against both these targets</w:t>
      </w:r>
      <w:r w:rsidR="006A5155">
        <w:t xml:space="preserve"> is that:</w:t>
      </w:r>
      <w:r w:rsidR="00024FC6">
        <w:t xml:space="preserve"> </w:t>
      </w:r>
      <w:r>
        <w:t xml:space="preserve">1. In 2013, 85 per cent of investments were </w:t>
      </w:r>
      <w:r w:rsidRPr="00024FC6">
        <w:t>rated</w:t>
      </w:r>
      <w:r>
        <w:t xml:space="preserve"> as effective, </w:t>
      </w:r>
      <w:r w:rsidR="006A5155">
        <w:t>and 81 per cent were efficient.</w:t>
      </w:r>
      <w:r w:rsidR="00024FC6">
        <w:t xml:space="preserve"> </w:t>
      </w:r>
      <w:r>
        <w:t xml:space="preserve">2. In 2013, 64 per cent of investments effectively addressed gender issues. </w:t>
      </w:r>
    </w:p>
    <w:p w:rsidR="000D733F" w:rsidRDefault="000D733F" w:rsidP="00A44A28">
      <w:pPr>
        <w:pStyle w:val="Heading3"/>
      </w:pPr>
      <w:r>
        <w:t xml:space="preserve">Performance </w:t>
      </w:r>
      <w:r w:rsidR="004F4630">
        <w:t>of key delivery partners</w:t>
      </w:r>
    </w:p>
    <w:p w:rsidR="00024FC6" w:rsidRPr="00024FC6" w:rsidRDefault="00024FC6" w:rsidP="00024FC6">
      <w:pPr>
        <w:pStyle w:val="BodyText"/>
        <w:rPr>
          <w:rFonts w:eastAsiaTheme="minorHAnsi"/>
          <w:lang w:eastAsia="en-AU"/>
        </w:rPr>
      </w:pPr>
      <w:r>
        <w:t xml:space="preserve">The Pacific Regional program’s partner profile has remained very consistent, being highly concentrated across two partner categories: multilateral organisations and regional organisations. This reflects the program’s core business of engaging with influential institutions and organisations in the region, and brokering relationships between other Australian government agencies and the region. </w:t>
      </w:r>
      <w:r w:rsidRPr="00024FC6">
        <w:rPr>
          <w:rFonts w:eastAsiaTheme="minorHAnsi"/>
          <w:lang w:eastAsia="en-AU"/>
        </w:rPr>
        <w:t xml:space="preserve">This dispersion mitigates risks associated with performance and/or relationship vulnerabilities typically associated with a highly-concentrated partner profile. </w:t>
      </w:r>
    </w:p>
    <w:p w:rsidR="005C4615" w:rsidRPr="005023D9" w:rsidRDefault="005C4615" w:rsidP="00024FC6">
      <w:pPr>
        <w:pStyle w:val="BodyText"/>
        <w:rPr>
          <w:lang w:eastAsia="zh-CN"/>
        </w:rPr>
      </w:pPr>
      <w:r>
        <w:t>Australia will continue to use its support to ensure multilateral agencies are increasing dono</w:t>
      </w:r>
      <w:r w:rsidR="00097C65">
        <w:t xml:space="preserve">r harmonisation opportunities. </w:t>
      </w:r>
      <w:r>
        <w:t xml:space="preserve">For example, using a new multi-donor trust account modality for </w:t>
      </w:r>
      <w:r w:rsidR="00097C65">
        <w:t xml:space="preserve">PFIP </w:t>
      </w:r>
      <w:r>
        <w:t>has resulted in better donor harmonisation with New Zealand.</w:t>
      </w:r>
      <w:r w:rsidR="00A678EA">
        <w:t xml:space="preserve"> UN ‘delivering as one’ is unfinished business in the Pacific. Australia will lobby extensively to get better results from the UN</w:t>
      </w:r>
      <w:r w:rsidR="00097C65">
        <w:t>,</w:t>
      </w:r>
      <w:r w:rsidR="00A678EA">
        <w:t xml:space="preserve"> reducing fragmentation across its development agencies.</w:t>
      </w:r>
    </w:p>
    <w:p w:rsidR="000D733F" w:rsidRDefault="000D733F" w:rsidP="000D733F">
      <w:pPr>
        <w:pStyle w:val="Heading3"/>
      </w:pPr>
      <w:r>
        <w:t>Risks</w:t>
      </w:r>
    </w:p>
    <w:p w:rsidR="000D733F" w:rsidRDefault="000D733F" w:rsidP="00156328">
      <w:pPr>
        <w:pStyle w:val="Caption"/>
      </w:pPr>
      <w:r>
        <w:lastRenderedPageBreak/>
        <w:t>Table 3 Management of key risks to achieving objectives</w:t>
      </w:r>
    </w:p>
    <w:tbl>
      <w:tblPr>
        <w:tblStyle w:val="APPR"/>
        <w:tblW w:w="5000" w:type="pct"/>
        <w:tblLook w:val="0600" w:firstRow="0" w:lastRow="0" w:firstColumn="0" w:lastColumn="0" w:noHBand="1" w:noVBand="1"/>
      </w:tblPr>
      <w:tblGrid>
        <w:gridCol w:w="2529"/>
        <w:gridCol w:w="3082"/>
        <w:gridCol w:w="3166"/>
      </w:tblGrid>
      <w:tr w:rsidR="000D733F" w:rsidRPr="00180B19" w:rsidTr="006A5155">
        <w:tc>
          <w:tcPr>
            <w:tcW w:w="2487" w:type="dxa"/>
            <w:hideMark/>
          </w:tcPr>
          <w:p w:rsidR="000D733F" w:rsidRPr="005023D9" w:rsidRDefault="000D733F" w:rsidP="000D733F">
            <w:pPr>
              <w:pStyle w:val="TableTextColumnHeading"/>
            </w:pPr>
            <w:r w:rsidRPr="005023D9">
              <w:t>Key risks</w:t>
            </w:r>
          </w:p>
        </w:tc>
        <w:tc>
          <w:tcPr>
            <w:tcW w:w="3054" w:type="dxa"/>
          </w:tcPr>
          <w:p w:rsidR="000D733F" w:rsidRPr="005023D9" w:rsidRDefault="000D733F" w:rsidP="000D733F">
            <w:pPr>
              <w:pStyle w:val="TableTextColumnHeading"/>
            </w:pPr>
            <w:r w:rsidRPr="005023D9">
              <w:t>What actions were taken to manage the risks over the past year</w:t>
            </w:r>
            <w:r w:rsidR="001D7E98">
              <w:t>?</w:t>
            </w:r>
          </w:p>
        </w:tc>
        <w:tc>
          <w:tcPr>
            <w:tcW w:w="3124" w:type="dxa"/>
          </w:tcPr>
          <w:p w:rsidR="000D733F" w:rsidRPr="005023D9" w:rsidRDefault="000D733F" w:rsidP="000D733F">
            <w:pPr>
              <w:pStyle w:val="TableTextColumnHeading"/>
            </w:pPr>
            <w:r w:rsidRPr="005023D9">
              <w:t>What further actions will be taken to manage the risks in the coming year</w:t>
            </w:r>
            <w:r w:rsidR="001D7E98">
              <w:t>?</w:t>
            </w:r>
          </w:p>
        </w:tc>
      </w:tr>
      <w:tr w:rsidR="006A5155" w:rsidRPr="00180B19" w:rsidTr="006A5155">
        <w:tc>
          <w:tcPr>
            <w:tcW w:w="2487" w:type="dxa"/>
            <w:hideMark/>
          </w:tcPr>
          <w:p w:rsidR="006A5155" w:rsidRPr="004C4A3E" w:rsidRDefault="006A5155" w:rsidP="00767DA5">
            <w:pPr>
              <w:pStyle w:val="TableTextEntries"/>
            </w:pPr>
            <w:r>
              <w:t xml:space="preserve">PROs and multilateral organisations do not implement reforms and improve effectiveness </w:t>
            </w:r>
          </w:p>
        </w:tc>
        <w:tc>
          <w:tcPr>
            <w:tcW w:w="3054" w:type="dxa"/>
          </w:tcPr>
          <w:p w:rsidR="006A5155" w:rsidRPr="004C4A3E" w:rsidRDefault="006A5155" w:rsidP="00FF49AD">
            <w:pPr>
              <w:pStyle w:val="TableTextEntries"/>
            </w:pPr>
            <w:r>
              <w:t>Performance benchmarks have been built into multi-year funding agreements.</w:t>
            </w:r>
          </w:p>
        </w:tc>
        <w:tc>
          <w:tcPr>
            <w:tcW w:w="3124" w:type="dxa"/>
          </w:tcPr>
          <w:p w:rsidR="006A5155" w:rsidRPr="004C4A3E" w:rsidRDefault="006A5155" w:rsidP="00767DA5">
            <w:pPr>
              <w:pStyle w:val="TableTextEntries"/>
            </w:pPr>
            <w:r>
              <w:t xml:space="preserve">DFAT will continue to work with </w:t>
            </w:r>
            <w:r w:rsidR="00767DA5">
              <w:t>PROs</w:t>
            </w:r>
            <w:r>
              <w:t xml:space="preserve"> and multilaterals </w:t>
            </w:r>
            <w:r w:rsidR="00767DA5">
              <w:t xml:space="preserve">to </w:t>
            </w:r>
            <w:r w:rsidRPr="009B0E36">
              <w:t>support</w:t>
            </w:r>
            <w:r>
              <w:t xml:space="preserve"> their reform agendas </w:t>
            </w:r>
            <w:r w:rsidR="00767DA5">
              <w:t>and</w:t>
            </w:r>
            <w:r w:rsidRPr="009B0E36">
              <w:t xml:space="preserve"> improve their accountability and effectiveness.</w:t>
            </w:r>
          </w:p>
        </w:tc>
      </w:tr>
      <w:tr w:rsidR="006A5155" w:rsidRPr="00180B19" w:rsidTr="006A5155">
        <w:tc>
          <w:tcPr>
            <w:tcW w:w="2487" w:type="dxa"/>
            <w:hideMark/>
          </w:tcPr>
          <w:p w:rsidR="006A5155" w:rsidRPr="004C4A3E" w:rsidRDefault="006A5155" w:rsidP="00FF49AD">
            <w:pPr>
              <w:pStyle w:val="TableTextEntries"/>
            </w:pPr>
            <w:r>
              <w:t>Regional and bilateral programs exhibit poor coordination and cooperation</w:t>
            </w:r>
          </w:p>
        </w:tc>
        <w:tc>
          <w:tcPr>
            <w:tcW w:w="3054" w:type="dxa"/>
          </w:tcPr>
          <w:p w:rsidR="006A5155" w:rsidRPr="004C4A3E" w:rsidRDefault="006A5155" w:rsidP="00FF49AD">
            <w:pPr>
              <w:pStyle w:val="TableTextEntries"/>
            </w:pPr>
            <w:r>
              <w:t>Regional program provided results information to bilateral managers and established some cost sharing arrangements.</w:t>
            </w:r>
          </w:p>
        </w:tc>
        <w:tc>
          <w:tcPr>
            <w:tcW w:w="3124" w:type="dxa"/>
          </w:tcPr>
          <w:p w:rsidR="006A5155" w:rsidRPr="004C4A3E" w:rsidRDefault="006A5155" w:rsidP="00767DA5">
            <w:pPr>
              <w:pStyle w:val="TableTextEntries"/>
            </w:pPr>
            <w:r>
              <w:t xml:space="preserve">Regional program will continue to work with bilateral programs to ensure coordination and cooperation. Annexes </w:t>
            </w:r>
            <w:r w:rsidR="00097C65">
              <w:t>on</w:t>
            </w:r>
            <w:r>
              <w:t xml:space="preserve"> bilateral programs will continue to be </w:t>
            </w:r>
            <w:r w:rsidR="00097C65">
              <w:t>included in the</w:t>
            </w:r>
            <w:r>
              <w:t xml:space="preserve"> APPR.</w:t>
            </w:r>
          </w:p>
        </w:tc>
      </w:tr>
      <w:tr w:rsidR="006A5155" w:rsidRPr="00180B19" w:rsidTr="006A5155">
        <w:tc>
          <w:tcPr>
            <w:tcW w:w="2487" w:type="dxa"/>
          </w:tcPr>
          <w:p w:rsidR="006A5155" w:rsidRPr="004C4A3E" w:rsidRDefault="006A5155" w:rsidP="00FF49AD">
            <w:pPr>
              <w:pStyle w:val="TableTextEntries"/>
            </w:pPr>
            <w:r>
              <w:t>Over-programming and continued proliferation of initiatives</w:t>
            </w:r>
          </w:p>
        </w:tc>
        <w:tc>
          <w:tcPr>
            <w:tcW w:w="3054" w:type="dxa"/>
          </w:tcPr>
          <w:p w:rsidR="006A5155" w:rsidRPr="004C4A3E" w:rsidRDefault="001163BC" w:rsidP="00FF49AD">
            <w:pPr>
              <w:pStyle w:val="TableTextEntries"/>
            </w:pPr>
            <w:r>
              <w:t xml:space="preserve">The </w:t>
            </w:r>
            <w:r w:rsidR="006A5155">
              <w:t xml:space="preserve">2013 budget critical review team presented Pacific Division Executive with </w:t>
            </w:r>
            <w:r>
              <w:t xml:space="preserve">a </w:t>
            </w:r>
            <w:r w:rsidR="006A5155">
              <w:t xml:space="preserve">plan for restructuring and consolidating the budget. Senior managers to closely scrutinise initiative approvals. Delivery strategies to drive purposeful program consolidation. </w:t>
            </w:r>
          </w:p>
        </w:tc>
        <w:tc>
          <w:tcPr>
            <w:tcW w:w="3124" w:type="dxa"/>
          </w:tcPr>
          <w:p w:rsidR="006A5155" w:rsidRPr="004C4A3E" w:rsidRDefault="006A5155" w:rsidP="00FF49AD">
            <w:pPr>
              <w:pStyle w:val="TableTextEntries"/>
            </w:pPr>
            <w:r>
              <w:t xml:space="preserve">Further work on initiative consolidation will be done, in line with delivery strategies and the new Aid Investment Plan.  </w:t>
            </w:r>
          </w:p>
        </w:tc>
      </w:tr>
      <w:tr w:rsidR="006A5155" w:rsidRPr="00180B19" w:rsidTr="006A5155">
        <w:tc>
          <w:tcPr>
            <w:tcW w:w="2487" w:type="dxa"/>
          </w:tcPr>
          <w:p w:rsidR="006A5155" w:rsidRPr="004C4A3E" w:rsidRDefault="006A5155" w:rsidP="00FF49AD">
            <w:pPr>
              <w:pStyle w:val="TableTextEntries"/>
            </w:pPr>
            <w:r>
              <w:t>Pacific Regional Branch is not adequately resourced to managed its existing programming</w:t>
            </w:r>
          </w:p>
        </w:tc>
        <w:tc>
          <w:tcPr>
            <w:tcW w:w="3054" w:type="dxa"/>
          </w:tcPr>
          <w:p w:rsidR="006A5155" w:rsidRPr="004C4A3E" w:rsidRDefault="006A5155" w:rsidP="00FF49AD">
            <w:pPr>
              <w:pStyle w:val="TableTextEntries"/>
            </w:pPr>
            <w:r>
              <w:t xml:space="preserve">The Regional branch has focussed on ensuring that sections/Posts with particularly high workloads and/or staff losses are receiving assistance from other sections to manage their programs. </w:t>
            </w:r>
          </w:p>
        </w:tc>
        <w:tc>
          <w:tcPr>
            <w:tcW w:w="3124" w:type="dxa"/>
          </w:tcPr>
          <w:p w:rsidR="006A5155" w:rsidRPr="004C4A3E" w:rsidRDefault="006A5155" w:rsidP="00FF49AD">
            <w:pPr>
              <w:pStyle w:val="TableTextEntries"/>
            </w:pPr>
            <w:r>
              <w:t>Further placement rounds will be required to attract staff from other branches and divisions to enable the branch to attain its FTE quota.</w:t>
            </w:r>
          </w:p>
        </w:tc>
      </w:tr>
    </w:tbl>
    <w:p w:rsidR="00A44A28" w:rsidRPr="006B4151" w:rsidRDefault="000D733F" w:rsidP="006B4151">
      <w:pPr>
        <w:pStyle w:val="Heading3"/>
        <w:rPr>
          <w:rFonts w:ascii="Franklin Gothic Book" w:hAnsi="Franklin Gothic Book" w:cs="Times New Roman"/>
          <w:b w:val="0"/>
          <w:color w:val="auto"/>
          <w:sz w:val="21"/>
          <w:szCs w:val="24"/>
        </w:rPr>
      </w:pPr>
      <w:r w:rsidRPr="009E38C1">
        <w:rPr>
          <w:b w:val="0"/>
          <w:color w:val="007FAD"/>
          <w:sz w:val="32"/>
          <w:szCs w:val="32"/>
          <w:lang w:eastAsia="en-AU"/>
        </w:rPr>
        <w:t xml:space="preserve">Management </w:t>
      </w:r>
      <w:r w:rsidR="00805ADD" w:rsidRPr="009E38C1">
        <w:rPr>
          <w:b w:val="0"/>
          <w:color w:val="007FAD"/>
          <w:sz w:val="32"/>
          <w:szCs w:val="32"/>
          <w:lang w:eastAsia="en-AU"/>
        </w:rPr>
        <w:t>Responses</w:t>
      </w:r>
      <w:r w:rsidRPr="009E38C1">
        <w:rPr>
          <w:b w:val="0"/>
          <w:color w:val="007FAD"/>
          <w:sz w:val="32"/>
          <w:szCs w:val="32"/>
          <w:lang w:eastAsia="en-AU"/>
        </w:rPr>
        <w:tab/>
      </w:r>
      <w:r>
        <w:rPr>
          <w:sz w:val="32"/>
          <w:szCs w:val="32"/>
        </w:rPr>
        <w:tab/>
      </w:r>
    </w:p>
    <w:p w:rsidR="00A44A28" w:rsidRDefault="00A678EA" w:rsidP="00A44A28">
      <w:pPr>
        <w:pStyle w:val="BodyText"/>
        <w:rPr>
          <w:rFonts w:eastAsiaTheme="minorHAnsi"/>
          <w:lang w:eastAsia="en-AU"/>
        </w:rPr>
      </w:pPr>
      <w:r>
        <w:rPr>
          <w:rFonts w:eastAsiaTheme="minorHAnsi"/>
          <w:bCs/>
          <w:lang w:eastAsia="en-AU"/>
        </w:rPr>
        <w:t>In 2014/15</w:t>
      </w:r>
      <w:r w:rsidR="001A70D5">
        <w:rPr>
          <w:rFonts w:eastAsiaTheme="minorHAnsi"/>
          <w:bCs/>
          <w:lang w:eastAsia="en-AU"/>
        </w:rPr>
        <w:t>,</w:t>
      </w:r>
      <w:r w:rsidR="00767DA5">
        <w:rPr>
          <w:rFonts w:eastAsiaTheme="minorHAnsi"/>
          <w:bCs/>
          <w:lang w:eastAsia="en-AU"/>
        </w:rPr>
        <w:t xml:space="preserve"> the R</w:t>
      </w:r>
      <w:r>
        <w:rPr>
          <w:rFonts w:eastAsiaTheme="minorHAnsi"/>
          <w:bCs/>
          <w:lang w:eastAsia="en-AU"/>
        </w:rPr>
        <w:t xml:space="preserve">egional program will focus on </w:t>
      </w:r>
      <w:r>
        <w:rPr>
          <w:rFonts w:eastAsiaTheme="minorHAnsi"/>
          <w:b/>
          <w:bCs/>
          <w:lang w:eastAsia="en-AU"/>
        </w:rPr>
        <w:t>i</w:t>
      </w:r>
      <w:r w:rsidR="00A44A28" w:rsidRPr="00A44A28">
        <w:rPr>
          <w:rFonts w:eastAsiaTheme="minorHAnsi"/>
          <w:b/>
          <w:bCs/>
          <w:lang w:eastAsia="en-AU"/>
        </w:rPr>
        <w:t xml:space="preserve">mplementing the government’s aid policy, </w:t>
      </w:r>
      <w:r w:rsidR="00A44A28" w:rsidRPr="00A44A28">
        <w:rPr>
          <w:rFonts w:eastAsiaTheme="minorHAnsi"/>
          <w:lang w:eastAsia="en-AU"/>
        </w:rPr>
        <w:t>particular</w:t>
      </w:r>
      <w:r w:rsidR="001163BC">
        <w:rPr>
          <w:rFonts w:eastAsiaTheme="minorHAnsi"/>
          <w:lang w:eastAsia="en-AU"/>
        </w:rPr>
        <w:t>ly</w:t>
      </w:r>
      <w:r w:rsidR="00A44A28" w:rsidRPr="00A44A28">
        <w:rPr>
          <w:rFonts w:eastAsiaTheme="minorHAnsi"/>
          <w:lang w:eastAsia="en-AU"/>
        </w:rPr>
        <w:t xml:space="preserve"> in relation to the ten strategic targets set for the aid program. Being DFAT’s third largest aid program, the Pacific Regional program will be expected to make a significant and proportional contribution to achieving the targets set for the </w:t>
      </w:r>
      <w:r w:rsidR="005754A8">
        <w:rPr>
          <w:rFonts w:eastAsiaTheme="minorHAnsi"/>
          <w:lang w:eastAsia="en-AU"/>
        </w:rPr>
        <w:t>D</w:t>
      </w:r>
      <w:r w:rsidR="00A44A28" w:rsidRPr="00A44A28">
        <w:rPr>
          <w:rFonts w:eastAsiaTheme="minorHAnsi"/>
          <w:lang w:eastAsia="en-AU"/>
        </w:rPr>
        <w:t>epartment. This will require concerted effort in the areas of consolidation and performance management, and an increased focus on gender issues</w:t>
      </w:r>
      <w:r w:rsidR="00A44A28">
        <w:rPr>
          <w:rFonts w:eastAsiaTheme="minorHAnsi"/>
          <w:lang w:eastAsia="en-AU"/>
        </w:rPr>
        <w:t xml:space="preserve"> and aid-for-trade investments.</w:t>
      </w:r>
    </w:p>
    <w:p w:rsidR="00A678EA" w:rsidRDefault="00A44A28" w:rsidP="00A44A28">
      <w:pPr>
        <w:pStyle w:val="BodyText"/>
        <w:rPr>
          <w:rFonts w:eastAsiaTheme="minorHAnsi"/>
          <w:lang w:eastAsia="en-AU"/>
        </w:rPr>
      </w:pPr>
      <w:r w:rsidRPr="00A44A28">
        <w:rPr>
          <w:rFonts w:eastAsiaTheme="minorHAnsi"/>
          <w:lang w:eastAsia="en-AU"/>
        </w:rPr>
        <w:t xml:space="preserve">Related to the above, there is a critical need for the Aid Investment Plan currently under development to establish a set of </w:t>
      </w:r>
      <w:r w:rsidRPr="00A44A28">
        <w:rPr>
          <w:rFonts w:eastAsiaTheme="minorHAnsi"/>
          <w:b/>
          <w:bCs/>
          <w:lang w:eastAsia="en-AU"/>
        </w:rPr>
        <w:t xml:space="preserve">clear and specific strategic objectives </w:t>
      </w:r>
      <w:r w:rsidRPr="00A44A28">
        <w:rPr>
          <w:rFonts w:eastAsiaTheme="minorHAnsi"/>
          <w:lang w:eastAsia="en-AU"/>
        </w:rPr>
        <w:t xml:space="preserve">for the program, through which the program can shore-up alignment with the new aid policy framework, and against which program effectiveness can be robustly assessed. </w:t>
      </w:r>
    </w:p>
    <w:p w:rsidR="00A44A28" w:rsidRPr="00A678EA" w:rsidRDefault="00A678EA" w:rsidP="00A44A28">
      <w:pPr>
        <w:pStyle w:val="BodyText"/>
        <w:rPr>
          <w:rFonts w:eastAsiaTheme="minorHAnsi"/>
          <w:bCs/>
          <w:lang w:eastAsia="en-AU"/>
        </w:rPr>
      </w:pPr>
      <w:r>
        <w:rPr>
          <w:rFonts w:eastAsiaTheme="minorHAnsi"/>
          <w:bCs/>
          <w:lang w:eastAsia="en-AU"/>
        </w:rPr>
        <w:t>While much progress has been made, Australia will continue to e</w:t>
      </w:r>
      <w:r w:rsidRPr="00A678EA">
        <w:rPr>
          <w:rFonts w:eastAsiaTheme="minorHAnsi"/>
          <w:bCs/>
          <w:lang w:eastAsia="en-AU"/>
        </w:rPr>
        <w:t xml:space="preserve">nhance the way regional programs </w:t>
      </w:r>
      <w:r w:rsidRPr="00A678EA">
        <w:rPr>
          <w:rFonts w:eastAsiaTheme="minorHAnsi"/>
          <w:b/>
          <w:bCs/>
          <w:lang w:eastAsia="en-AU"/>
        </w:rPr>
        <w:t xml:space="preserve">intersect with bilateral programs </w:t>
      </w:r>
      <w:r w:rsidRPr="00A678EA">
        <w:rPr>
          <w:rFonts w:eastAsiaTheme="minorHAnsi"/>
          <w:bCs/>
          <w:lang w:eastAsia="en-AU"/>
        </w:rPr>
        <w:t>bringing to the fore the principles of aid effectiveness, including alignment to country-level priorities.</w:t>
      </w:r>
      <w:r>
        <w:rPr>
          <w:rFonts w:eastAsiaTheme="minorHAnsi"/>
          <w:bCs/>
          <w:lang w:eastAsia="en-AU"/>
        </w:rPr>
        <w:t xml:space="preserve">  Structural changes will be implemented in 2014</w:t>
      </w:r>
      <w:r w:rsidR="001163BC">
        <w:rPr>
          <w:rFonts w:eastAsiaTheme="minorHAnsi"/>
          <w:bCs/>
          <w:lang w:eastAsia="en-AU"/>
        </w:rPr>
        <w:t>-</w:t>
      </w:r>
      <w:r>
        <w:rPr>
          <w:rFonts w:eastAsiaTheme="minorHAnsi"/>
          <w:bCs/>
          <w:lang w:eastAsia="en-AU"/>
        </w:rPr>
        <w:t>15 to improve regional/bilateral coherence at the country level.</w:t>
      </w:r>
    </w:p>
    <w:p w:rsidR="00A678EA" w:rsidRDefault="00A678EA" w:rsidP="00A44A28">
      <w:pPr>
        <w:pStyle w:val="BodyText"/>
        <w:rPr>
          <w:rFonts w:eastAsiaTheme="minorHAnsi"/>
          <w:bCs/>
          <w:lang w:eastAsia="en-AU"/>
        </w:rPr>
      </w:pPr>
      <w:r>
        <w:rPr>
          <w:rFonts w:eastAsiaTheme="minorHAnsi"/>
          <w:bCs/>
          <w:lang w:eastAsia="en-AU"/>
        </w:rPr>
        <w:t xml:space="preserve">Management will maintain a strong focus on </w:t>
      </w:r>
      <w:r w:rsidRPr="00A678EA">
        <w:rPr>
          <w:rFonts w:eastAsiaTheme="minorHAnsi"/>
          <w:bCs/>
          <w:lang w:eastAsia="en-AU"/>
        </w:rPr>
        <w:t>the integration of crosscutting issues, such a</w:t>
      </w:r>
      <w:r w:rsidR="001163BC">
        <w:rPr>
          <w:rFonts w:eastAsiaTheme="minorHAnsi"/>
          <w:bCs/>
          <w:lang w:eastAsia="en-AU"/>
        </w:rPr>
        <w:t>s</w:t>
      </w:r>
      <w:r w:rsidRPr="00A678EA">
        <w:rPr>
          <w:rFonts w:eastAsiaTheme="minorHAnsi"/>
          <w:bCs/>
          <w:lang w:eastAsia="en-AU"/>
        </w:rPr>
        <w:t xml:space="preserve"> </w:t>
      </w:r>
      <w:r w:rsidR="00CA7A13">
        <w:rPr>
          <w:rFonts w:eastAsiaTheme="minorHAnsi"/>
          <w:b/>
          <w:bCs/>
          <w:lang w:eastAsia="en-AU"/>
        </w:rPr>
        <w:t>gender equality, disability inclusive development and disaster resilience</w:t>
      </w:r>
      <w:r w:rsidRPr="00A678EA">
        <w:rPr>
          <w:rFonts w:eastAsiaTheme="minorHAnsi"/>
          <w:bCs/>
          <w:lang w:eastAsia="en-AU"/>
        </w:rPr>
        <w:t>, into design, implementati</w:t>
      </w:r>
      <w:r w:rsidR="00767DA5">
        <w:rPr>
          <w:rFonts w:eastAsiaTheme="minorHAnsi"/>
          <w:bCs/>
          <w:lang w:eastAsia="en-AU"/>
        </w:rPr>
        <w:t>on and reviews across the full R</w:t>
      </w:r>
      <w:r w:rsidRPr="00A678EA">
        <w:rPr>
          <w:rFonts w:eastAsiaTheme="minorHAnsi"/>
          <w:bCs/>
          <w:lang w:eastAsia="en-AU"/>
        </w:rPr>
        <w:t>egional program portfolio.</w:t>
      </w:r>
    </w:p>
    <w:p w:rsidR="006D737B" w:rsidRPr="00A678EA" w:rsidRDefault="006D737B" w:rsidP="00A44A28">
      <w:pPr>
        <w:pStyle w:val="BodyText"/>
        <w:rPr>
          <w:rFonts w:eastAsiaTheme="minorHAnsi"/>
          <w:bCs/>
          <w:lang w:eastAsia="en-AU"/>
        </w:rPr>
      </w:pPr>
      <w:r>
        <w:rPr>
          <w:rFonts w:eastAsiaTheme="minorHAnsi"/>
          <w:bCs/>
          <w:lang w:eastAsia="en-AU"/>
        </w:rPr>
        <w:t xml:space="preserve">The </w:t>
      </w:r>
      <w:r w:rsidRPr="006D737B">
        <w:rPr>
          <w:rFonts w:eastAsiaTheme="minorHAnsi"/>
          <w:b/>
          <w:bCs/>
          <w:lang w:eastAsia="en-AU"/>
        </w:rPr>
        <w:t>2014 Health Check</w:t>
      </w:r>
      <w:r w:rsidRPr="006D737B">
        <w:rPr>
          <w:rFonts w:eastAsiaTheme="minorHAnsi"/>
          <w:bCs/>
          <w:lang w:eastAsia="en-AU"/>
        </w:rPr>
        <w:t xml:space="preserve"> confirmed that the demands of the overall program are significant. It is Australia’s third largest ODA program, overlayed by large and complex relationship-management requirements. As well as the typical engagement with relevant government ministries and implementing partners, from Suva alone the program is responsible for engagement with over 60 external stakeholders or fora. Approximately $100m of its ODA allocation flows through to the 14 bilateral programs in the region, requiring extensive administrative and relationship management effort.  Added to this complexity is the split of responsibilit</w:t>
      </w:r>
      <w:r>
        <w:rPr>
          <w:rFonts w:eastAsiaTheme="minorHAnsi"/>
          <w:bCs/>
          <w:lang w:eastAsia="en-AU"/>
        </w:rPr>
        <w:t xml:space="preserve">ies between Canberra </w:t>
      </w:r>
      <w:r>
        <w:rPr>
          <w:rFonts w:eastAsiaTheme="minorHAnsi"/>
          <w:bCs/>
          <w:lang w:eastAsia="en-AU"/>
        </w:rPr>
        <w:lastRenderedPageBreak/>
        <w:t xml:space="preserve">and Suva. </w:t>
      </w:r>
      <w:r w:rsidRPr="006D737B">
        <w:rPr>
          <w:rFonts w:eastAsiaTheme="minorHAnsi"/>
          <w:bCs/>
          <w:lang w:eastAsia="en-AU"/>
        </w:rPr>
        <w:t>The upcoming shift of full management responsibility and senior engagement to Canberra will require careful management and effort.</w:t>
      </w:r>
    </w:p>
    <w:p w:rsidR="000D733F" w:rsidRDefault="000D733F" w:rsidP="000D733F">
      <w:pPr>
        <w:pStyle w:val="ListBullet"/>
        <w:numPr>
          <w:ilvl w:val="0"/>
          <w:numId w:val="0"/>
        </w:numPr>
        <w:ind w:left="360" w:hanging="360"/>
        <w:rPr>
          <w:rFonts w:ascii="Helvetica" w:hAnsi="Helvetica" w:cs="Arial"/>
          <w:color w:val="124486"/>
          <w:spacing w:val="-10"/>
          <w:kern w:val="28"/>
          <w:sz w:val="32"/>
          <w:szCs w:val="32"/>
        </w:rPr>
        <w:sectPr w:rsidR="000D733F" w:rsidSect="008D0C12">
          <w:headerReference w:type="default" r:id="rId18"/>
          <w:type w:val="continuous"/>
          <w:pgSz w:w="11907" w:h="16840" w:code="9"/>
          <w:pgMar w:top="1276" w:right="1701" w:bottom="907" w:left="1701" w:header="850" w:footer="567" w:gutter="0"/>
          <w:pgNumType w:start="1"/>
          <w:cols w:space="720"/>
          <w:docGrid w:linePitch="326"/>
        </w:sectPr>
      </w:pPr>
    </w:p>
    <w:p w:rsidR="003A73D4" w:rsidRDefault="000D733F" w:rsidP="000D733F">
      <w:pPr>
        <w:pStyle w:val="Heading2"/>
        <w:rPr>
          <w:sz w:val="28"/>
        </w:rPr>
      </w:pPr>
      <w:r w:rsidRPr="009E38C1">
        <w:rPr>
          <w:sz w:val="28"/>
        </w:rPr>
        <w:lastRenderedPageBreak/>
        <w:t xml:space="preserve">Annex A </w:t>
      </w:r>
    </w:p>
    <w:p w:rsidR="000D733F" w:rsidRPr="009E38C1" w:rsidRDefault="000D733F" w:rsidP="003A73D4">
      <w:pPr>
        <w:pStyle w:val="Heading2"/>
        <w:spacing w:before="120"/>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5000" w:type="pct"/>
        <w:tblLayout w:type="fixed"/>
        <w:tblLook w:val="0000" w:firstRow="0" w:lastRow="0" w:firstColumn="0" w:lastColumn="0" w:noHBand="0" w:noVBand="0"/>
      </w:tblPr>
      <w:tblGrid>
        <w:gridCol w:w="6282"/>
        <w:gridCol w:w="965"/>
        <w:gridCol w:w="6690"/>
      </w:tblGrid>
      <w:tr w:rsidR="000D733F" w:rsidRPr="00180B19" w:rsidTr="000D733F">
        <w:trPr>
          <w:cnfStyle w:val="000000010000" w:firstRow="0" w:lastRow="0" w:firstColumn="0" w:lastColumn="0" w:oddVBand="0" w:evenVBand="0" w:oddHBand="0" w:evenHBand="1" w:firstRowFirstColumn="0" w:firstRowLastColumn="0" w:lastRowFirstColumn="0" w:lastRowLastColumn="0"/>
        </w:trPr>
        <w:tc>
          <w:tcPr>
            <w:tcW w:w="6473" w:type="dxa"/>
          </w:tcPr>
          <w:p w:rsidR="000D733F" w:rsidRPr="00180B19" w:rsidRDefault="000D733F" w:rsidP="000D733F">
            <w:pPr>
              <w:pStyle w:val="TableTextColumnHeading"/>
              <w:tabs>
                <w:tab w:val="left" w:pos="1185"/>
              </w:tabs>
            </w:pPr>
            <w:r w:rsidRPr="00FE4491">
              <w:t>Management consequences identified in 201</w:t>
            </w:r>
            <w:r>
              <w:t>2-13</w:t>
            </w:r>
            <w:r w:rsidRPr="00FE4491">
              <w:t xml:space="preserve"> </w:t>
            </w:r>
            <w:r>
              <w:t>APPR</w:t>
            </w:r>
            <w:r>
              <w:tab/>
            </w:r>
          </w:p>
        </w:tc>
        <w:tc>
          <w:tcPr>
            <w:tcW w:w="964" w:type="dxa"/>
          </w:tcPr>
          <w:p w:rsidR="000D733F" w:rsidRPr="00180B19" w:rsidRDefault="000D733F" w:rsidP="000D733F">
            <w:pPr>
              <w:pStyle w:val="TableTextColumnHeading"/>
            </w:pPr>
            <w:r w:rsidRPr="00FE4491">
              <w:t>Rating</w:t>
            </w:r>
          </w:p>
        </w:tc>
        <w:tc>
          <w:tcPr>
            <w:tcW w:w="6896" w:type="dxa"/>
          </w:tcPr>
          <w:p w:rsidR="000D733F" w:rsidRPr="00180B19" w:rsidRDefault="000D733F" w:rsidP="000D733F">
            <w:pPr>
              <w:pStyle w:val="TableTextColumnHeading"/>
            </w:pPr>
            <w:r w:rsidRPr="00FE4491">
              <w:t xml:space="preserve">Progress made in </w:t>
            </w:r>
            <w:r>
              <w:t>2013-14</w:t>
            </w:r>
          </w:p>
        </w:tc>
      </w:tr>
      <w:tr w:rsidR="002F1005" w:rsidRPr="00180B19" w:rsidTr="002F1005">
        <w:trPr>
          <w:cnfStyle w:val="000000010000" w:firstRow="0" w:lastRow="0" w:firstColumn="0" w:lastColumn="0" w:oddVBand="0" w:evenVBand="0" w:oddHBand="0" w:evenHBand="1" w:firstRowFirstColumn="0" w:firstRowLastColumn="0" w:lastRowFirstColumn="0" w:lastRowLastColumn="0"/>
        </w:trPr>
        <w:tc>
          <w:tcPr>
            <w:tcW w:w="6473" w:type="dxa"/>
          </w:tcPr>
          <w:p w:rsidR="002F1005" w:rsidRPr="003A73D4" w:rsidRDefault="002F1005"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Develop a program strategy</w:t>
            </w:r>
            <w:r w:rsidRPr="003A73D4">
              <w:rPr>
                <w:rFonts w:ascii="Franklin Gothic Medium" w:hAnsi="Franklin Gothic Medium" w:cstheme="minorHAnsi"/>
                <w:sz w:val="16"/>
                <w:szCs w:val="16"/>
              </w:rPr>
              <w:t xml:space="preserve"> that reflects a whole-of-government view of regionalism and the outcomes of the Pacific Plan review.</w:t>
            </w:r>
          </w:p>
        </w:tc>
        <w:tc>
          <w:tcPr>
            <w:tcW w:w="964" w:type="dxa"/>
            <w:shd w:val="clear" w:color="auto" w:fill="E36C0A" w:themeFill="accent6" w:themeFillShade="BF"/>
          </w:tcPr>
          <w:p w:rsidR="002F1005" w:rsidRPr="003A73D4" w:rsidRDefault="002F1005" w:rsidP="002F1005">
            <w:pPr>
              <w:pStyle w:val="TableTextEntries"/>
              <w:jc w:val="center"/>
              <w:rPr>
                <w:color w:val="FFFFFF" w:themeColor="background1"/>
                <w:sz w:val="16"/>
                <w:szCs w:val="16"/>
              </w:rPr>
            </w:pPr>
            <w:r w:rsidRPr="003A73D4">
              <w:rPr>
                <w:color w:val="FFFFFF" w:themeColor="background1"/>
                <w:sz w:val="16"/>
                <w:szCs w:val="16"/>
              </w:rPr>
              <w:t>Partly achieved</w:t>
            </w:r>
          </w:p>
        </w:tc>
        <w:tc>
          <w:tcPr>
            <w:tcW w:w="6896" w:type="dxa"/>
          </w:tcPr>
          <w:p w:rsidR="002F1005" w:rsidRPr="00DC7247" w:rsidRDefault="002F1005" w:rsidP="002F1005">
            <w:pPr>
              <w:pStyle w:val="TableTextEntries"/>
              <w:rPr>
                <w:color w:val="92D050"/>
                <w:sz w:val="16"/>
                <w:szCs w:val="18"/>
              </w:rPr>
            </w:pPr>
            <w:r w:rsidRPr="00DC7247">
              <w:rPr>
                <w:sz w:val="16"/>
                <w:szCs w:val="18"/>
              </w:rPr>
              <w:t>The Pacific Regional Branch is currently in the process of developing an Aid Investment Plan, which is a new requirement for the Department</w:t>
            </w:r>
          </w:p>
        </w:tc>
      </w:tr>
      <w:tr w:rsidR="002F1005" w:rsidRPr="00180B19" w:rsidTr="003A73D4">
        <w:trPr>
          <w:cnfStyle w:val="000000010000" w:firstRow="0" w:lastRow="0" w:firstColumn="0" w:lastColumn="0" w:oddVBand="0" w:evenVBand="0" w:oddHBand="0" w:evenHBand="1" w:firstRowFirstColumn="0" w:firstRowLastColumn="0" w:lastRowFirstColumn="0" w:lastRowLastColumn="0"/>
          <w:trHeight w:val="699"/>
        </w:trPr>
        <w:tc>
          <w:tcPr>
            <w:tcW w:w="6473" w:type="dxa"/>
          </w:tcPr>
          <w:p w:rsidR="002F1005" w:rsidRPr="003A73D4" w:rsidRDefault="002F1005"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Develop a performance assessment framework</w:t>
            </w:r>
            <w:r w:rsidRPr="003A73D4">
              <w:rPr>
                <w:rFonts w:ascii="Franklin Gothic Medium" w:hAnsi="Franklin Gothic Medium" w:cstheme="minorHAnsi"/>
                <w:sz w:val="16"/>
                <w:szCs w:val="16"/>
              </w:rPr>
              <w:t xml:space="preserve"> that allows AusAID to bet</w:t>
            </w:r>
            <w:r w:rsidR="00767DA5">
              <w:rPr>
                <w:rFonts w:ascii="Franklin Gothic Medium" w:hAnsi="Franklin Gothic Medium" w:cstheme="minorHAnsi"/>
                <w:sz w:val="16"/>
                <w:szCs w:val="16"/>
              </w:rPr>
              <w:t>ter measure the results of the R</w:t>
            </w:r>
            <w:r w:rsidRPr="003A73D4">
              <w:rPr>
                <w:rFonts w:ascii="Franklin Gothic Medium" w:hAnsi="Franklin Gothic Medium" w:cstheme="minorHAnsi"/>
                <w:sz w:val="16"/>
                <w:szCs w:val="16"/>
              </w:rPr>
              <w:t xml:space="preserve">egional program as a whole. This will be supported by </w:t>
            </w:r>
            <w:r w:rsidRPr="003A73D4">
              <w:rPr>
                <w:rFonts w:ascii="Franklin Gothic Medium" w:hAnsi="Franklin Gothic Medium" w:cstheme="minorHAnsi"/>
                <w:b/>
                <w:sz w:val="16"/>
                <w:szCs w:val="16"/>
              </w:rPr>
              <w:t>investments in staff</w:t>
            </w:r>
            <w:r w:rsidRPr="003A73D4">
              <w:rPr>
                <w:rFonts w:ascii="Franklin Gothic Medium" w:hAnsi="Franklin Gothic Medium" w:cstheme="minorHAnsi"/>
                <w:sz w:val="16"/>
                <w:szCs w:val="16"/>
              </w:rPr>
              <w:t xml:space="preserve"> around monitoring and evaluation capabilities.</w:t>
            </w:r>
          </w:p>
        </w:tc>
        <w:tc>
          <w:tcPr>
            <w:tcW w:w="964" w:type="dxa"/>
            <w:shd w:val="clear" w:color="auto" w:fill="E36C0A" w:themeFill="accent6" w:themeFillShade="BF"/>
          </w:tcPr>
          <w:p w:rsidR="002F1005" w:rsidRPr="003A73D4" w:rsidRDefault="002F1005" w:rsidP="002F1005">
            <w:pPr>
              <w:pStyle w:val="TableTextEntries"/>
              <w:jc w:val="center"/>
              <w:rPr>
                <w:color w:val="FFFFFF" w:themeColor="background1"/>
                <w:sz w:val="16"/>
                <w:szCs w:val="16"/>
              </w:rPr>
            </w:pPr>
            <w:r w:rsidRPr="003A73D4">
              <w:rPr>
                <w:color w:val="FFFFFF" w:themeColor="background1"/>
                <w:sz w:val="16"/>
                <w:szCs w:val="16"/>
              </w:rPr>
              <w:t>Partly achieved</w:t>
            </w:r>
          </w:p>
        </w:tc>
        <w:tc>
          <w:tcPr>
            <w:tcW w:w="6896" w:type="dxa"/>
          </w:tcPr>
          <w:p w:rsidR="002F1005" w:rsidRPr="00DC7247" w:rsidRDefault="00FC4930" w:rsidP="00FC4930">
            <w:pPr>
              <w:pStyle w:val="TableTextEntries"/>
              <w:rPr>
                <w:sz w:val="16"/>
                <w:szCs w:val="18"/>
              </w:rPr>
            </w:pPr>
            <w:r w:rsidRPr="00DC7247">
              <w:rPr>
                <w:sz w:val="16"/>
                <w:szCs w:val="18"/>
              </w:rPr>
              <w:t>A performance assessment framework is required as part of the new AIP. Work has commenced on preparing this for the Pacific Regional program AIP.</w:t>
            </w:r>
          </w:p>
        </w:tc>
      </w:tr>
      <w:tr w:rsidR="002F1005" w:rsidRPr="00180B19" w:rsidTr="002F1005">
        <w:trPr>
          <w:cnfStyle w:val="000000010000" w:firstRow="0" w:lastRow="0" w:firstColumn="0" w:lastColumn="0" w:oddVBand="0" w:evenVBand="0" w:oddHBand="0" w:evenHBand="1" w:firstRowFirstColumn="0" w:firstRowLastColumn="0" w:lastRowFirstColumn="0" w:lastRowLastColumn="0"/>
        </w:trPr>
        <w:tc>
          <w:tcPr>
            <w:tcW w:w="6473" w:type="dxa"/>
          </w:tcPr>
          <w:p w:rsidR="002F1005" w:rsidRPr="003A73D4" w:rsidRDefault="002F1005"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Develop sectoral delivery strategies</w:t>
            </w:r>
            <w:r w:rsidRPr="003A73D4">
              <w:rPr>
                <w:rFonts w:ascii="Franklin Gothic Medium" w:hAnsi="Franklin Gothic Medium" w:cstheme="minorHAnsi"/>
                <w:sz w:val="16"/>
                <w:szCs w:val="16"/>
              </w:rPr>
              <w:t xml:space="preserve"> that align with the program strategy and inform a </w:t>
            </w:r>
            <w:r w:rsidRPr="003A73D4">
              <w:rPr>
                <w:rFonts w:ascii="Franklin Gothic Medium" w:hAnsi="Franklin Gothic Medium" w:cstheme="minorHAnsi"/>
                <w:b/>
                <w:sz w:val="16"/>
                <w:szCs w:val="16"/>
              </w:rPr>
              <w:t>genuine</w:t>
            </w:r>
            <w:r w:rsidRPr="003A73D4">
              <w:rPr>
                <w:rFonts w:ascii="Franklin Gothic Medium" w:hAnsi="Franklin Gothic Medium" w:cstheme="minorHAnsi"/>
                <w:sz w:val="16"/>
                <w:szCs w:val="16"/>
              </w:rPr>
              <w:t xml:space="preserve"> </w:t>
            </w:r>
            <w:r w:rsidRPr="003A73D4">
              <w:rPr>
                <w:rFonts w:ascii="Franklin Gothic Medium" w:hAnsi="Franklin Gothic Medium" w:cstheme="minorHAnsi"/>
                <w:b/>
                <w:sz w:val="16"/>
                <w:szCs w:val="16"/>
              </w:rPr>
              <w:t>consolidation effort</w:t>
            </w:r>
            <w:r w:rsidRPr="003A73D4">
              <w:rPr>
                <w:rFonts w:ascii="Franklin Gothic Medium" w:hAnsi="Franklin Gothic Medium" w:cstheme="minorHAnsi"/>
                <w:sz w:val="16"/>
                <w:szCs w:val="16"/>
              </w:rPr>
              <w:t xml:space="preserve"> across the program.</w:t>
            </w:r>
          </w:p>
        </w:tc>
        <w:tc>
          <w:tcPr>
            <w:tcW w:w="964" w:type="dxa"/>
            <w:shd w:val="clear" w:color="auto" w:fill="72AF2F"/>
          </w:tcPr>
          <w:p w:rsidR="002F1005" w:rsidRPr="003A73D4" w:rsidRDefault="002F1005" w:rsidP="000D733F">
            <w:pPr>
              <w:pStyle w:val="TableTextEntries"/>
              <w:jc w:val="center"/>
              <w:rPr>
                <w:color w:val="FFFFFF" w:themeColor="background1"/>
                <w:sz w:val="16"/>
                <w:szCs w:val="16"/>
              </w:rPr>
            </w:pPr>
            <w:r w:rsidRPr="003A73D4">
              <w:rPr>
                <w:color w:val="FFFFFF" w:themeColor="background1"/>
                <w:sz w:val="16"/>
                <w:szCs w:val="16"/>
              </w:rPr>
              <w:t>Achieved</w:t>
            </w:r>
          </w:p>
        </w:tc>
        <w:tc>
          <w:tcPr>
            <w:tcW w:w="6896" w:type="dxa"/>
          </w:tcPr>
          <w:p w:rsidR="002F1005" w:rsidRPr="00DC7247" w:rsidRDefault="00FC4930" w:rsidP="00FC4930">
            <w:pPr>
              <w:pStyle w:val="TableTextEntries"/>
              <w:rPr>
                <w:sz w:val="16"/>
                <w:szCs w:val="18"/>
              </w:rPr>
            </w:pPr>
            <w:r w:rsidRPr="00DC7247">
              <w:rPr>
                <w:sz w:val="16"/>
                <w:szCs w:val="18"/>
              </w:rPr>
              <w:t>Sectoral delivery strategies are now in place for health, education, disability, regional organisations, disaster risk reduction and the Pacific Women Shaping Pacific Development program.</w:t>
            </w:r>
          </w:p>
        </w:tc>
      </w:tr>
      <w:tr w:rsidR="002F1005" w:rsidRPr="00180B19" w:rsidTr="002F1005">
        <w:trPr>
          <w:cnfStyle w:val="000000010000" w:firstRow="0" w:lastRow="0" w:firstColumn="0" w:lastColumn="0" w:oddVBand="0" w:evenVBand="0" w:oddHBand="0" w:evenHBand="1" w:firstRowFirstColumn="0" w:firstRowLastColumn="0" w:lastRowFirstColumn="0" w:lastRowLastColumn="0"/>
        </w:trPr>
        <w:tc>
          <w:tcPr>
            <w:tcW w:w="6473" w:type="dxa"/>
          </w:tcPr>
          <w:p w:rsidR="002F1005" w:rsidRPr="003A73D4" w:rsidRDefault="002F1005"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Lift AusAID’s policy engagement</w:t>
            </w:r>
            <w:r w:rsidRPr="003A73D4">
              <w:rPr>
                <w:rFonts w:ascii="Franklin Gothic Medium" w:hAnsi="Franklin Gothic Medium" w:cstheme="minorHAnsi"/>
                <w:sz w:val="16"/>
                <w:szCs w:val="16"/>
              </w:rPr>
              <w:t xml:space="preserve"> with, and progress reforms within, PROs.</w:t>
            </w:r>
          </w:p>
        </w:tc>
        <w:tc>
          <w:tcPr>
            <w:tcW w:w="964" w:type="dxa"/>
            <w:shd w:val="clear" w:color="auto" w:fill="72AF2F"/>
          </w:tcPr>
          <w:p w:rsidR="002F1005" w:rsidRPr="003A73D4" w:rsidRDefault="002F1005" w:rsidP="000D733F">
            <w:pPr>
              <w:pStyle w:val="TableTextEntries"/>
              <w:jc w:val="center"/>
              <w:rPr>
                <w:color w:val="FFFFFF" w:themeColor="background1"/>
                <w:sz w:val="16"/>
                <w:szCs w:val="16"/>
              </w:rPr>
            </w:pPr>
            <w:r w:rsidRPr="003A73D4">
              <w:rPr>
                <w:color w:val="FFFFFF" w:themeColor="background1"/>
                <w:sz w:val="16"/>
                <w:szCs w:val="16"/>
              </w:rPr>
              <w:t>Achieved</w:t>
            </w:r>
          </w:p>
        </w:tc>
        <w:tc>
          <w:tcPr>
            <w:tcW w:w="6896" w:type="dxa"/>
          </w:tcPr>
          <w:p w:rsidR="002F1005" w:rsidRPr="00DC7247" w:rsidRDefault="00621261" w:rsidP="003A73D4">
            <w:pPr>
              <w:pStyle w:val="TableTextEntries"/>
              <w:rPr>
                <w:sz w:val="16"/>
                <w:szCs w:val="18"/>
              </w:rPr>
            </w:pPr>
            <w:r w:rsidRPr="00DC7247">
              <w:rPr>
                <w:sz w:val="16"/>
                <w:szCs w:val="18"/>
              </w:rPr>
              <w:t>In 2014</w:t>
            </w:r>
            <w:r w:rsidR="00DC7247">
              <w:rPr>
                <w:sz w:val="16"/>
                <w:szCs w:val="18"/>
              </w:rPr>
              <w:t>,</w:t>
            </w:r>
            <w:r w:rsidRPr="00DC7247">
              <w:rPr>
                <w:sz w:val="16"/>
                <w:szCs w:val="18"/>
              </w:rPr>
              <w:t xml:space="preserve"> Australia signed new multi-year partnership agreements with </w:t>
            </w:r>
            <w:r w:rsidR="00DC7247" w:rsidRPr="00DC7247">
              <w:rPr>
                <w:sz w:val="16"/>
                <w:szCs w:val="18"/>
              </w:rPr>
              <w:t>PIFS, SPC and USP</w:t>
            </w:r>
            <w:r w:rsidR="003A73D4">
              <w:rPr>
                <w:sz w:val="16"/>
                <w:szCs w:val="18"/>
              </w:rPr>
              <w:t xml:space="preserve">, which </w:t>
            </w:r>
            <w:r w:rsidRPr="00DC7247">
              <w:rPr>
                <w:sz w:val="16"/>
                <w:szCs w:val="18"/>
              </w:rPr>
              <w:t>include a greater focus on policy dialogue and have clear, measure</w:t>
            </w:r>
            <w:r w:rsidR="00DC7247" w:rsidRPr="00DC7247">
              <w:rPr>
                <w:sz w:val="16"/>
                <w:szCs w:val="18"/>
              </w:rPr>
              <w:t>able targets to define success.</w:t>
            </w:r>
            <w:r w:rsidRPr="00DC7247">
              <w:rPr>
                <w:sz w:val="16"/>
                <w:szCs w:val="18"/>
              </w:rPr>
              <w:t xml:space="preserve"> The</w:t>
            </w:r>
            <w:r w:rsidR="00DC7247" w:rsidRPr="00DC7247">
              <w:rPr>
                <w:sz w:val="16"/>
                <w:szCs w:val="18"/>
              </w:rPr>
              <w:t>y</w:t>
            </w:r>
            <w:r w:rsidRPr="00DC7247">
              <w:rPr>
                <w:sz w:val="16"/>
                <w:szCs w:val="18"/>
              </w:rPr>
              <w:t xml:space="preserve"> specify practical ways in which Australia will deepen the relat</w:t>
            </w:r>
            <w:r w:rsidR="00DC7247" w:rsidRPr="00DC7247">
              <w:rPr>
                <w:sz w:val="16"/>
                <w:szCs w:val="18"/>
              </w:rPr>
              <w:t xml:space="preserve">ionship with each organisation and </w:t>
            </w:r>
            <w:r w:rsidRPr="00DC7247">
              <w:rPr>
                <w:sz w:val="16"/>
                <w:szCs w:val="18"/>
              </w:rPr>
              <w:t xml:space="preserve">how and under what conditions Australia will shift </w:t>
            </w:r>
            <w:r w:rsidR="003A73D4">
              <w:rPr>
                <w:sz w:val="16"/>
                <w:szCs w:val="18"/>
              </w:rPr>
              <w:t xml:space="preserve">to </w:t>
            </w:r>
            <w:r w:rsidR="00DC7247" w:rsidRPr="00DC7247">
              <w:rPr>
                <w:sz w:val="16"/>
                <w:szCs w:val="18"/>
              </w:rPr>
              <w:t xml:space="preserve">more predictable and flexible </w:t>
            </w:r>
            <w:r w:rsidRPr="00DC7247">
              <w:rPr>
                <w:sz w:val="16"/>
                <w:szCs w:val="18"/>
              </w:rPr>
              <w:t>financing. A key condition will be organisational reform in support of efficient and effective delivery and reporting of outcomes.</w:t>
            </w:r>
          </w:p>
        </w:tc>
      </w:tr>
      <w:tr w:rsidR="00621261" w:rsidRPr="00180B19" w:rsidTr="00621261">
        <w:trPr>
          <w:cnfStyle w:val="000000010000" w:firstRow="0" w:lastRow="0" w:firstColumn="0" w:lastColumn="0" w:oddVBand="0" w:evenVBand="0" w:oddHBand="0" w:evenHBand="1" w:firstRowFirstColumn="0" w:firstRowLastColumn="0" w:lastRowFirstColumn="0" w:lastRowLastColumn="0"/>
        </w:trPr>
        <w:tc>
          <w:tcPr>
            <w:tcW w:w="6473" w:type="dxa"/>
          </w:tcPr>
          <w:p w:rsidR="00621261" w:rsidRPr="003A73D4" w:rsidRDefault="00621261"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Better analyse the performance of multilateral organisations</w:t>
            </w:r>
            <w:r w:rsidRPr="003A73D4">
              <w:rPr>
                <w:rFonts w:ascii="Franklin Gothic Medium" w:hAnsi="Franklin Gothic Medium" w:cstheme="minorHAnsi"/>
                <w:sz w:val="16"/>
                <w:szCs w:val="16"/>
              </w:rPr>
              <w:t xml:space="preserve"> in the region to inform more nuanced policy engagement.</w:t>
            </w:r>
          </w:p>
        </w:tc>
        <w:tc>
          <w:tcPr>
            <w:tcW w:w="964" w:type="dxa"/>
            <w:shd w:val="clear" w:color="auto" w:fill="E36C0A" w:themeFill="accent6" w:themeFillShade="BF"/>
          </w:tcPr>
          <w:p w:rsidR="00621261" w:rsidRPr="003A73D4" w:rsidRDefault="00621261" w:rsidP="00621261">
            <w:pPr>
              <w:pStyle w:val="TableTextEntries"/>
              <w:jc w:val="center"/>
              <w:rPr>
                <w:color w:val="FFFFFF" w:themeColor="background1"/>
                <w:sz w:val="16"/>
                <w:szCs w:val="16"/>
              </w:rPr>
            </w:pPr>
            <w:r w:rsidRPr="003A73D4">
              <w:rPr>
                <w:color w:val="FFFFFF" w:themeColor="background1"/>
                <w:sz w:val="16"/>
                <w:szCs w:val="16"/>
              </w:rPr>
              <w:t>Partly achieved</w:t>
            </w:r>
          </w:p>
        </w:tc>
        <w:tc>
          <w:tcPr>
            <w:tcW w:w="6896" w:type="dxa"/>
          </w:tcPr>
          <w:p w:rsidR="00621261" w:rsidRPr="00DC7247" w:rsidRDefault="009F0E61" w:rsidP="009F0E61">
            <w:pPr>
              <w:pStyle w:val="TableTextEntries"/>
              <w:rPr>
                <w:sz w:val="16"/>
                <w:szCs w:val="18"/>
              </w:rPr>
            </w:pPr>
            <w:r>
              <w:rPr>
                <w:sz w:val="16"/>
                <w:szCs w:val="18"/>
              </w:rPr>
              <w:t xml:space="preserve">In 2013/14, DFAT </w:t>
            </w:r>
            <w:r w:rsidRPr="009F0E61">
              <w:rPr>
                <w:sz w:val="16"/>
                <w:szCs w:val="18"/>
              </w:rPr>
              <w:t xml:space="preserve">conducted analytical work on effectiveness of the World Bank, ADB and United Nations operations in the Pacific. </w:t>
            </w:r>
          </w:p>
        </w:tc>
      </w:tr>
      <w:tr w:rsidR="002F1005" w:rsidRPr="00180B19" w:rsidTr="002F1005">
        <w:trPr>
          <w:cnfStyle w:val="000000010000" w:firstRow="0" w:lastRow="0" w:firstColumn="0" w:lastColumn="0" w:oddVBand="0" w:evenVBand="0" w:oddHBand="0" w:evenHBand="1" w:firstRowFirstColumn="0" w:firstRowLastColumn="0" w:lastRowFirstColumn="0" w:lastRowLastColumn="0"/>
        </w:trPr>
        <w:tc>
          <w:tcPr>
            <w:tcW w:w="6473" w:type="dxa"/>
          </w:tcPr>
          <w:p w:rsidR="002F1005" w:rsidRPr="003A73D4" w:rsidRDefault="002F1005"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Enhance the way regional programs intersect with bilateral programs</w:t>
            </w:r>
            <w:r w:rsidRPr="003A73D4">
              <w:rPr>
                <w:rFonts w:ascii="Franklin Gothic Medium" w:hAnsi="Franklin Gothic Medium" w:cstheme="minorHAnsi"/>
                <w:sz w:val="16"/>
                <w:szCs w:val="16"/>
              </w:rPr>
              <w:t xml:space="preserve"> bringing to the fore the principles of aid effectiveness, including alignment to country-level priorities.</w:t>
            </w:r>
          </w:p>
        </w:tc>
        <w:tc>
          <w:tcPr>
            <w:tcW w:w="964" w:type="dxa"/>
            <w:shd w:val="clear" w:color="auto" w:fill="E36C0A" w:themeFill="accent6" w:themeFillShade="BF"/>
          </w:tcPr>
          <w:p w:rsidR="002F1005" w:rsidRPr="003A73D4" w:rsidRDefault="002F1005" w:rsidP="002F1005">
            <w:pPr>
              <w:pStyle w:val="TableTextEntries"/>
              <w:jc w:val="center"/>
              <w:rPr>
                <w:color w:val="FFFFFF" w:themeColor="background1"/>
                <w:sz w:val="16"/>
                <w:szCs w:val="16"/>
              </w:rPr>
            </w:pPr>
            <w:r w:rsidRPr="003A73D4">
              <w:rPr>
                <w:color w:val="FFFFFF" w:themeColor="background1"/>
                <w:sz w:val="16"/>
                <w:szCs w:val="16"/>
              </w:rPr>
              <w:t>Partly achieved</w:t>
            </w:r>
          </w:p>
        </w:tc>
        <w:tc>
          <w:tcPr>
            <w:tcW w:w="6896" w:type="dxa"/>
          </w:tcPr>
          <w:p w:rsidR="002F1005" w:rsidRPr="00DC7247" w:rsidRDefault="00DC7247" w:rsidP="003A73D4">
            <w:pPr>
              <w:pStyle w:val="TableTextEntries"/>
              <w:rPr>
                <w:sz w:val="16"/>
                <w:szCs w:val="18"/>
              </w:rPr>
            </w:pPr>
            <w:r w:rsidRPr="00DC7247">
              <w:rPr>
                <w:sz w:val="16"/>
                <w:szCs w:val="18"/>
              </w:rPr>
              <w:t xml:space="preserve">In response to strong demand from </w:t>
            </w:r>
            <w:r w:rsidR="003A73D4">
              <w:rPr>
                <w:sz w:val="16"/>
                <w:szCs w:val="18"/>
              </w:rPr>
              <w:t xml:space="preserve">PICs </w:t>
            </w:r>
            <w:r w:rsidRPr="00DC7247">
              <w:rPr>
                <w:sz w:val="16"/>
                <w:szCs w:val="18"/>
              </w:rPr>
              <w:t>and DFAT bilateral posts for better reporting on the expenditure and outputs delivered by regional and multi-country initiatives at the country level, the Regional Program has taken a stronger focus on country-level reporting.  Over the last 6 months</w:t>
            </w:r>
            <w:r w:rsidR="003A73D4">
              <w:rPr>
                <w:sz w:val="16"/>
                <w:szCs w:val="18"/>
              </w:rPr>
              <w:t>,</w:t>
            </w:r>
            <w:r w:rsidRPr="00DC7247">
              <w:rPr>
                <w:sz w:val="16"/>
                <w:szCs w:val="18"/>
              </w:rPr>
              <w:t xml:space="preserve"> Regional Program has worked with bilateral programs to develop guidance for a new reporting system that includes better country-disaggregated reporting.</w:t>
            </w:r>
          </w:p>
        </w:tc>
      </w:tr>
      <w:tr w:rsidR="00DC7247" w:rsidRPr="00180B19" w:rsidTr="00DC7247">
        <w:trPr>
          <w:cnfStyle w:val="000000010000" w:firstRow="0" w:lastRow="0" w:firstColumn="0" w:lastColumn="0" w:oddVBand="0" w:evenVBand="0" w:oddHBand="0" w:evenHBand="1" w:firstRowFirstColumn="0" w:firstRowLastColumn="0" w:lastRowFirstColumn="0" w:lastRowLastColumn="0"/>
        </w:trPr>
        <w:tc>
          <w:tcPr>
            <w:tcW w:w="6473" w:type="dxa"/>
          </w:tcPr>
          <w:p w:rsidR="00DC7247" w:rsidRPr="003A73D4" w:rsidRDefault="00DC7247" w:rsidP="00024FC6">
            <w:pPr>
              <w:pStyle w:val="ListBullet"/>
              <w:numPr>
                <w:ilvl w:val="0"/>
                <w:numId w:val="25"/>
              </w:numPr>
              <w:tabs>
                <w:tab w:val="num" w:pos="284"/>
                <w:tab w:val="num" w:pos="360"/>
              </w:tabs>
              <w:spacing w:line="240" w:lineRule="auto"/>
              <w:ind w:left="0" w:firstLine="0"/>
              <w:rPr>
                <w:rFonts w:ascii="Franklin Gothic Medium" w:hAnsi="Franklin Gothic Medium" w:cstheme="minorHAnsi"/>
                <w:sz w:val="16"/>
                <w:szCs w:val="16"/>
              </w:rPr>
            </w:pPr>
            <w:r w:rsidRPr="003A73D4">
              <w:rPr>
                <w:rFonts w:ascii="Franklin Gothic Medium" w:hAnsi="Franklin Gothic Medium" w:cstheme="minorHAnsi"/>
                <w:b/>
                <w:sz w:val="16"/>
                <w:szCs w:val="16"/>
              </w:rPr>
              <w:t>Improve the integration of crosscutting issues, such a gender equality and disability inclusive development,</w:t>
            </w:r>
            <w:r w:rsidRPr="003A73D4">
              <w:rPr>
                <w:rFonts w:ascii="Franklin Gothic Medium" w:hAnsi="Franklin Gothic Medium" w:cstheme="minorHAnsi"/>
                <w:sz w:val="16"/>
                <w:szCs w:val="16"/>
              </w:rPr>
              <w:t xml:space="preserve"> into design, implementati</w:t>
            </w:r>
            <w:r w:rsidR="00767DA5">
              <w:rPr>
                <w:rFonts w:ascii="Franklin Gothic Medium" w:hAnsi="Franklin Gothic Medium" w:cstheme="minorHAnsi"/>
                <w:sz w:val="16"/>
                <w:szCs w:val="16"/>
              </w:rPr>
              <w:t>on and reviews across the full R</w:t>
            </w:r>
            <w:r w:rsidRPr="003A73D4">
              <w:rPr>
                <w:rFonts w:ascii="Franklin Gothic Medium" w:hAnsi="Franklin Gothic Medium" w:cstheme="minorHAnsi"/>
                <w:sz w:val="16"/>
                <w:szCs w:val="16"/>
              </w:rPr>
              <w:t>egional program portfolio.</w:t>
            </w:r>
          </w:p>
        </w:tc>
        <w:tc>
          <w:tcPr>
            <w:tcW w:w="964" w:type="dxa"/>
            <w:tcBorders>
              <w:bottom w:val="single" w:sz="12" w:space="0" w:color="000000" w:themeColor="text1"/>
            </w:tcBorders>
            <w:shd w:val="clear" w:color="auto" w:fill="E36C0A" w:themeFill="accent6" w:themeFillShade="BF"/>
          </w:tcPr>
          <w:p w:rsidR="00DC7247" w:rsidRPr="003A73D4" w:rsidRDefault="00DC7247" w:rsidP="00DC7247">
            <w:pPr>
              <w:pStyle w:val="TableTextEntries"/>
              <w:jc w:val="center"/>
              <w:rPr>
                <w:color w:val="FFFFFF" w:themeColor="background1"/>
                <w:sz w:val="16"/>
                <w:szCs w:val="16"/>
              </w:rPr>
            </w:pPr>
            <w:r w:rsidRPr="003A73D4">
              <w:rPr>
                <w:color w:val="FFFFFF" w:themeColor="background1"/>
                <w:sz w:val="16"/>
                <w:szCs w:val="16"/>
              </w:rPr>
              <w:t>Partly achieved</w:t>
            </w:r>
          </w:p>
        </w:tc>
        <w:tc>
          <w:tcPr>
            <w:tcW w:w="6896" w:type="dxa"/>
          </w:tcPr>
          <w:p w:rsidR="00DC7247" w:rsidRPr="00DC7247" w:rsidRDefault="00E62764" w:rsidP="00DC7247">
            <w:pPr>
              <w:pStyle w:val="TableTextEntries"/>
              <w:rPr>
                <w:sz w:val="16"/>
                <w:szCs w:val="18"/>
              </w:rPr>
            </w:pPr>
            <w:r>
              <w:rPr>
                <w:sz w:val="16"/>
                <w:szCs w:val="18"/>
              </w:rPr>
              <w:t>The Pacific R</w:t>
            </w:r>
            <w:r w:rsidR="00DC7247" w:rsidRPr="00DC7247">
              <w:rPr>
                <w:sz w:val="16"/>
                <w:szCs w:val="18"/>
              </w:rPr>
              <w:t>egional program is making some progress in being able to report on how women, men, girls and boys are benefitting from the investments in its portfolio.  However, considerable effort is still required before such reporting becomes a well-established norm.</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Pr="00706D30">
        <w:t xml:space="preserve">  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rsidR="000D733F" w:rsidRPr="009E38C1" w:rsidRDefault="00086A5D" w:rsidP="000D733F">
      <w:pPr>
        <w:pStyle w:val="Heading2"/>
        <w:rPr>
          <w:sz w:val="28"/>
        </w:rPr>
      </w:pPr>
      <w:r>
        <w:rPr>
          <w:noProof/>
          <w:sz w:val="28"/>
          <w:lang w:eastAsia="en-AU"/>
        </w:rPr>
        <mc:AlternateContent>
          <mc:Choice Requires="wps">
            <w:drawing>
              <wp:anchor distT="0" distB="0" distL="114300" distR="114300" simplePos="0" relativeHeight="251678720" behindDoc="0" locked="0" layoutInCell="1" allowOverlap="1" wp14:anchorId="23652491" wp14:editId="7A389BEC">
                <wp:simplePos x="0" y="0"/>
                <wp:positionH relativeFrom="column">
                  <wp:posOffset>-16602</wp:posOffset>
                </wp:positionH>
                <wp:positionV relativeFrom="paragraph">
                  <wp:posOffset>405118</wp:posOffset>
                </wp:positionV>
                <wp:extent cx="902859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902859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1.9pt" to="709.6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" strokecolor="black [3213]" strokeweight="2pt"/>
            </w:pict>
          </mc:Fallback>
        </mc:AlternateContent>
      </w:r>
      <w:r w:rsidR="000D733F" w:rsidRPr="009E38C1">
        <w:rPr>
          <w:sz w:val="28"/>
        </w:rPr>
        <w:t>Quality at Implementation ratings</w:t>
      </w:r>
    </w:p>
    <w:tbl>
      <w:tblPr>
        <w:tblW w:w="1348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8"/>
        <w:gridCol w:w="3076"/>
        <w:gridCol w:w="1017"/>
        <w:gridCol w:w="1017"/>
        <w:gridCol w:w="1418"/>
        <w:gridCol w:w="973"/>
        <w:gridCol w:w="1168"/>
        <w:gridCol w:w="960"/>
        <w:gridCol w:w="964"/>
        <w:gridCol w:w="1159"/>
        <w:gridCol w:w="960"/>
      </w:tblGrid>
      <w:tr w:rsidR="003C35F9" w:rsidTr="00894EDC">
        <w:trPr>
          <w:cantSplit/>
          <w:trHeight w:val="411"/>
        </w:trPr>
        <w:tc>
          <w:tcPr>
            <w:tcW w:w="4268" w:type="dxa"/>
            <w:gridSpan w:val="2"/>
            <w:shd w:val="clear" w:color="auto" w:fill="auto"/>
            <w:vAlign w:val="center"/>
          </w:tcPr>
          <w:p w:rsidR="003C35F9" w:rsidRPr="00BA5CCE" w:rsidRDefault="003C35F9" w:rsidP="00894EDC">
            <w:pPr>
              <w:jc w:val="center"/>
              <w:rPr>
                <w:rFonts w:cs="Arial"/>
                <w:szCs w:val="16"/>
              </w:rPr>
            </w:pPr>
            <w:r w:rsidRPr="00BA5CCE">
              <w:rPr>
                <w:rFonts w:cs="Arial"/>
                <w:szCs w:val="16"/>
              </w:rPr>
              <w:t>Initiative name</w:t>
            </w:r>
          </w:p>
        </w:tc>
        <w:tc>
          <w:tcPr>
            <w:tcW w:w="1017" w:type="dxa"/>
            <w:shd w:val="clear" w:color="auto" w:fill="auto"/>
            <w:vAlign w:val="center"/>
          </w:tcPr>
          <w:p w:rsidR="003C35F9" w:rsidRPr="00BA5CCE" w:rsidRDefault="003C35F9" w:rsidP="00894EDC">
            <w:pPr>
              <w:jc w:val="center"/>
              <w:rPr>
                <w:rFonts w:cs="Arial"/>
                <w:szCs w:val="16"/>
              </w:rPr>
            </w:pPr>
            <w:r w:rsidRPr="00BA5CCE">
              <w:rPr>
                <w:rFonts w:cs="Arial"/>
                <w:szCs w:val="16"/>
              </w:rPr>
              <w:t>Initiative start date</w:t>
            </w:r>
          </w:p>
        </w:tc>
        <w:tc>
          <w:tcPr>
            <w:tcW w:w="1017" w:type="dxa"/>
            <w:shd w:val="clear" w:color="auto" w:fill="auto"/>
            <w:vAlign w:val="center"/>
          </w:tcPr>
          <w:p w:rsidR="003C35F9" w:rsidRPr="00BA5CCE" w:rsidRDefault="003C35F9" w:rsidP="00894EDC">
            <w:pPr>
              <w:jc w:val="center"/>
              <w:rPr>
                <w:rFonts w:cs="Arial"/>
                <w:szCs w:val="16"/>
              </w:rPr>
            </w:pPr>
            <w:r w:rsidRPr="00BA5CCE">
              <w:rPr>
                <w:rFonts w:cs="Arial"/>
                <w:szCs w:val="16"/>
              </w:rPr>
              <w:t>Initiative end date</w:t>
            </w:r>
          </w:p>
        </w:tc>
        <w:tc>
          <w:tcPr>
            <w:tcW w:w="1418" w:type="dxa"/>
            <w:shd w:val="clear" w:color="auto" w:fill="auto"/>
            <w:vAlign w:val="center"/>
          </w:tcPr>
          <w:p w:rsidR="003C35F9" w:rsidRPr="00BA5CCE" w:rsidRDefault="003C35F9" w:rsidP="00894EDC">
            <w:pPr>
              <w:jc w:val="center"/>
              <w:rPr>
                <w:rFonts w:cs="Arial"/>
                <w:szCs w:val="16"/>
              </w:rPr>
            </w:pPr>
            <w:r w:rsidRPr="00BA5CCE">
              <w:rPr>
                <w:rFonts w:cs="Arial"/>
                <w:szCs w:val="16"/>
              </w:rPr>
              <w:t>Budget</w:t>
            </w:r>
          </w:p>
        </w:tc>
        <w:tc>
          <w:tcPr>
            <w:tcW w:w="960" w:type="dxa"/>
            <w:shd w:val="clear" w:color="auto" w:fill="FFFFFF" w:themeFill="background1"/>
            <w:noWrap/>
            <w:vAlign w:val="center"/>
          </w:tcPr>
          <w:p w:rsidR="003C35F9" w:rsidRPr="00BA5CCE" w:rsidRDefault="003C35F9" w:rsidP="00894EDC">
            <w:pPr>
              <w:jc w:val="center"/>
              <w:rPr>
                <w:rFonts w:cs="Arial"/>
                <w:bCs/>
                <w:szCs w:val="16"/>
              </w:rPr>
            </w:pPr>
            <w:r w:rsidRPr="00BA5CCE">
              <w:rPr>
                <w:rFonts w:cs="Arial"/>
                <w:bCs/>
                <w:szCs w:val="16"/>
              </w:rPr>
              <w:t>Relevance</w:t>
            </w:r>
          </w:p>
        </w:tc>
        <w:tc>
          <w:tcPr>
            <w:tcW w:w="960" w:type="dxa"/>
            <w:shd w:val="clear" w:color="auto" w:fill="FFFFFF" w:themeFill="background1"/>
            <w:noWrap/>
            <w:vAlign w:val="center"/>
          </w:tcPr>
          <w:p w:rsidR="003C35F9" w:rsidRPr="00BA5CCE" w:rsidRDefault="003C35F9" w:rsidP="00894EDC">
            <w:pPr>
              <w:jc w:val="center"/>
              <w:rPr>
                <w:rFonts w:cs="Arial"/>
                <w:bCs/>
                <w:szCs w:val="16"/>
              </w:rPr>
            </w:pPr>
            <w:r w:rsidRPr="00BA5CCE">
              <w:rPr>
                <w:rFonts w:cs="Arial"/>
                <w:bCs/>
                <w:szCs w:val="16"/>
              </w:rPr>
              <w:t>Effectiveness</w:t>
            </w:r>
          </w:p>
        </w:tc>
        <w:tc>
          <w:tcPr>
            <w:tcW w:w="960" w:type="dxa"/>
            <w:shd w:val="clear" w:color="auto" w:fill="FFFFFF" w:themeFill="background1"/>
            <w:noWrap/>
            <w:vAlign w:val="center"/>
          </w:tcPr>
          <w:p w:rsidR="003C35F9" w:rsidRPr="00BA5CCE" w:rsidRDefault="003C35F9" w:rsidP="00894EDC">
            <w:pPr>
              <w:jc w:val="center"/>
              <w:rPr>
                <w:rFonts w:cs="Arial"/>
                <w:bCs/>
                <w:szCs w:val="16"/>
              </w:rPr>
            </w:pPr>
            <w:r w:rsidRPr="00BA5CCE">
              <w:rPr>
                <w:rFonts w:cs="Arial"/>
                <w:bCs/>
                <w:szCs w:val="16"/>
              </w:rPr>
              <w:t>Efficiency</w:t>
            </w:r>
          </w:p>
        </w:tc>
        <w:tc>
          <w:tcPr>
            <w:tcW w:w="960" w:type="dxa"/>
            <w:shd w:val="clear" w:color="auto" w:fill="FFFFFF" w:themeFill="background1"/>
            <w:noWrap/>
            <w:vAlign w:val="center"/>
          </w:tcPr>
          <w:p w:rsidR="003C35F9" w:rsidRPr="00BA5CCE" w:rsidRDefault="003C35F9" w:rsidP="00894EDC">
            <w:pPr>
              <w:jc w:val="center"/>
              <w:rPr>
                <w:rFonts w:cs="Arial"/>
                <w:bCs/>
                <w:szCs w:val="16"/>
              </w:rPr>
            </w:pPr>
            <w:r w:rsidRPr="00BA5CCE">
              <w:rPr>
                <w:rFonts w:cs="Arial"/>
                <w:bCs/>
                <w:szCs w:val="16"/>
              </w:rPr>
              <w:t>Monitoring and Evaluation</w:t>
            </w:r>
          </w:p>
        </w:tc>
        <w:tc>
          <w:tcPr>
            <w:tcW w:w="960" w:type="dxa"/>
            <w:shd w:val="clear" w:color="auto" w:fill="FFFFFF" w:themeFill="background1"/>
            <w:noWrap/>
            <w:vAlign w:val="center"/>
          </w:tcPr>
          <w:p w:rsidR="003C35F9" w:rsidRPr="00BA5CCE" w:rsidRDefault="003C35F9" w:rsidP="00894EDC">
            <w:pPr>
              <w:jc w:val="center"/>
              <w:rPr>
                <w:rFonts w:cs="Arial"/>
                <w:bCs/>
                <w:szCs w:val="16"/>
              </w:rPr>
            </w:pPr>
            <w:r w:rsidRPr="00BA5CCE">
              <w:rPr>
                <w:rFonts w:cs="Arial"/>
                <w:bCs/>
                <w:szCs w:val="16"/>
              </w:rPr>
              <w:t>Sustainability</w:t>
            </w:r>
          </w:p>
        </w:tc>
        <w:tc>
          <w:tcPr>
            <w:tcW w:w="960" w:type="dxa"/>
            <w:shd w:val="clear" w:color="auto" w:fill="FFFFFF" w:themeFill="background1"/>
            <w:noWrap/>
            <w:vAlign w:val="center"/>
          </w:tcPr>
          <w:p w:rsidR="003C35F9" w:rsidRPr="00BA5CCE" w:rsidRDefault="003C35F9" w:rsidP="00894EDC">
            <w:pPr>
              <w:jc w:val="center"/>
              <w:rPr>
                <w:rFonts w:cs="Arial"/>
                <w:bCs/>
                <w:szCs w:val="16"/>
              </w:rPr>
            </w:pPr>
            <w:r w:rsidRPr="00BA5CCE">
              <w:rPr>
                <w:rFonts w:cs="Arial"/>
                <w:bCs/>
                <w:szCs w:val="16"/>
              </w:rPr>
              <w:t>Gender Equality</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INJ862</w:t>
            </w:r>
          </w:p>
        </w:tc>
        <w:tc>
          <w:tcPr>
            <w:tcW w:w="3500" w:type="dxa"/>
            <w:shd w:val="clear" w:color="auto" w:fill="auto"/>
            <w:hideMark/>
          </w:tcPr>
          <w:p w:rsidR="003C35F9" w:rsidRPr="00BA5CCE" w:rsidRDefault="003C35F9">
            <w:pPr>
              <w:rPr>
                <w:rFonts w:cs="Arial"/>
                <w:szCs w:val="16"/>
              </w:rPr>
            </w:pPr>
            <w:r w:rsidRPr="00BA5CCE">
              <w:rPr>
                <w:rFonts w:cs="Arial"/>
                <w:szCs w:val="16"/>
              </w:rPr>
              <w:t xml:space="preserve">Australia-Pacific Technical College Stage 2 </w:t>
            </w:r>
          </w:p>
        </w:tc>
        <w:tc>
          <w:tcPr>
            <w:tcW w:w="1017" w:type="dxa"/>
            <w:shd w:val="clear" w:color="auto" w:fill="auto"/>
            <w:hideMark/>
          </w:tcPr>
          <w:p w:rsidR="003C35F9" w:rsidRPr="00BA5CCE" w:rsidRDefault="003C35F9">
            <w:pPr>
              <w:rPr>
                <w:rFonts w:cs="Arial"/>
                <w:szCs w:val="16"/>
              </w:rPr>
            </w:pPr>
            <w:r w:rsidRPr="00BA5CCE">
              <w:rPr>
                <w:rFonts w:cs="Arial"/>
                <w:szCs w:val="16"/>
              </w:rPr>
              <w:t>01/05/2011</w:t>
            </w:r>
          </w:p>
        </w:tc>
        <w:tc>
          <w:tcPr>
            <w:tcW w:w="1017" w:type="dxa"/>
            <w:shd w:val="clear" w:color="auto" w:fill="auto"/>
            <w:hideMark/>
          </w:tcPr>
          <w:p w:rsidR="003C35F9" w:rsidRPr="00BA5CCE" w:rsidRDefault="003C35F9">
            <w:pPr>
              <w:rPr>
                <w:rFonts w:cs="Arial"/>
                <w:szCs w:val="16"/>
              </w:rPr>
            </w:pPr>
            <w:r w:rsidRPr="00BA5CCE">
              <w:rPr>
                <w:rFonts w:cs="Arial"/>
                <w:szCs w:val="16"/>
              </w:rPr>
              <w:t>31/07/2015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$152,207,494.96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INC471</w:t>
            </w:r>
          </w:p>
        </w:tc>
        <w:tc>
          <w:tcPr>
            <w:tcW w:w="3500" w:type="dxa"/>
            <w:shd w:val="clear" w:color="auto" w:fill="auto"/>
            <w:hideMark/>
          </w:tcPr>
          <w:p w:rsidR="003C35F9" w:rsidRPr="00BA5CCE" w:rsidRDefault="003C35F9">
            <w:pPr>
              <w:rPr>
                <w:rFonts w:cs="Arial"/>
                <w:szCs w:val="16"/>
              </w:rPr>
            </w:pPr>
            <w:r w:rsidRPr="00BA5CCE">
              <w:rPr>
                <w:rFonts w:cs="Arial"/>
                <w:szCs w:val="16"/>
              </w:rPr>
              <w:t>State Society and Governance Melanesia</w:t>
            </w:r>
          </w:p>
        </w:tc>
        <w:tc>
          <w:tcPr>
            <w:tcW w:w="1017" w:type="dxa"/>
            <w:shd w:val="clear" w:color="auto" w:fill="auto"/>
            <w:hideMark/>
          </w:tcPr>
          <w:p w:rsidR="003C35F9" w:rsidRPr="00BA5CCE" w:rsidRDefault="003C35F9">
            <w:pPr>
              <w:rPr>
                <w:rFonts w:cs="Arial"/>
                <w:szCs w:val="16"/>
              </w:rPr>
            </w:pPr>
            <w:r w:rsidRPr="00BA5CCE">
              <w:rPr>
                <w:rFonts w:cs="Arial"/>
                <w:szCs w:val="16"/>
              </w:rPr>
              <w:t>22/08/1995</w:t>
            </w:r>
          </w:p>
        </w:tc>
        <w:tc>
          <w:tcPr>
            <w:tcW w:w="1017" w:type="dxa"/>
            <w:shd w:val="clear" w:color="auto" w:fill="auto"/>
            <w:hideMark/>
          </w:tcPr>
          <w:p w:rsidR="003C35F9" w:rsidRPr="00BA5CCE" w:rsidRDefault="003C35F9">
            <w:pPr>
              <w:rPr>
                <w:rFonts w:cs="Arial"/>
                <w:szCs w:val="16"/>
              </w:rPr>
            </w:pPr>
            <w:r w:rsidRPr="00BA5CCE">
              <w:rPr>
                <w:rFonts w:cs="Arial"/>
                <w:szCs w:val="16"/>
              </w:rPr>
              <w:t>30/06/2017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$32,160,197.05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r>
      <w:tr w:rsidR="003C35F9" w:rsidTr="00894EDC">
        <w:trPr>
          <w:trHeight w:val="300"/>
        </w:trPr>
        <w:tc>
          <w:tcPr>
            <w:tcW w:w="768" w:type="dxa"/>
            <w:shd w:val="clear" w:color="auto" w:fill="auto"/>
            <w:hideMark/>
          </w:tcPr>
          <w:p w:rsidR="003C35F9" w:rsidRPr="00BA5CCE" w:rsidRDefault="003C35F9">
            <w:pPr>
              <w:rPr>
                <w:rFonts w:cs="Arial"/>
                <w:szCs w:val="16"/>
              </w:rPr>
            </w:pPr>
            <w:r w:rsidRPr="00BA5CCE">
              <w:rPr>
                <w:rFonts w:cs="Arial"/>
                <w:szCs w:val="16"/>
              </w:rPr>
              <w:t>INH524</w:t>
            </w:r>
          </w:p>
        </w:tc>
        <w:tc>
          <w:tcPr>
            <w:tcW w:w="3500" w:type="dxa"/>
            <w:shd w:val="clear" w:color="auto" w:fill="auto"/>
            <w:hideMark/>
          </w:tcPr>
          <w:p w:rsidR="003C35F9" w:rsidRPr="00BA5CCE" w:rsidRDefault="003C35F9">
            <w:pPr>
              <w:rPr>
                <w:rFonts w:cs="Arial"/>
                <w:szCs w:val="16"/>
              </w:rPr>
            </w:pPr>
            <w:r w:rsidRPr="00BA5CCE">
              <w:rPr>
                <w:rFonts w:cs="Arial"/>
                <w:szCs w:val="16"/>
              </w:rPr>
              <w:t>PACER Plus Support</w:t>
            </w:r>
          </w:p>
        </w:tc>
        <w:tc>
          <w:tcPr>
            <w:tcW w:w="1017" w:type="dxa"/>
            <w:shd w:val="clear" w:color="auto" w:fill="auto"/>
            <w:hideMark/>
          </w:tcPr>
          <w:p w:rsidR="003C35F9" w:rsidRPr="00BA5CCE" w:rsidRDefault="003C35F9">
            <w:pPr>
              <w:rPr>
                <w:rFonts w:cs="Arial"/>
                <w:szCs w:val="16"/>
              </w:rPr>
            </w:pPr>
            <w:r w:rsidRPr="00BA5CCE">
              <w:rPr>
                <w:rFonts w:cs="Arial"/>
                <w:szCs w:val="16"/>
              </w:rPr>
              <w:t>01/07/2007</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$13,284,260.19</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INI174</w:t>
            </w:r>
          </w:p>
        </w:tc>
        <w:tc>
          <w:tcPr>
            <w:tcW w:w="3500" w:type="dxa"/>
            <w:shd w:val="clear" w:color="auto" w:fill="auto"/>
            <w:hideMark/>
          </w:tcPr>
          <w:p w:rsidR="003C35F9" w:rsidRPr="00BA5CCE" w:rsidRDefault="003C35F9">
            <w:pPr>
              <w:rPr>
                <w:rFonts w:cs="Arial"/>
                <w:szCs w:val="16"/>
              </w:rPr>
            </w:pPr>
            <w:r w:rsidRPr="00BA5CCE">
              <w:rPr>
                <w:rFonts w:cs="Arial"/>
                <w:szCs w:val="16"/>
              </w:rPr>
              <w:t>Labour Mobility Seasonal Worker Pilot Scheme</w:t>
            </w:r>
          </w:p>
        </w:tc>
        <w:tc>
          <w:tcPr>
            <w:tcW w:w="1017" w:type="dxa"/>
            <w:shd w:val="clear" w:color="auto" w:fill="auto"/>
            <w:hideMark/>
          </w:tcPr>
          <w:p w:rsidR="003C35F9" w:rsidRPr="00BA5CCE" w:rsidRDefault="003C35F9">
            <w:pPr>
              <w:rPr>
                <w:rFonts w:cs="Arial"/>
                <w:szCs w:val="16"/>
              </w:rPr>
            </w:pPr>
            <w:r w:rsidRPr="00BA5CCE">
              <w:rPr>
                <w:rFonts w:cs="Arial"/>
                <w:szCs w:val="16"/>
              </w:rPr>
              <w:t>01/07/2008</w:t>
            </w:r>
          </w:p>
        </w:tc>
        <w:tc>
          <w:tcPr>
            <w:tcW w:w="1017" w:type="dxa"/>
            <w:shd w:val="clear" w:color="auto" w:fill="auto"/>
            <w:hideMark/>
          </w:tcPr>
          <w:p w:rsidR="003C35F9" w:rsidRPr="00BA5CCE" w:rsidRDefault="003C35F9">
            <w:pPr>
              <w:rPr>
                <w:rFonts w:cs="Arial"/>
                <w:szCs w:val="16"/>
              </w:rPr>
            </w:pPr>
            <w:r w:rsidRPr="00BA5CCE">
              <w:rPr>
                <w:rFonts w:cs="Arial"/>
                <w:szCs w:val="16"/>
              </w:rPr>
              <w:t>30/06/2017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$14,022,294.15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INI864</w:t>
            </w:r>
          </w:p>
        </w:tc>
        <w:tc>
          <w:tcPr>
            <w:tcW w:w="3500" w:type="dxa"/>
            <w:shd w:val="clear" w:color="auto" w:fill="auto"/>
            <w:hideMark/>
          </w:tcPr>
          <w:p w:rsidR="003C35F9" w:rsidRPr="00BA5CCE" w:rsidRDefault="003C35F9">
            <w:pPr>
              <w:rPr>
                <w:rFonts w:cs="Arial"/>
                <w:szCs w:val="16"/>
              </w:rPr>
            </w:pPr>
            <w:r w:rsidRPr="00BA5CCE">
              <w:rPr>
                <w:rFonts w:cs="Arial"/>
                <w:szCs w:val="16"/>
              </w:rPr>
              <w:t>Pacific Public Sector Linkages Program</w:t>
            </w:r>
          </w:p>
        </w:tc>
        <w:tc>
          <w:tcPr>
            <w:tcW w:w="1017" w:type="dxa"/>
            <w:shd w:val="clear" w:color="auto" w:fill="auto"/>
            <w:hideMark/>
          </w:tcPr>
          <w:p w:rsidR="003C35F9" w:rsidRPr="00BA5CCE" w:rsidRDefault="003C35F9">
            <w:pPr>
              <w:rPr>
                <w:rFonts w:cs="Arial"/>
                <w:szCs w:val="16"/>
              </w:rPr>
            </w:pPr>
            <w:r w:rsidRPr="00BA5CCE">
              <w:rPr>
                <w:rFonts w:cs="Arial"/>
                <w:szCs w:val="16"/>
              </w:rPr>
              <w:t>01/07/2009</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$27,012,015.56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INI898</w:t>
            </w:r>
          </w:p>
        </w:tc>
        <w:tc>
          <w:tcPr>
            <w:tcW w:w="3500" w:type="dxa"/>
            <w:shd w:val="clear" w:color="auto" w:fill="auto"/>
            <w:hideMark/>
          </w:tcPr>
          <w:p w:rsidR="003C35F9" w:rsidRPr="00BA5CCE" w:rsidRDefault="003C35F9">
            <w:pPr>
              <w:rPr>
                <w:rFonts w:cs="Arial"/>
                <w:szCs w:val="16"/>
              </w:rPr>
            </w:pPr>
            <w:r w:rsidRPr="00BA5CCE">
              <w:rPr>
                <w:rFonts w:cs="Arial"/>
                <w:szCs w:val="16"/>
              </w:rPr>
              <w:t>Australian Support for UNDP PFIP</w:t>
            </w:r>
          </w:p>
        </w:tc>
        <w:tc>
          <w:tcPr>
            <w:tcW w:w="1017" w:type="dxa"/>
            <w:shd w:val="clear" w:color="auto" w:fill="auto"/>
            <w:hideMark/>
          </w:tcPr>
          <w:p w:rsidR="003C35F9" w:rsidRPr="00BA5CCE" w:rsidRDefault="003C35F9">
            <w:pPr>
              <w:rPr>
                <w:rFonts w:cs="Arial"/>
                <w:szCs w:val="16"/>
              </w:rPr>
            </w:pPr>
            <w:r w:rsidRPr="00BA5CCE">
              <w:rPr>
                <w:rFonts w:cs="Arial"/>
                <w:szCs w:val="16"/>
              </w:rPr>
              <w:t>01/07/2009</w:t>
            </w:r>
          </w:p>
        </w:tc>
        <w:tc>
          <w:tcPr>
            <w:tcW w:w="1017" w:type="dxa"/>
            <w:shd w:val="clear" w:color="auto" w:fill="auto"/>
            <w:hideMark/>
          </w:tcPr>
          <w:p w:rsidR="003C35F9" w:rsidRPr="00BA5CCE" w:rsidRDefault="003C35F9">
            <w:pPr>
              <w:rPr>
                <w:rFonts w:cs="Arial"/>
                <w:szCs w:val="16"/>
              </w:rPr>
            </w:pPr>
            <w:r w:rsidRPr="00BA5CCE">
              <w:rPr>
                <w:rFonts w:cs="Arial"/>
                <w:szCs w:val="16"/>
              </w:rPr>
              <w:t>31/12/2017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$19,465,000.00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INI976</w:t>
            </w:r>
          </w:p>
        </w:tc>
        <w:tc>
          <w:tcPr>
            <w:tcW w:w="3500" w:type="dxa"/>
            <w:shd w:val="clear" w:color="auto" w:fill="auto"/>
            <w:hideMark/>
          </w:tcPr>
          <w:p w:rsidR="003C35F9" w:rsidRPr="00BA5CCE" w:rsidRDefault="003C35F9">
            <w:pPr>
              <w:rPr>
                <w:rFonts w:cs="Arial"/>
                <w:szCs w:val="16"/>
              </w:rPr>
            </w:pPr>
            <w:r w:rsidRPr="00BA5CCE">
              <w:rPr>
                <w:rFonts w:cs="Arial"/>
                <w:szCs w:val="16"/>
              </w:rPr>
              <w:t>World Bank Pacific Facility</w:t>
            </w:r>
          </w:p>
        </w:tc>
        <w:tc>
          <w:tcPr>
            <w:tcW w:w="1017" w:type="dxa"/>
            <w:shd w:val="clear" w:color="auto" w:fill="auto"/>
            <w:hideMark/>
          </w:tcPr>
          <w:p w:rsidR="003C35F9" w:rsidRPr="00BA5CCE" w:rsidRDefault="003C35F9">
            <w:pPr>
              <w:rPr>
                <w:rFonts w:cs="Arial"/>
                <w:szCs w:val="16"/>
              </w:rPr>
            </w:pPr>
            <w:r w:rsidRPr="00BA5CCE">
              <w:rPr>
                <w:rFonts w:cs="Arial"/>
                <w:szCs w:val="16"/>
              </w:rPr>
              <w:t>01/07/2009</w:t>
            </w:r>
          </w:p>
        </w:tc>
        <w:tc>
          <w:tcPr>
            <w:tcW w:w="1017" w:type="dxa"/>
            <w:shd w:val="clear" w:color="auto" w:fill="auto"/>
            <w:hideMark/>
          </w:tcPr>
          <w:p w:rsidR="003C35F9" w:rsidRPr="00BA5CCE" w:rsidRDefault="003C35F9">
            <w:pPr>
              <w:rPr>
                <w:rFonts w:cs="Arial"/>
                <w:szCs w:val="16"/>
              </w:rPr>
            </w:pPr>
            <w:r w:rsidRPr="00BA5CCE">
              <w:rPr>
                <w:rFonts w:cs="Arial"/>
                <w:szCs w:val="16"/>
              </w:rPr>
              <w:t>31/12/2014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$25,600,007.22</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INJ201</w:t>
            </w:r>
          </w:p>
        </w:tc>
        <w:tc>
          <w:tcPr>
            <w:tcW w:w="3500" w:type="dxa"/>
            <w:shd w:val="clear" w:color="auto" w:fill="auto"/>
            <w:hideMark/>
          </w:tcPr>
          <w:p w:rsidR="003C35F9" w:rsidRPr="00BA5CCE" w:rsidRDefault="003C35F9">
            <w:pPr>
              <w:rPr>
                <w:rFonts w:cs="Arial"/>
                <w:szCs w:val="16"/>
              </w:rPr>
            </w:pPr>
            <w:r w:rsidRPr="00BA5CCE">
              <w:rPr>
                <w:rFonts w:cs="Arial"/>
                <w:szCs w:val="16"/>
              </w:rPr>
              <w:t>Fisheries Development Assistance in the Pacific</w:t>
            </w:r>
          </w:p>
        </w:tc>
        <w:tc>
          <w:tcPr>
            <w:tcW w:w="1017" w:type="dxa"/>
            <w:shd w:val="clear" w:color="auto" w:fill="auto"/>
            <w:hideMark/>
          </w:tcPr>
          <w:p w:rsidR="003C35F9" w:rsidRPr="00BA5CCE" w:rsidRDefault="003C35F9">
            <w:pPr>
              <w:rPr>
                <w:rFonts w:cs="Arial"/>
                <w:szCs w:val="16"/>
              </w:rPr>
            </w:pPr>
            <w:r w:rsidRPr="00BA5CCE">
              <w:rPr>
                <w:rFonts w:cs="Arial"/>
                <w:szCs w:val="16"/>
              </w:rPr>
              <w:t>01/06/2010</w:t>
            </w:r>
          </w:p>
        </w:tc>
        <w:tc>
          <w:tcPr>
            <w:tcW w:w="1017" w:type="dxa"/>
            <w:shd w:val="clear" w:color="auto" w:fill="auto"/>
            <w:hideMark/>
          </w:tcPr>
          <w:p w:rsidR="003C35F9" w:rsidRPr="00BA5CCE" w:rsidRDefault="003C35F9">
            <w:pPr>
              <w:rPr>
                <w:rFonts w:cs="Arial"/>
                <w:szCs w:val="16"/>
              </w:rPr>
            </w:pPr>
            <w:r w:rsidRPr="00BA5CCE">
              <w:rPr>
                <w:rFonts w:cs="Arial"/>
                <w:szCs w:val="16"/>
              </w:rPr>
              <w:t>31/08/2016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$25,170,000.00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INJ209</w:t>
            </w:r>
          </w:p>
        </w:tc>
        <w:tc>
          <w:tcPr>
            <w:tcW w:w="3500" w:type="dxa"/>
            <w:shd w:val="clear" w:color="auto" w:fill="auto"/>
            <w:hideMark/>
          </w:tcPr>
          <w:p w:rsidR="003C35F9" w:rsidRPr="00BA5CCE" w:rsidRDefault="003C35F9">
            <w:pPr>
              <w:rPr>
                <w:rFonts w:cs="Arial"/>
                <w:szCs w:val="16"/>
              </w:rPr>
            </w:pPr>
            <w:r w:rsidRPr="00BA5CCE">
              <w:rPr>
                <w:rFonts w:cs="Arial"/>
                <w:szCs w:val="16"/>
              </w:rPr>
              <w:t>Program to Strengthen Pacific Statistics</w:t>
            </w:r>
          </w:p>
        </w:tc>
        <w:tc>
          <w:tcPr>
            <w:tcW w:w="1017" w:type="dxa"/>
            <w:shd w:val="clear" w:color="auto" w:fill="auto"/>
            <w:hideMark/>
          </w:tcPr>
          <w:p w:rsidR="003C35F9" w:rsidRPr="00BA5CCE" w:rsidRDefault="003C35F9">
            <w:pPr>
              <w:rPr>
                <w:rFonts w:cs="Arial"/>
                <w:szCs w:val="16"/>
              </w:rPr>
            </w:pPr>
            <w:r w:rsidRPr="00BA5CCE">
              <w:rPr>
                <w:rFonts w:cs="Arial"/>
                <w:szCs w:val="16"/>
              </w:rPr>
              <w:t>03/02/2010</w:t>
            </w:r>
          </w:p>
        </w:tc>
        <w:tc>
          <w:tcPr>
            <w:tcW w:w="1017" w:type="dxa"/>
            <w:shd w:val="clear" w:color="auto" w:fill="auto"/>
            <w:hideMark/>
          </w:tcPr>
          <w:p w:rsidR="003C35F9" w:rsidRPr="00BA5CCE" w:rsidRDefault="003C35F9">
            <w:pPr>
              <w:rPr>
                <w:rFonts w:cs="Arial"/>
                <w:szCs w:val="16"/>
              </w:rPr>
            </w:pPr>
            <w:r w:rsidRPr="00BA5CCE">
              <w:rPr>
                <w:rFonts w:cs="Arial"/>
                <w:szCs w:val="16"/>
              </w:rPr>
              <w:t>31/12/2016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$11,445,564.58</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INJ210</w:t>
            </w:r>
          </w:p>
        </w:tc>
        <w:tc>
          <w:tcPr>
            <w:tcW w:w="3500" w:type="dxa"/>
            <w:shd w:val="clear" w:color="auto" w:fill="auto"/>
            <w:hideMark/>
          </w:tcPr>
          <w:p w:rsidR="003C35F9" w:rsidRPr="00BA5CCE" w:rsidRDefault="003C35F9">
            <w:pPr>
              <w:rPr>
                <w:rFonts w:cs="Arial"/>
                <w:szCs w:val="16"/>
              </w:rPr>
            </w:pPr>
            <w:r w:rsidRPr="00BA5CCE">
              <w:rPr>
                <w:rFonts w:cs="Arial"/>
                <w:szCs w:val="16"/>
              </w:rPr>
              <w:t>Pacific Institute for Public Policy core funding</w:t>
            </w:r>
          </w:p>
        </w:tc>
        <w:tc>
          <w:tcPr>
            <w:tcW w:w="1017" w:type="dxa"/>
            <w:shd w:val="clear" w:color="auto" w:fill="auto"/>
            <w:hideMark/>
          </w:tcPr>
          <w:p w:rsidR="003C35F9" w:rsidRPr="00BA5CCE" w:rsidRDefault="003C35F9">
            <w:pPr>
              <w:rPr>
                <w:rFonts w:cs="Arial"/>
                <w:szCs w:val="16"/>
              </w:rPr>
            </w:pPr>
            <w:r w:rsidRPr="00BA5CCE">
              <w:rPr>
                <w:rFonts w:cs="Arial"/>
                <w:szCs w:val="16"/>
              </w:rPr>
              <w:t>15/03/2010</w:t>
            </w:r>
          </w:p>
        </w:tc>
        <w:tc>
          <w:tcPr>
            <w:tcW w:w="1017" w:type="dxa"/>
            <w:shd w:val="clear" w:color="auto" w:fill="auto"/>
            <w:hideMark/>
          </w:tcPr>
          <w:p w:rsidR="003C35F9" w:rsidRPr="00BA5CCE" w:rsidRDefault="003C35F9">
            <w:pPr>
              <w:rPr>
                <w:rFonts w:cs="Arial"/>
                <w:szCs w:val="16"/>
              </w:rPr>
            </w:pPr>
            <w:r w:rsidRPr="00BA5CCE">
              <w:rPr>
                <w:rFonts w:cs="Arial"/>
                <w:szCs w:val="16"/>
              </w:rPr>
              <w:t>30/06/2013</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$3,016,780.00</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INJ261</w:t>
            </w:r>
          </w:p>
        </w:tc>
        <w:tc>
          <w:tcPr>
            <w:tcW w:w="3500" w:type="dxa"/>
            <w:shd w:val="clear" w:color="auto" w:fill="auto"/>
            <w:hideMark/>
          </w:tcPr>
          <w:p w:rsidR="003C35F9" w:rsidRPr="00BA5CCE" w:rsidRDefault="003C35F9">
            <w:pPr>
              <w:rPr>
                <w:rFonts w:cs="Arial"/>
                <w:szCs w:val="16"/>
              </w:rPr>
            </w:pPr>
            <w:r w:rsidRPr="00BA5CCE">
              <w:rPr>
                <w:rFonts w:cs="Arial"/>
                <w:szCs w:val="16"/>
              </w:rPr>
              <w:t>Scholarships French Collectivities ADS</w:t>
            </w:r>
          </w:p>
        </w:tc>
        <w:tc>
          <w:tcPr>
            <w:tcW w:w="1017" w:type="dxa"/>
            <w:shd w:val="clear" w:color="auto" w:fill="auto"/>
            <w:hideMark/>
          </w:tcPr>
          <w:p w:rsidR="003C35F9" w:rsidRPr="00BA5CCE" w:rsidRDefault="003C35F9">
            <w:pPr>
              <w:rPr>
                <w:rFonts w:cs="Arial"/>
                <w:szCs w:val="16"/>
              </w:rPr>
            </w:pPr>
            <w:r w:rsidRPr="00BA5CCE">
              <w:rPr>
                <w:rFonts w:cs="Arial"/>
                <w:szCs w:val="16"/>
              </w:rPr>
              <w:t>01/01/2010</w:t>
            </w:r>
          </w:p>
        </w:tc>
        <w:tc>
          <w:tcPr>
            <w:tcW w:w="1017" w:type="dxa"/>
            <w:shd w:val="clear" w:color="auto" w:fill="auto"/>
            <w:hideMark/>
          </w:tcPr>
          <w:p w:rsidR="003C35F9" w:rsidRPr="00BA5CCE" w:rsidRDefault="003C35F9">
            <w:pPr>
              <w:rPr>
                <w:rFonts w:cs="Arial"/>
                <w:szCs w:val="16"/>
              </w:rPr>
            </w:pPr>
            <w:r w:rsidRPr="00BA5CCE">
              <w:rPr>
                <w:rFonts w:cs="Arial"/>
                <w:szCs w:val="16"/>
              </w:rPr>
              <w:t>30/06/2017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$4,569,147.93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INJ488</w:t>
            </w:r>
          </w:p>
        </w:tc>
        <w:tc>
          <w:tcPr>
            <w:tcW w:w="3500" w:type="dxa"/>
            <w:shd w:val="clear" w:color="auto" w:fill="auto"/>
            <w:hideMark/>
          </w:tcPr>
          <w:p w:rsidR="003C35F9" w:rsidRPr="00BA5CCE" w:rsidRDefault="003C35F9">
            <w:pPr>
              <w:rPr>
                <w:rFonts w:cs="Arial"/>
                <w:szCs w:val="16"/>
              </w:rPr>
            </w:pPr>
            <w:r w:rsidRPr="00BA5CCE">
              <w:rPr>
                <w:rFonts w:cs="Arial"/>
                <w:szCs w:val="16"/>
              </w:rPr>
              <w:t>Climate and Oceans Support Program in the Pacific</w:t>
            </w:r>
          </w:p>
        </w:tc>
        <w:tc>
          <w:tcPr>
            <w:tcW w:w="1017" w:type="dxa"/>
            <w:shd w:val="clear" w:color="auto" w:fill="auto"/>
            <w:hideMark/>
          </w:tcPr>
          <w:p w:rsidR="003C35F9" w:rsidRPr="00BA5CCE" w:rsidRDefault="003C35F9">
            <w:pPr>
              <w:rPr>
                <w:rFonts w:cs="Arial"/>
                <w:szCs w:val="16"/>
              </w:rPr>
            </w:pPr>
            <w:r w:rsidRPr="00BA5CCE">
              <w:rPr>
                <w:rFonts w:cs="Arial"/>
                <w:szCs w:val="16"/>
              </w:rPr>
              <w:t>11/10/2010</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$32,121,202.97</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lastRenderedPageBreak/>
              <w:t>INJ589</w:t>
            </w:r>
          </w:p>
        </w:tc>
        <w:tc>
          <w:tcPr>
            <w:tcW w:w="3500" w:type="dxa"/>
            <w:shd w:val="clear" w:color="auto" w:fill="auto"/>
            <w:hideMark/>
          </w:tcPr>
          <w:p w:rsidR="003C35F9" w:rsidRPr="00BA5CCE" w:rsidRDefault="003C35F9">
            <w:pPr>
              <w:rPr>
                <w:rFonts w:cs="Arial"/>
                <w:szCs w:val="16"/>
              </w:rPr>
            </w:pPr>
            <w:r w:rsidRPr="00BA5CCE">
              <w:rPr>
                <w:rFonts w:cs="Arial"/>
                <w:szCs w:val="16"/>
              </w:rPr>
              <w:t>Pacific Fisheries and Food Security - SPC</w:t>
            </w:r>
          </w:p>
        </w:tc>
        <w:tc>
          <w:tcPr>
            <w:tcW w:w="1017" w:type="dxa"/>
            <w:shd w:val="clear" w:color="auto" w:fill="auto"/>
            <w:hideMark/>
          </w:tcPr>
          <w:p w:rsidR="003C35F9" w:rsidRPr="00BA5CCE" w:rsidRDefault="003C35F9">
            <w:pPr>
              <w:rPr>
                <w:rFonts w:cs="Arial"/>
                <w:szCs w:val="16"/>
              </w:rPr>
            </w:pPr>
            <w:r w:rsidRPr="00BA5CCE">
              <w:rPr>
                <w:rFonts w:cs="Arial"/>
                <w:szCs w:val="16"/>
              </w:rPr>
              <w:t>10/10/2010</w:t>
            </w:r>
          </w:p>
        </w:tc>
        <w:tc>
          <w:tcPr>
            <w:tcW w:w="1017" w:type="dxa"/>
            <w:shd w:val="clear" w:color="auto" w:fill="auto"/>
            <w:hideMark/>
          </w:tcPr>
          <w:p w:rsidR="003C35F9" w:rsidRPr="00BA5CCE" w:rsidRDefault="003C35F9">
            <w:pPr>
              <w:rPr>
                <w:rFonts w:cs="Arial"/>
                <w:szCs w:val="16"/>
              </w:rPr>
            </w:pPr>
            <w:r w:rsidRPr="00BA5CCE">
              <w:rPr>
                <w:rFonts w:cs="Arial"/>
                <w:szCs w:val="16"/>
              </w:rPr>
              <w:t>30/11/2015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$9,578,106.00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300"/>
        </w:trPr>
        <w:tc>
          <w:tcPr>
            <w:tcW w:w="768" w:type="dxa"/>
            <w:shd w:val="clear" w:color="auto" w:fill="auto"/>
            <w:hideMark/>
          </w:tcPr>
          <w:p w:rsidR="003C35F9" w:rsidRPr="00BA5CCE" w:rsidRDefault="003C35F9">
            <w:pPr>
              <w:rPr>
                <w:rFonts w:cs="Arial"/>
                <w:szCs w:val="16"/>
              </w:rPr>
            </w:pPr>
            <w:r w:rsidRPr="00BA5CCE">
              <w:rPr>
                <w:rFonts w:cs="Arial"/>
                <w:szCs w:val="16"/>
              </w:rPr>
              <w:t>INK303</w:t>
            </w:r>
          </w:p>
        </w:tc>
        <w:tc>
          <w:tcPr>
            <w:tcW w:w="3500" w:type="dxa"/>
            <w:shd w:val="clear" w:color="auto" w:fill="auto"/>
            <w:hideMark/>
          </w:tcPr>
          <w:p w:rsidR="003C35F9" w:rsidRPr="00BA5CCE" w:rsidRDefault="003C35F9">
            <w:pPr>
              <w:rPr>
                <w:rFonts w:cs="Arial"/>
                <w:szCs w:val="16"/>
              </w:rPr>
            </w:pPr>
            <w:r w:rsidRPr="00BA5CCE">
              <w:rPr>
                <w:rFonts w:cs="Arial"/>
                <w:szCs w:val="16"/>
              </w:rPr>
              <w:t>PACCSAPP</w:t>
            </w:r>
          </w:p>
        </w:tc>
        <w:tc>
          <w:tcPr>
            <w:tcW w:w="1017" w:type="dxa"/>
            <w:shd w:val="clear" w:color="auto" w:fill="auto"/>
            <w:hideMark/>
          </w:tcPr>
          <w:p w:rsidR="003C35F9" w:rsidRPr="00BA5CCE" w:rsidRDefault="003C35F9">
            <w:pPr>
              <w:rPr>
                <w:rFonts w:cs="Arial"/>
                <w:szCs w:val="16"/>
              </w:rPr>
            </w:pPr>
            <w:r w:rsidRPr="00BA5CCE">
              <w:rPr>
                <w:rFonts w:cs="Arial"/>
                <w:szCs w:val="16"/>
              </w:rPr>
              <w:t>12/12/2011</w:t>
            </w:r>
          </w:p>
        </w:tc>
        <w:tc>
          <w:tcPr>
            <w:tcW w:w="1017" w:type="dxa"/>
            <w:shd w:val="clear" w:color="auto" w:fill="auto"/>
            <w:hideMark/>
          </w:tcPr>
          <w:p w:rsidR="003C35F9" w:rsidRPr="00BA5CCE" w:rsidRDefault="003C35F9">
            <w:pPr>
              <w:rPr>
                <w:rFonts w:cs="Arial"/>
                <w:szCs w:val="16"/>
              </w:rPr>
            </w:pPr>
            <w:r w:rsidRPr="00BA5CCE">
              <w:rPr>
                <w:rFonts w:cs="Arial"/>
                <w:szCs w:val="16"/>
              </w:rPr>
              <w:t>31/12/2014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$32,168,000.00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INK496</w:t>
            </w:r>
          </w:p>
        </w:tc>
        <w:tc>
          <w:tcPr>
            <w:tcW w:w="3500" w:type="dxa"/>
            <w:shd w:val="clear" w:color="auto" w:fill="auto"/>
            <w:hideMark/>
          </w:tcPr>
          <w:p w:rsidR="003C35F9" w:rsidRPr="00BA5CCE" w:rsidRDefault="003C35F9">
            <w:pPr>
              <w:rPr>
                <w:rFonts w:cs="Arial"/>
                <w:szCs w:val="16"/>
              </w:rPr>
            </w:pPr>
            <w:r w:rsidRPr="00BA5CCE">
              <w:rPr>
                <w:rFonts w:cs="Arial"/>
                <w:szCs w:val="16"/>
              </w:rPr>
              <w:t>Pacific Women Shaping Pacific Development</w:t>
            </w:r>
          </w:p>
        </w:tc>
        <w:tc>
          <w:tcPr>
            <w:tcW w:w="1017" w:type="dxa"/>
            <w:shd w:val="clear" w:color="auto" w:fill="auto"/>
            <w:hideMark/>
          </w:tcPr>
          <w:p w:rsidR="003C35F9" w:rsidRPr="00BA5CCE" w:rsidRDefault="003C35F9">
            <w:pPr>
              <w:rPr>
                <w:rFonts w:cs="Arial"/>
                <w:szCs w:val="16"/>
              </w:rPr>
            </w:pPr>
            <w:r w:rsidRPr="00BA5CCE">
              <w:rPr>
                <w:rFonts w:cs="Arial"/>
                <w:szCs w:val="16"/>
              </w:rPr>
              <w:t>02/04/2012</w:t>
            </w:r>
          </w:p>
        </w:tc>
        <w:tc>
          <w:tcPr>
            <w:tcW w:w="1017" w:type="dxa"/>
            <w:shd w:val="clear" w:color="auto" w:fill="auto"/>
            <w:hideMark/>
          </w:tcPr>
          <w:p w:rsidR="003C35F9" w:rsidRPr="00BA5CCE" w:rsidRDefault="003C35F9">
            <w:pPr>
              <w:rPr>
                <w:rFonts w:cs="Arial"/>
                <w:szCs w:val="16"/>
              </w:rPr>
            </w:pPr>
            <w:r w:rsidRPr="00BA5CCE">
              <w:rPr>
                <w:rFonts w:cs="Arial"/>
                <w:szCs w:val="16"/>
              </w:rPr>
              <w:t>30/06/2022</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$171,758,584.71</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INK522</w:t>
            </w:r>
          </w:p>
        </w:tc>
        <w:tc>
          <w:tcPr>
            <w:tcW w:w="3500" w:type="dxa"/>
            <w:shd w:val="clear" w:color="auto" w:fill="auto"/>
            <w:hideMark/>
          </w:tcPr>
          <w:p w:rsidR="003C35F9" w:rsidRPr="00BA5CCE" w:rsidRDefault="003C35F9">
            <w:pPr>
              <w:rPr>
                <w:rFonts w:cs="Arial"/>
                <w:szCs w:val="16"/>
              </w:rPr>
            </w:pPr>
            <w:r w:rsidRPr="00BA5CCE">
              <w:rPr>
                <w:rFonts w:cs="Arial"/>
                <w:szCs w:val="16"/>
              </w:rPr>
              <w:t>ADB's Enhancing Engagement with Pacific  - Phase 2</w:t>
            </w:r>
          </w:p>
        </w:tc>
        <w:tc>
          <w:tcPr>
            <w:tcW w:w="1017" w:type="dxa"/>
            <w:shd w:val="clear" w:color="auto" w:fill="auto"/>
            <w:hideMark/>
          </w:tcPr>
          <w:p w:rsidR="003C35F9" w:rsidRPr="00BA5CCE" w:rsidRDefault="003C35F9">
            <w:pPr>
              <w:rPr>
                <w:rFonts w:cs="Arial"/>
                <w:szCs w:val="16"/>
              </w:rPr>
            </w:pPr>
            <w:r w:rsidRPr="00BA5CCE">
              <w:rPr>
                <w:rFonts w:cs="Arial"/>
                <w:szCs w:val="16"/>
              </w:rPr>
              <w:t>05/03/2012</w:t>
            </w:r>
          </w:p>
        </w:tc>
        <w:tc>
          <w:tcPr>
            <w:tcW w:w="1017" w:type="dxa"/>
            <w:shd w:val="clear" w:color="auto" w:fill="auto"/>
            <w:hideMark/>
          </w:tcPr>
          <w:p w:rsidR="003C35F9" w:rsidRPr="00BA5CCE" w:rsidRDefault="003C35F9">
            <w:pPr>
              <w:rPr>
                <w:rFonts w:cs="Arial"/>
                <w:szCs w:val="16"/>
              </w:rPr>
            </w:pPr>
            <w:r w:rsidRPr="00BA5CCE">
              <w:rPr>
                <w:rFonts w:cs="Arial"/>
                <w:szCs w:val="16"/>
              </w:rPr>
              <w:t>30/06/2014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$3,286,000.00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INK693</w:t>
            </w:r>
          </w:p>
        </w:tc>
        <w:tc>
          <w:tcPr>
            <w:tcW w:w="3500" w:type="dxa"/>
            <w:shd w:val="clear" w:color="auto" w:fill="auto"/>
            <w:hideMark/>
          </w:tcPr>
          <w:p w:rsidR="003C35F9" w:rsidRPr="00BA5CCE" w:rsidRDefault="003C35F9">
            <w:pPr>
              <w:rPr>
                <w:rFonts w:cs="Arial"/>
                <w:szCs w:val="16"/>
              </w:rPr>
            </w:pPr>
            <w:r w:rsidRPr="00BA5CCE">
              <w:rPr>
                <w:rFonts w:cs="Arial"/>
                <w:szCs w:val="16"/>
              </w:rPr>
              <w:t>Pacific Infrastructure Program</w:t>
            </w:r>
          </w:p>
        </w:tc>
        <w:tc>
          <w:tcPr>
            <w:tcW w:w="1017" w:type="dxa"/>
            <w:shd w:val="clear" w:color="auto" w:fill="auto"/>
            <w:hideMark/>
          </w:tcPr>
          <w:p w:rsidR="003C35F9" w:rsidRPr="00BA5CCE" w:rsidRDefault="003C35F9">
            <w:pPr>
              <w:rPr>
                <w:rFonts w:cs="Arial"/>
                <w:szCs w:val="16"/>
              </w:rPr>
            </w:pPr>
            <w:r w:rsidRPr="00BA5CCE">
              <w:rPr>
                <w:rFonts w:cs="Arial"/>
                <w:szCs w:val="16"/>
              </w:rPr>
              <w:t>18/07/2012</w:t>
            </w:r>
          </w:p>
        </w:tc>
        <w:tc>
          <w:tcPr>
            <w:tcW w:w="1017" w:type="dxa"/>
            <w:shd w:val="clear" w:color="auto" w:fill="auto"/>
            <w:hideMark/>
          </w:tcPr>
          <w:p w:rsidR="003C35F9" w:rsidRPr="00BA5CCE" w:rsidRDefault="003C35F9">
            <w:pPr>
              <w:rPr>
                <w:rFonts w:cs="Arial"/>
                <w:szCs w:val="16"/>
              </w:rPr>
            </w:pPr>
            <w:r w:rsidRPr="00BA5CCE">
              <w:rPr>
                <w:rFonts w:cs="Arial"/>
                <w:szCs w:val="16"/>
              </w:rPr>
              <w:t>15/06/2017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$10,056,296.49</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INK730</w:t>
            </w:r>
          </w:p>
        </w:tc>
        <w:tc>
          <w:tcPr>
            <w:tcW w:w="3500" w:type="dxa"/>
            <w:shd w:val="clear" w:color="auto" w:fill="auto"/>
            <w:hideMark/>
          </w:tcPr>
          <w:p w:rsidR="003C35F9" w:rsidRPr="00BA5CCE" w:rsidRDefault="003C35F9">
            <w:pPr>
              <w:rPr>
                <w:rFonts w:cs="Arial"/>
                <w:szCs w:val="16"/>
              </w:rPr>
            </w:pPr>
            <w:r w:rsidRPr="00BA5CCE">
              <w:rPr>
                <w:rFonts w:cs="Arial"/>
                <w:szCs w:val="16"/>
              </w:rPr>
              <w:t>Regional Public Financial Management - Pacific</w:t>
            </w:r>
          </w:p>
        </w:tc>
        <w:tc>
          <w:tcPr>
            <w:tcW w:w="1017" w:type="dxa"/>
            <w:shd w:val="clear" w:color="auto" w:fill="auto"/>
            <w:hideMark/>
          </w:tcPr>
          <w:p w:rsidR="003C35F9" w:rsidRPr="00BA5CCE" w:rsidRDefault="003C35F9">
            <w:pPr>
              <w:rPr>
                <w:rFonts w:cs="Arial"/>
                <w:szCs w:val="16"/>
              </w:rPr>
            </w:pPr>
            <w:r w:rsidRPr="00BA5CCE">
              <w:rPr>
                <w:rFonts w:cs="Arial"/>
                <w:szCs w:val="16"/>
              </w:rPr>
              <w:t>01/07/2012</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$3,864,840.00</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INK806</w:t>
            </w:r>
          </w:p>
        </w:tc>
        <w:tc>
          <w:tcPr>
            <w:tcW w:w="3500" w:type="dxa"/>
            <w:shd w:val="clear" w:color="auto" w:fill="auto"/>
            <w:hideMark/>
          </w:tcPr>
          <w:p w:rsidR="003C35F9" w:rsidRPr="00BA5CCE" w:rsidRDefault="003C35F9">
            <w:pPr>
              <w:rPr>
                <w:rFonts w:cs="Arial"/>
                <w:szCs w:val="16"/>
              </w:rPr>
            </w:pPr>
            <w:r w:rsidRPr="00BA5CCE">
              <w:rPr>
                <w:rFonts w:cs="Arial"/>
                <w:szCs w:val="16"/>
              </w:rPr>
              <w:t>International Finance Corporation Pacific E.Timor</w:t>
            </w:r>
          </w:p>
        </w:tc>
        <w:tc>
          <w:tcPr>
            <w:tcW w:w="1017" w:type="dxa"/>
            <w:shd w:val="clear" w:color="auto" w:fill="auto"/>
            <w:hideMark/>
          </w:tcPr>
          <w:p w:rsidR="003C35F9" w:rsidRPr="00BA5CCE" w:rsidRDefault="003C35F9">
            <w:pPr>
              <w:rPr>
                <w:rFonts w:cs="Arial"/>
                <w:szCs w:val="16"/>
              </w:rPr>
            </w:pPr>
            <w:r w:rsidRPr="00BA5CCE">
              <w:rPr>
                <w:rFonts w:cs="Arial"/>
                <w:szCs w:val="16"/>
              </w:rPr>
              <w:t>01/10/2012</w:t>
            </w:r>
          </w:p>
        </w:tc>
        <w:tc>
          <w:tcPr>
            <w:tcW w:w="1017" w:type="dxa"/>
            <w:shd w:val="clear" w:color="auto" w:fill="auto"/>
            <w:hideMark/>
          </w:tcPr>
          <w:p w:rsidR="003C35F9" w:rsidRPr="00BA5CCE" w:rsidRDefault="003C35F9">
            <w:pPr>
              <w:rPr>
                <w:rFonts w:cs="Arial"/>
                <w:szCs w:val="16"/>
              </w:rPr>
            </w:pPr>
            <w:r w:rsidRPr="00BA5CCE">
              <w:rPr>
                <w:rFonts w:cs="Arial"/>
                <w:szCs w:val="16"/>
              </w:rPr>
              <w:t>30/09/2016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$16,000,000.00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INK982</w:t>
            </w:r>
          </w:p>
        </w:tc>
        <w:tc>
          <w:tcPr>
            <w:tcW w:w="3500" w:type="dxa"/>
            <w:shd w:val="clear" w:color="auto" w:fill="auto"/>
            <w:hideMark/>
          </w:tcPr>
          <w:p w:rsidR="003C35F9" w:rsidRPr="00BA5CCE" w:rsidRDefault="003C35F9">
            <w:pPr>
              <w:rPr>
                <w:rFonts w:cs="Arial"/>
                <w:szCs w:val="16"/>
              </w:rPr>
            </w:pPr>
            <w:r w:rsidRPr="00BA5CCE">
              <w:rPr>
                <w:rFonts w:cs="Arial"/>
                <w:szCs w:val="16"/>
              </w:rPr>
              <w:t>Private Sector Development Initiative Phase 3</w:t>
            </w:r>
          </w:p>
        </w:tc>
        <w:tc>
          <w:tcPr>
            <w:tcW w:w="1017" w:type="dxa"/>
            <w:shd w:val="clear" w:color="auto" w:fill="auto"/>
            <w:hideMark/>
          </w:tcPr>
          <w:p w:rsidR="003C35F9" w:rsidRPr="00BA5CCE" w:rsidRDefault="003C35F9">
            <w:pPr>
              <w:rPr>
                <w:rFonts w:cs="Arial"/>
                <w:szCs w:val="16"/>
              </w:rPr>
            </w:pPr>
            <w:r w:rsidRPr="00BA5CCE">
              <w:rPr>
                <w:rFonts w:cs="Arial"/>
                <w:szCs w:val="16"/>
              </w:rPr>
              <w:t>01/07/2013</w:t>
            </w:r>
          </w:p>
        </w:tc>
        <w:tc>
          <w:tcPr>
            <w:tcW w:w="1017" w:type="dxa"/>
            <w:shd w:val="clear" w:color="auto" w:fill="auto"/>
            <w:hideMark/>
          </w:tcPr>
          <w:p w:rsidR="003C35F9" w:rsidRPr="00BA5CCE" w:rsidRDefault="003C35F9">
            <w:pPr>
              <w:rPr>
                <w:rFonts w:cs="Arial"/>
                <w:szCs w:val="16"/>
              </w:rPr>
            </w:pPr>
            <w:r w:rsidRPr="00BA5CCE">
              <w:rPr>
                <w:rFonts w:cs="Arial"/>
                <w:szCs w:val="16"/>
              </w:rPr>
              <w:t>30/06/2019</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$12,250,000.00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INL132</w:t>
            </w:r>
          </w:p>
        </w:tc>
        <w:tc>
          <w:tcPr>
            <w:tcW w:w="3500" w:type="dxa"/>
            <w:shd w:val="clear" w:color="auto" w:fill="auto"/>
            <w:hideMark/>
          </w:tcPr>
          <w:p w:rsidR="003C35F9" w:rsidRPr="00BA5CCE" w:rsidRDefault="003C35F9">
            <w:pPr>
              <w:rPr>
                <w:rFonts w:cs="Arial"/>
                <w:szCs w:val="16"/>
              </w:rPr>
            </w:pPr>
            <w:r w:rsidRPr="00BA5CCE">
              <w:rPr>
                <w:rFonts w:cs="Arial"/>
                <w:szCs w:val="16"/>
              </w:rPr>
              <w:t>Pacific Institute for Public Policy Research</w:t>
            </w:r>
          </w:p>
        </w:tc>
        <w:tc>
          <w:tcPr>
            <w:tcW w:w="1017" w:type="dxa"/>
            <w:shd w:val="clear" w:color="auto" w:fill="auto"/>
            <w:hideMark/>
          </w:tcPr>
          <w:p w:rsidR="003C35F9" w:rsidRPr="00BA5CCE" w:rsidRDefault="003C35F9">
            <w:pPr>
              <w:rPr>
                <w:rFonts w:cs="Arial"/>
                <w:szCs w:val="16"/>
              </w:rPr>
            </w:pPr>
            <w:r w:rsidRPr="00BA5CCE">
              <w:rPr>
                <w:rFonts w:cs="Arial"/>
                <w:szCs w:val="16"/>
              </w:rPr>
              <w:t>01/07/2013</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$3,417,500.00</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INC676</w:t>
            </w:r>
          </w:p>
        </w:tc>
        <w:tc>
          <w:tcPr>
            <w:tcW w:w="3500" w:type="dxa"/>
            <w:shd w:val="clear" w:color="auto" w:fill="auto"/>
            <w:hideMark/>
          </w:tcPr>
          <w:p w:rsidR="003C35F9" w:rsidRPr="00BA5CCE" w:rsidRDefault="003C35F9">
            <w:pPr>
              <w:rPr>
                <w:rFonts w:cs="Arial"/>
                <w:szCs w:val="16"/>
              </w:rPr>
            </w:pPr>
            <w:r w:rsidRPr="00BA5CCE">
              <w:rPr>
                <w:rFonts w:cs="Arial"/>
                <w:szCs w:val="16"/>
              </w:rPr>
              <w:t>Pacific Financial Technical Assistance Centre</w:t>
            </w:r>
          </w:p>
        </w:tc>
        <w:tc>
          <w:tcPr>
            <w:tcW w:w="1017" w:type="dxa"/>
            <w:shd w:val="clear" w:color="auto" w:fill="auto"/>
            <w:hideMark/>
          </w:tcPr>
          <w:p w:rsidR="003C35F9" w:rsidRPr="00BA5CCE" w:rsidRDefault="003C35F9">
            <w:pPr>
              <w:rPr>
                <w:rFonts w:cs="Arial"/>
                <w:szCs w:val="16"/>
              </w:rPr>
            </w:pPr>
            <w:r w:rsidRPr="00BA5CCE">
              <w:rPr>
                <w:rFonts w:cs="Arial"/>
                <w:szCs w:val="16"/>
              </w:rPr>
              <w:t>25/10/1995</w:t>
            </w:r>
          </w:p>
        </w:tc>
        <w:tc>
          <w:tcPr>
            <w:tcW w:w="1017" w:type="dxa"/>
            <w:shd w:val="clear" w:color="auto" w:fill="auto"/>
            <w:hideMark/>
          </w:tcPr>
          <w:p w:rsidR="003C35F9" w:rsidRPr="00BA5CCE" w:rsidRDefault="003C35F9">
            <w:pPr>
              <w:rPr>
                <w:rFonts w:cs="Arial"/>
                <w:szCs w:val="16"/>
              </w:rPr>
            </w:pPr>
            <w:r w:rsidRPr="00BA5CCE">
              <w:rPr>
                <w:rFonts w:cs="Arial"/>
                <w:szCs w:val="16"/>
              </w:rPr>
              <w:t>30/06/2014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$15,501,760.46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300"/>
        </w:trPr>
        <w:tc>
          <w:tcPr>
            <w:tcW w:w="768" w:type="dxa"/>
            <w:shd w:val="clear" w:color="auto" w:fill="auto"/>
            <w:hideMark/>
          </w:tcPr>
          <w:p w:rsidR="003C35F9" w:rsidRPr="00BA5CCE" w:rsidRDefault="003C35F9">
            <w:pPr>
              <w:rPr>
                <w:rFonts w:cs="Arial"/>
                <w:szCs w:val="16"/>
              </w:rPr>
            </w:pPr>
            <w:r w:rsidRPr="00BA5CCE">
              <w:rPr>
                <w:rFonts w:cs="Arial"/>
                <w:szCs w:val="16"/>
              </w:rPr>
              <w:t>INF408</w:t>
            </w:r>
          </w:p>
        </w:tc>
        <w:tc>
          <w:tcPr>
            <w:tcW w:w="3500" w:type="dxa"/>
            <w:shd w:val="clear" w:color="auto" w:fill="auto"/>
            <w:hideMark/>
          </w:tcPr>
          <w:p w:rsidR="003C35F9" w:rsidRPr="00BA5CCE" w:rsidRDefault="003C35F9">
            <w:pPr>
              <w:rPr>
                <w:rFonts w:cs="Arial"/>
                <w:szCs w:val="16"/>
              </w:rPr>
            </w:pPr>
            <w:r w:rsidRPr="00BA5CCE">
              <w:rPr>
                <w:rFonts w:cs="Arial"/>
                <w:szCs w:val="16"/>
              </w:rPr>
              <w:t>Fiji School of Medicine</w:t>
            </w:r>
          </w:p>
        </w:tc>
        <w:tc>
          <w:tcPr>
            <w:tcW w:w="1017" w:type="dxa"/>
            <w:shd w:val="clear" w:color="auto" w:fill="auto"/>
            <w:hideMark/>
          </w:tcPr>
          <w:p w:rsidR="003C35F9" w:rsidRPr="00BA5CCE" w:rsidRDefault="003C35F9">
            <w:pPr>
              <w:rPr>
                <w:rFonts w:cs="Arial"/>
                <w:szCs w:val="16"/>
              </w:rPr>
            </w:pPr>
            <w:r w:rsidRPr="00BA5CCE">
              <w:rPr>
                <w:rFonts w:cs="Arial"/>
                <w:szCs w:val="16"/>
              </w:rPr>
              <w:t>30/05/2002</w:t>
            </w:r>
          </w:p>
        </w:tc>
        <w:tc>
          <w:tcPr>
            <w:tcW w:w="1017" w:type="dxa"/>
            <w:shd w:val="clear" w:color="auto" w:fill="auto"/>
            <w:hideMark/>
          </w:tcPr>
          <w:p w:rsidR="003C35F9" w:rsidRPr="00BA5CCE" w:rsidRDefault="003C35F9">
            <w:pPr>
              <w:rPr>
                <w:rFonts w:cs="Arial"/>
                <w:szCs w:val="16"/>
              </w:rPr>
            </w:pPr>
            <w:r w:rsidRPr="00BA5CCE">
              <w:rPr>
                <w:rFonts w:cs="Arial"/>
                <w:szCs w:val="16"/>
              </w:rPr>
              <w:t>30/06/2013</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$3,000,000.00</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ING482</w:t>
            </w:r>
          </w:p>
        </w:tc>
        <w:tc>
          <w:tcPr>
            <w:tcW w:w="3500" w:type="dxa"/>
            <w:shd w:val="clear" w:color="auto" w:fill="auto"/>
            <w:hideMark/>
          </w:tcPr>
          <w:p w:rsidR="003C35F9" w:rsidRPr="00BA5CCE" w:rsidRDefault="003C35F9">
            <w:pPr>
              <w:rPr>
                <w:rFonts w:cs="Arial"/>
                <w:szCs w:val="16"/>
              </w:rPr>
            </w:pPr>
            <w:r w:rsidRPr="00BA5CCE">
              <w:rPr>
                <w:rFonts w:cs="Arial"/>
                <w:szCs w:val="16"/>
              </w:rPr>
              <w:t>UNDP Pacific Sub Regional Centre</w:t>
            </w:r>
          </w:p>
        </w:tc>
        <w:tc>
          <w:tcPr>
            <w:tcW w:w="1017" w:type="dxa"/>
            <w:shd w:val="clear" w:color="auto" w:fill="auto"/>
            <w:hideMark/>
          </w:tcPr>
          <w:p w:rsidR="003C35F9" w:rsidRPr="00BA5CCE" w:rsidRDefault="003C35F9">
            <w:pPr>
              <w:rPr>
                <w:rFonts w:cs="Arial"/>
                <w:szCs w:val="16"/>
              </w:rPr>
            </w:pPr>
            <w:r w:rsidRPr="00BA5CCE">
              <w:rPr>
                <w:rFonts w:cs="Arial"/>
                <w:szCs w:val="16"/>
              </w:rPr>
              <w:t>01/01/2006</w:t>
            </w:r>
          </w:p>
        </w:tc>
        <w:tc>
          <w:tcPr>
            <w:tcW w:w="1017" w:type="dxa"/>
            <w:shd w:val="clear" w:color="auto" w:fill="auto"/>
            <w:hideMark/>
          </w:tcPr>
          <w:p w:rsidR="003C35F9" w:rsidRPr="00BA5CCE" w:rsidRDefault="003C35F9">
            <w:pPr>
              <w:rPr>
                <w:rFonts w:cs="Arial"/>
                <w:szCs w:val="16"/>
              </w:rPr>
            </w:pPr>
            <w:r w:rsidRPr="00BA5CCE">
              <w:rPr>
                <w:rFonts w:cs="Arial"/>
                <w:szCs w:val="16"/>
              </w:rPr>
              <w:t>30/06/2014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$23,580,334.19</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ING982</w:t>
            </w:r>
          </w:p>
        </w:tc>
        <w:tc>
          <w:tcPr>
            <w:tcW w:w="3500" w:type="dxa"/>
            <w:shd w:val="clear" w:color="auto" w:fill="auto"/>
            <w:hideMark/>
          </w:tcPr>
          <w:p w:rsidR="003C35F9" w:rsidRPr="00BA5CCE" w:rsidRDefault="003C35F9">
            <w:pPr>
              <w:rPr>
                <w:rFonts w:cs="Arial"/>
                <w:szCs w:val="16"/>
              </w:rPr>
            </w:pPr>
            <w:r w:rsidRPr="00BA5CCE">
              <w:rPr>
                <w:rFonts w:cs="Arial"/>
                <w:szCs w:val="16"/>
              </w:rPr>
              <w:t xml:space="preserve">Regional Rights Resource Team (RRRT) </w:t>
            </w:r>
          </w:p>
        </w:tc>
        <w:tc>
          <w:tcPr>
            <w:tcW w:w="1017" w:type="dxa"/>
            <w:shd w:val="clear" w:color="auto" w:fill="auto"/>
            <w:hideMark/>
          </w:tcPr>
          <w:p w:rsidR="003C35F9" w:rsidRPr="00BA5CCE" w:rsidRDefault="003C35F9">
            <w:pPr>
              <w:rPr>
                <w:rFonts w:cs="Arial"/>
                <w:szCs w:val="16"/>
              </w:rPr>
            </w:pPr>
            <w:r w:rsidRPr="00BA5CCE">
              <w:rPr>
                <w:rFonts w:cs="Arial"/>
                <w:szCs w:val="16"/>
              </w:rPr>
              <w:t>01/07/2006</w:t>
            </w:r>
          </w:p>
        </w:tc>
        <w:tc>
          <w:tcPr>
            <w:tcW w:w="1017" w:type="dxa"/>
            <w:shd w:val="clear" w:color="auto" w:fill="auto"/>
            <w:hideMark/>
          </w:tcPr>
          <w:p w:rsidR="003C35F9" w:rsidRPr="00BA5CCE" w:rsidRDefault="003C35F9">
            <w:pPr>
              <w:rPr>
                <w:rFonts w:cs="Arial"/>
                <w:szCs w:val="16"/>
              </w:rPr>
            </w:pPr>
            <w:r w:rsidRPr="00BA5CCE">
              <w:rPr>
                <w:rFonts w:cs="Arial"/>
                <w:szCs w:val="16"/>
              </w:rPr>
              <w:t>31/12/2016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$11,301,097.00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INH528</w:t>
            </w:r>
          </w:p>
        </w:tc>
        <w:tc>
          <w:tcPr>
            <w:tcW w:w="3500" w:type="dxa"/>
            <w:shd w:val="clear" w:color="auto" w:fill="auto"/>
            <w:hideMark/>
          </w:tcPr>
          <w:p w:rsidR="003C35F9" w:rsidRPr="00BA5CCE" w:rsidRDefault="003C35F9">
            <w:pPr>
              <w:rPr>
                <w:rFonts w:cs="Arial"/>
                <w:szCs w:val="16"/>
              </w:rPr>
            </w:pPr>
            <w:r w:rsidRPr="00BA5CCE">
              <w:rPr>
                <w:rFonts w:cs="Arial"/>
                <w:szCs w:val="16"/>
              </w:rPr>
              <w:t>Pacific Leadership Program</w:t>
            </w:r>
          </w:p>
        </w:tc>
        <w:tc>
          <w:tcPr>
            <w:tcW w:w="1017" w:type="dxa"/>
            <w:shd w:val="clear" w:color="auto" w:fill="auto"/>
            <w:hideMark/>
          </w:tcPr>
          <w:p w:rsidR="003C35F9" w:rsidRPr="00BA5CCE" w:rsidRDefault="003C35F9">
            <w:pPr>
              <w:rPr>
                <w:rFonts w:cs="Arial"/>
                <w:szCs w:val="16"/>
              </w:rPr>
            </w:pPr>
            <w:r w:rsidRPr="00BA5CCE">
              <w:rPr>
                <w:rFonts w:cs="Arial"/>
                <w:szCs w:val="16"/>
              </w:rPr>
              <w:t>01/07/2007</w:t>
            </w:r>
          </w:p>
        </w:tc>
        <w:tc>
          <w:tcPr>
            <w:tcW w:w="1017" w:type="dxa"/>
            <w:shd w:val="clear" w:color="auto" w:fill="auto"/>
            <w:hideMark/>
          </w:tcPr>
          <w:p w:rsidR="003C35F9" w:rsidRPr="00BA5CCE" w:rsidRDefault="003C35F9">
            <w:pPr>
              <w:rPr>
                <w:rFonts w:cs="Arial"/>
                <w:szCs w:val="16"/>
              </w:rPr>
            </w:pPr>
            <w:r w:rsidRPr="00BA5CCE">
              <w:rPr>
                <w:rFonts w:cs="Arial"/>
                <w:szCs w:val="16"/>
              </w:rPr>
              <w:t>30/12/2016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$45,499,733.49</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INH796</w:t>
            </w:r>
          </w:p>
        </w:tc>
        <w:tc>
          <w:tcPr>
            <w:tcW w:w="3500" w:type="dxa"/>
            <w:shd w:val="clear" w:color="auto" w:fill="auto"/>
            <w:hideMark/>
          </w:tcPr>
          <w:p w:rsidR="003C35F9" w:rsidRPr="00BA5CCE" w:rsidRDefault="003C35F9">
            <w:pPr>
              <w:rPr>
                <w:rFonts w:cs="Arial"/>
                <w:szCs w:val="16"/>
              </w:rPr>
            </w:pPr>
            <w:r w:rsidRPr="00BA5CCE">
              <w:rPr>
                <w:rFonts w:cs="Arial"/>
                <w:szCs w:val="16"/>
              </w:rPr>
              <w:t>Pacific HIV &amp; STI Response Fund</w:t>
            </w:r>
          </w:p>
        </w:tc>
        <w:tc>
          <w:tcPr>
            <w:tcW w:w="1017" w:type="dxa"/>
            <w:shd w:val="clear" w:color="auto" w:fill="auto"/>
            <w:hideMark/>
          </w:tcPr>
          <w:p w:rsidR="003C35F9" w:rsidRPr="00BA5CCE" w:rsidRDefault="003C35F9">
            <w:pPr>
              <w:rPr>
                <w:rFonts w:cs="Arial"/>
                <w:szCs w:val="16"/>
              </w:rPr>
            </w:pPr>
            <w:r w:rsidRPr="00BA5CCE">
              <w:rPr>
                <w:rFonts w:cs="Arial"/>
                <w:szCs w:val="16"/>
              </w:rPr>
              <w:t>01/10/2008</w:t>
            </w:r>
          </w:p>
        </w:tc>
        <w:tc>
          <w:tcPr>
            <w:tcW w:w="1017" w:type="dxa"/>
            <w:shd w:val="clear" w:color="auto" w:fill="auto"/>
            <w:hideMark/>
          </w:tcPr>
          <w:p w:rsidR="003C35F9" w:rsidRPr="00BA5CCE" w:rsidRDefault="003C35F9">
            <w:pPr>
              <w:rPr>
                <w:rFonts w:cs="Arial"/>
                <w:szCs w:val="16"/>
              </w:rPr>
            </w:pPr>
            <w:r w:rsidRPr="00BA5CCE">
              <w:rPr>
                <w:rFonts w:cs="Arial"/>
                <w:szCs w:val="16"/>
              </w:rPr>
              <w:t>31/01/2015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$21,791,087.69</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INI329</w:t>
            </w:r>
          </w:p>
        </w:tc>
        <w:tc>
          <w:tcPr>
            <w:tcW w:w="3500" w:type="dxa"/>
            <w:shd w:val="clear" w:color="auto" w:fill="auto"/>
            <w:hideMark/>
          </w:tcPr>
          <w:p w:rsidR="003C35F9" w:rsidRPr="00BA5CCE" w:rsidRDefault="003C35F9">
            <w:pPr>
              <w:rPr>
                <w:rFonts w:cs="Arial"/>
                <w:szCs w:val="16"/>
              </w:rPr>
            </w:pPr>
            <w:r w:rsidRPr="00BA5CCE">
              <w:rPr>
                <w:rFonts w:cs="Arial"/>
                <w:szCs w:val="16"/>
              </w:rPr>
              <w:t>Pacific Regional Audit Initiative</w:t>
            </w:r>
          </w:p>
        </w:tc>
        <w:tc>
          <w:tcPr>
            <w:tcW w:w="1017" w:type="dxa"/>
            <w:shd w:val="clear" w:color="auto" w:fill="auto"/>
            <w:hideMark/>
          </w:tcPr>
          <w:p w:rsidR="003C35F9" w:rsidRPr="00BA5CCE" w:rsidRDefault="003C35F9">
            <w:pPr>
              <w:rPr>
                <w:rFonts w:cs="Arial"/>
                <w:szCs w:val="16"/>
              </w:rPr>
            </w:pPr>
            <w:r w:rsidRPr="00BA5CCE">
              <w:rPr>
                <w:rFonts w:cs="Arial"/>
                <w:szCs w:val="16"/>
              </w:rPr>
              <w:t>01/10/2008</w:t>
            </w:r>
          </w:p>
        </w:tc>
        <w:tc>
          <w:tcPr>
            <w:tcW w:w="1017" w:type="dxa"/>
            <w:shd w:val="clear" w:color="auto" w:fill="auto"/>
            <w:hideMark/>
          </w:tcPr>
          <w:p w:rsidR="003C35F9" w:rsidRPr="00BA5CCE" w:rsidRDefault="003C35F9">
            <w:pPr>
              <w:rPr>
                <w:rFonts w:cs="Arial"/>
                <w:szCs w:val="16"/>
              </w:rPr>
            </w:pPr>
            <w:r w:rsidRPr="00BA5CCE">
              <w:rPr>
                <w:rFonts w:cs="Arial"/>
                <w:szCs w:val="16"/>
              </w:rPr>
              <w:t>30/06/2014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$4,250,000.00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lastRenderedPageBreak/>
              <w:t>INI421</w:t>
            </w:r>
          </w:p>
        </w:tc>
        <w:tc>
          <w:tcPr>
            <w:tcW w:w="3500" w:type="dxa"/>
            <w:shd w:val="clear" w:color="auto" w:fill="auto"/>
            <w:hideMark/>
          </w:tcPr>
          <w:p w:rsidR="003C35F9" w:rsidRPr="00BA5CCE" w:rsidRDefault="003C35F9">
            <w:pPr>
              <w:rPr>
                <w:rFonts w:cs="Arial"/>
                <w:szCs w:val="16"/>
              </w:rPr>
            </w:pPr>
            <w:r w:rsidRPr="00BA5CCE">
              <w:rPr>
                <w:rFonts w:cs="Arial"/>
                <w:szCs w:val="16"/>
              </w:rPr>
              <w:t>Pacific Biomedical Equipment Maintenance</w:t>
            </w:r>
          </w:p>
        </w:tc>
        <w:tc>
          <w:tcPr>
            <w:tcW w:w="1017" w:type="dxa"/>
            <w:shd w:val="clear" w:color="auto" w:fill="auto"/>
            <w:hideMark/>
          </w:tcPr>
          <w:p w:rsidR="003C35F9" w:rsidRPr="00BA5CCE" w:rsidRDefault="003C35F9">
            <w:pPr>
              <w:rPr>
                <w:rFonts w:cs="Arial"/>
                <w:szCs w:val="16"/>
              </w:rPr>
            </w:pPr>
            <w:r w:rsidRPr="00BA5CCE">
              <w:rPr>
                <w:rFonts w:cs="Arial"/>
                <w:szCs w:val="16"/>
              </w:rPr>
              <w:t>01/01/2009</w:t>
            </w:r>
          </w:p>
        </w:tc>
        <w:tc>
          <w:tcPr>
            <w:tcW w:w="1017" w:type="dxa"/>
            <w:shd w:val="clear" w:color="auto" w:fill="auto"/>
            <w:hideMark/>
          </w:tcPr>
          <w:p w:rsidR="003C35F9" w:rsidRPr="00BA5CCE" w:rsidRDefault="003C35F9">
            <w:pPr>
              <w:rPr>
                <w:rFonts w:cs="Arial"/>
                <w:szCs w:val="16"/>
              </w:rPr>
            </w:pPr>
            <w:r w:rsidRPr="00BA5CCE">
              <w:rPr>
                <w:rFonts w:cs="Arial"/>
                <w:szCs w:val="16"/>
              </w:rPr>
              <w:t>30/06/2014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$4,195,706.62</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INI598</w:t>
            </w:r>
          </w:p>
        </w:tc>
        <w:tc>
          <w:tcPr>
            <w:tcW w:w="3500" w:type="dxa"/>
            <w:shd w:val="clear" w:color="auto" w:fill="auto"/>
            <w:hideMark/>
          </w:tcPr>
          <w:p w:rsidR="003C35F9" w:rsidRPr="00BA5CCE" w:rsidRDefault="003C35F9">
            <w:pPr>
              <w:rPr>
                <w:rFonts w:cs="Arial"/>
                <w:szCs w:val="16"/>
              </w:rPr>
            </w:pPr>
            <w:r w:rsidRPr="00BA5CCE">
              <w:rPr>
                <w:rFonts w:cs="Arial"/>
                <w:szCs w:val="16"/>
              </w:rPr>
              <w:t>Fiji Women's Crisis Centre Phase 5</w:t>
            </w:r>
          </w:p>
        </w:tc>
        <w:tc>
          <w:tcPr>
            <w:tcW w:w="1017" w:type="dxa"/>
            <w:shd w:val="clear" w:color="auto" w:fill="auto"/>
            <w:hideMark/>
          </w:tcPr>
          <w:p w:rsidR="003C35F9" w:rsidRPr="00BA5CCE" w:rsidRDefault="003C35F9">
            <w:pPr>
              <w:rPr>
                <w:rFonts w:cs="Arial"/>
                <w:szCs w:val="16"/>
              </w:rPr>
            </w:pPr>
            <w:r w:rsidRPr="00BA5CCE">
              <w:rPr>
                <w:rFonts w:cs="Arial"/>
                <w:szCs w:val="16"/>
              </w:rPr>
              <w:t>30/05/2009</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$8,427,499.68</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INI851</w:t>
            </w:r>
          </w:p>
        </w:tc>
        <w:tc>
          <w:tcPr>
            <w:tcW w:w="3500" w:type="dxa"/>
            <w:shd w:val="clear" w:color="auto" w:fill="auto"/>
            <w:hideMark/>
          </w:tcPr>
          <w:p w:rsidR="003C35F9" w:rsidRPr="00BA5CCE" w:rsidRDefault="003C35F9">
            <w:pPr>
              <w:rPr>
                <w:rFonts w:cs="Arial"/>
                <w:szCs w:val="16"/>
              </w:rPr>
            </w:pPr>
            <w:r w:rsidRPr="00BA5CCE">
              <w:rPr>
                <w:rFonts w:cs="Arial"/>
                <w:szCs w:val="16"/>
              </w:rPr>
              <w:t>Pacific Regional Agricultural Market Access</w:t>
            </w:r>
          </w:p>
        </w:tc>
        <w:tc>
          <w:tcPr>
            <w:tcW w:w="1017" w:type="dxa"/>
            <w:shd w:val="clear" w:color="auto" w:fill="auto"/>
            <w:hideMark/>
          </w:tcPr>
          <w:p w:rsidR="003C35F9" w:rsidRPr="00BA5CCE" w:rsidRDefault="003C35F9">
            <w:pPr>
              <w:rPr>
                <w:rFonts w:cs="Arial"/>
                <w:szCs w:val="16"/>
              </w:rPr>
            </w:pPr>
            <w:r w:rsidRPr="00BA5CCE">
              <w:rPr>
                <w:rFonts w:cs="Arial"/>
                <w:szCs w:val="16"/>
              </w:rPr>
              <w:t>01/07/2009</w:t>
            </w:r>
          </w:p>
        </w:tc>
        <w:tc>
          <w:tcPr>
            <w:tcW w:w="1017" w:type="dxa"/>
            <w:shd w:val="clear" w:color="auto" w:fill="auto"/>
            <w:hideMark/>
          </w:tcPr>
          <w:p w:rsidR="003C35F9" w:rsidRPr="00BA5CCE" w:rsidRDefault="003C35F9">
            <w:pPr>
              <w:rPr>
                <w:rFonts w:cs="Arial"/>
                <w:szCs w:val="16"/>
              </w:rPr>
            </w:pPr>
            <w:r w:rsidRPr="00BA5CCE">
              <w:rPr>
                <w:rFonts w:cs="Arial"/>
                <w:szCs w:val="16"/>
              </w:rPr>
              <w:t>30/06/2017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$31,513,047.90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300"/>
        </w:trPr>
        <w:tc>
          <w:tcPr>
            <w:tcW w:w="768" w:type="dxa"/>
            <w:shd w:val="clear" w:color="auto" w:fill="auto"/>
            <w:hideMark/>
          </w:tcPr>
          <w:p w:rsidR="003C35F9" w:rsidRPr="00BA5CCE" w:rsidRDefault="003C35F9">
            <w:pPr>
              <w:rPr>
                <w:rFonts w:cs="Arial"/>
                <w:szCs w:val="16"/>
              </w:rPr>
            </w:pPr>
            <w:r w:rsidRPr="00BA5CCE">
              <w:rPr>
                <w:rFonts w:cs="Arial"/>
                <w:szCs w:val="16"/>
              </w:rPr>
              <w:t>INI962</w:t>
            </w:r>
          </w:p>
        </w:tc>
        <w:tc>
          <w:tcPr>
            <w:tcW w:w="3500" w:type="dxa"/>
            <w:shd w:val="clear" w:color="auto" w:fill="auto"/>
            <w:hideMark/>
          </w:tcPr>
          <w:p w:rsidR="003C35F9" w:rsidRPr="00BA5CCE" w:rsidRDefault="003C35F9">
            <w:pPr>
              <w:rPr>
                <w:rFonts w:cs="Arial"/>
                <w:szCs w:val="16"/>
              </w:rPr>
            </w:pPr>
            <w:r w:rsidRPr="00BA5CCE">
              <w:rPr>
                <w:rFonts w:cs="Arial"/>
                <w:szCs w:val="16"/>
              </w:rPr>
              <w:t xml:space="preserve">SPC Climate Change </w:t>
            </w:r>
          </w:p>
        </w:tc>
        <w:tc>
          <w:tcPr>
            <w:tcW w:w="1017" w:type="dxa"/>
            <w:shd w:val="clear" w:color="auto" w:fill="auto"/>
            <w:hideMark/>
          </w:tcPr>
          <w:p w:rsidR="003C35F9" w:rsidRPr="00BA5CCE" w:rsidRDefault="003C35F9">
            <w:pPr>
              <w:rPr>
                <w:rFonts w:cs="Arial"/>
                <w:szCs w:val="16"/>
              </w:rPr>
            </w:pPr>
            <w:r w:rsidRPr="00BA5CCE">
              <w:rPr>
                <w:rFonts w:cs="Arial"/>
                <w:szCs w:val="16"/>
              </w:rPr>
              <w:t>19/10/2009</w:t>
            </w:r>
          </w:p>
        </w:tc>
        <w:tc>
          <w:tcPr>
            <w:tcW w:w="1017" w:type="dxa"/>
            <w:shd w:val="clear" w:color="auto" w:fill="auto"/>
            <w:hideMark/>
          </w:tcPr>
          <w:p w:rsidR="003C35F9" w:rsidRPr="00BA5CCE" w:rsidRDefault="003C35F9">
            <w:pPr>
              <w:rPr>
                <w:rFonts w:cs="Arial"/>
                <w:szCs w:val="16"/>
              </w:rPr>
            </w:pPr>
            <w:r w:rsidRPr="00BA5CCE">
              <w:rPr>
                <w:rFonts w:cs="Arial"/>
                <w:szCs w:val="16"/>
              </w:rPr>
              <w:t>31/01/2015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$9,000,000.00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INJ054</w:t>
            </w:r>
          </w:p>
        </w:tc>
        <w:tc>
          <w:tcPr>
            <w:tcW w:w="3500" w:type="dxa"/>
            <w:shd w:val="clear" w:color="auto" w:fill="auto"/>
            <w:hideMark/>
          </w:tcPr>
          <w:p w:rsidR="003C35F9" w:rsidRPr="00BA5CCE" w:rsidRDefault="003C35F9">
            <w:pPr>
              <w:rPr>
                <w:rFonts w:cs="Arial"/>
                <w:szCs w:val="16"/>
              </w:rPr>
            </w:pPr>
            <w:r w:rsidRPr="00BA5CCE">
              <w:rPr>
                <w:rFonts w:cs="Arial"/>
                <w:szCs w:val="16"/>
              </w:rPr>
              <w:t>University of the South Pacific Partnership</w:t>
            </w:r>
          </w:p>
        </w:tc>
        <w:tc>
          <w:tcPr>
            <w:tcW w:w="1017" w:type="dxa"/>
            <w:shd w:val="clear" w:color="auto" w:fill="auto"/>
            <w:hideMark/>
          </w:tcPr>
          <w:p w:rsidR="003C35F9" w:rsidRPr="00BA5CCE" w:rsidRDefault="003C35F9">
            <w:pPr>
              <w:rPr>
                <w:rFonts w:cs="Arial"/>
                <w:szCs w:val="16"/>
              </w:rPr>
            </w:pPr>
            <w:r w:rsidRPr="00BA5CCE">
              <w:rPr>
                <w:rFonts w:cs="Arial"/>
                <w:szCs w:val="16"/>
              </w:rPr>
              <w:t>01/01/2010</w:t>
            </w:r>
          </w:p>
        </w:tc>
        <w:tc>
          <w:tcPr>
            <w:tcW w:w="1017" w:type="dxa"/>
            <w:shd w:val="clear" w:color="auto" w:fill="auto"/>
            <w:hideMark/>
          </w:tcPr>
          <w:p w:rsidR="003C35F9" w:rsidRPr="00BA5CCE" w:rsidRDefault="003C35F9">
            <w:pPr>
              <w:rPr>
                <w:rFonts w:cs="Arial"/>
                <w:szCs w:val="16"/>
              </w:rPr>
            </w:pPr>
            <w:r w:rsidRPr="00BA5CCE">
              <w:rPr>
                <w:rFonts w:cs="Arial"/>
                <w:szCs w:val="16"/>
              </w:rPr>
              <w:t>31/03/2019</w:t>
            </w:r>
          </w:p>
        </w:tc>
        <w:tc>
          <w:tcPr>
            <w:tcW w:w="1418" w:type="dxa"/>
            <w:shd w:val="clear" w:color="auto" w:fill="auto"/>
            <w:hideMark/>
          </w:tcPr>
          <w:p w:rsidR="003C35F9" w:rsidRPr="00BA5CCE" w:rsidRDefault="003C35F9">
            <w:pPr>
              <w:jc w:val="right"/>
              <w:rPr>
                <w:rFonts w:cs="Arial"/>
                <w:szCs w:val="16"/>
              </w:rPr>
            </w:pPr>
            <w:r w:rsidRPr="00BA5CCE">
              <w:rPr>
                <w:rFonts w:cs="Arial"/>
                <w:szCs w:val="16"/>
              </w:rPr>
              <w:t>$80,796,329.77</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6</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INJ746</w:t>
            </w:r>
          </w:p>
        </w:tc>
        <w:tc>
          <w:tcPr>
            <w:tcW w:w="3500" w:type="dxa"/>
            <w:shd w:val="clear" w:color="auto" w:fill="auto"/>
            <w:hideMark/>
          </w:tcPr>
          <w:p w:rsidR="003C35F9" w:rsidRPr="00BA5CCE" w:rsidRDefault="003C35F9">
            <w:pPr>
              <w:rPr>
                <w:rFonts w:cs="Arial"/>
                <w:szCs w:val="16"/>
              </w:rPr>
            </w:pPr>
            <w:r w:rsidRPr="00BA5CCE">
              <w:rPr>
                <w:rFonts w:cs="Arial"/>
                <w:szCs w:val="16"/>
              </w:rPr>
              <w:t>SPC Core Budget and Program Support</w:t>
            </w:r>
          </w:p>
        </w:tc>
        <w:tc>
          <w:tcPr>
            <w:tcW w:w="1017" w:type="dxa"/>
            <w:shd w:val="clear" w:color="auto" w:fill="auto"/>
            <w:hideMark/>
          </w:tcPr>
          <w:p w:rsidR="003C35F9" w:rsidRPr="00BA5CCE" w:rsidRDefault="003C35F9">
            <w:pPr>
              <w:rPr>
                <w:rFonts w:cs="Arial"/>
                <w:szCs w:val="16"/>
              </w:rPr>
            </w:pPr>
            <w:r w:rsidRPr="00BA5CCE">
              <w:rPr>
                <w:rFonts w:cs="Arial"/>
                <w:szCs w:val="16"/>
              </w:rPr>
              <w:t>28/04/2011</w:t>
            </w:r>
          </w:p>
        </w:tc>
        <w:tc>
          <w:tcPr>
            <w:tcW w:w="1017" w:type="dxa"/>
            <w:shd w:val="clear" w:color="auto" w:fill="auto"/>
            <w:hideMark/>
          </w:tcPr>
          <w:p w:rsidR="003C35F9" w:rsidRPr="00BA5CCE" w:rsidRDefault="003C35F9">
            <w:pPr>
              <w:rPr>
                <w:rFonts w:cs="Arial"/>
                <w:szCs w:val="16"/>
              </w:rPr>
            </w:pPr>
            <w:r w:rsidRPr="00BA5CCE">
              <w:rPr>
                <w:rFonts w:cs="Arial"/>
                <w:szCs w:val="16"/>
              </w:rPr>
              <w:t>31/01/2015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$52,305,017.05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INJ760</w:t>
            </w:r>
          </w:p>
        </w:tc>
        <w:tc>
          <w:tcPr>
            <w:tcW w:w="3500" w:type="dxa"/>
            <w:shd w:val="clear" w:color="auto" w:fill="auto"/>
            <w:hideMark/>
          </w:tcPr>
          <w:p w:rsidR="003C35F9" w:rsidRPr="00BA5CCE" w:rsidRDefault="003C35F9">
            <w:pPr>
              <w:rPr>
                <w:rFonts w:cs="Arial"/>
                <w:szCs w:val="16"/>
              </w:rPr>
            </w:pPr>
            <w:r w:rsidRPr="00BA5CCE">
              <w:rPr>
                <w:rFonts w:cs="Arial"/>
                <w:szCs w:val="16"/>
              </w:rPr>
              <w:t>UNICEF Multi-Country Program 2013-2015</w:t>
            </w:r>
          </w:p>
        </w:tc>
        <w:tc>
          <w:tcPr>
            <w:tcW w:w="1017" w:type="dxa"/>
            <w:shd w:val="clear" w:color="auto" w:fill="auto"/>
            <w:hideMark/>
          </w:tcPr>
          <w:p w:rsidR="003C35F9" w:rsidRPr="00BA5CCE" w:rsidRDefault="003C35F9">
            <w:pPr>
              <w:rPr>
                <w:rFonts w:cs="Arial"/>
                <w:szCs w:val="16"/>
              </w:rPr>
            </w:pPr>
            <w:r w:rsidRPr="00BA5CCE">
              <w:rPr>
                <w:rFonts w:cs="Arial"/>
                <w:szCs w:val="16"/>
              </w:rPr>
              <w:t>24/01/2011</w:t>
            </w:r>
          </w:p>
        </w:tc>
        <w:tc>
          <w:tcPr>
            <w:tcW w:w="1017" w:type="dxa"/>
            <w:shd w:val="clear" w:color="auto" w:fill="auto"/>
            <w:hideMark/>
          </w:tcPr>
          <w:p w:rsidR="003C35F9" w:rsidRPr="00BA5CCE" w:rsidRDefault="003C35F9">
            <w:pPr>
              <w:rPr>
                <w:rFonts w:cs="Arial"/>
                <w:szCs w:val="16"/>
              </w:rPr>
            </w:pPr>
            <w:r w:rsidRPr="00BA5CCE">
              <w:rPr>
                <w:rFonts w:cs="Arial"/>
                <w:szCs w:val="16"/>
              </w:rPr>
              <w:t>30/12/2015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$11,745,000.00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INJ804</w:t>
            </w:r>
          </w:p>
        </w:tc>
        <w:tc>
          <w:tcPr>
            <w:tcW w:w="3500" w:type="dxa"/>
            <w:shd w:val="clear" w:color="auto" w:fill="auto"/>
            <w:hideMark/>
          </w:tcPr>
          <w:p w:rsidR="003C35F9" w:rsidRPr="00BA5CCE" w:rsidRDefault="003C35F9">
            <w:pPr>
              <w:rPr>
                <w:rFonts w:cs="Arial"/>
                <w:szCs w:val="16"/>
              </w:rPr>
            </w:pPr>
            <w:r w:rsidRPr="00BA5CCE">
              <w:rPr>
                <w:rFonts w:cs="Arial"/>
                <w:szCs w:val="16"/>
              </w:rPr>
              <w:t>SPREP Partnership Agreement 2011-2015</w:t>
            </w:r>
          </w:p>
        </w:tc>
        <w:tc>
          <w:tcPr>
            <w:tcW w:w="1017" w:type="dxa"/>
            <w:shd w:val="clear" w:color="auto" w:fill="auto"/>
            <w:hideMark/>
          </w:tcPr>
          <w:p w:rsidR="003C35F9" w:rsidRPr="00BA5CCE" w:rsidRDefault="003C35F9">
            <w:pPr>
              <w:rPr>
                <w:rFonts w:cs="Arial"/>
                <w:szCs w:val="16"/>
              </w:rPr>
            </w:pPr>
            <w:r w:rsidRPr="00BA5CCE">
              <w:rPr>
                <w:rFonts w:cs="Arial"/>
                <w:szCs w:val="16"/>
              </w:rPr>
              <w:t>01/03/2011</w:t>
            </w:r>
          </w:p>
        </w:tc>
        <w:tc>
          <w:tcPr>
            <w:tcW w:w="1017" w:type="dxa"/>
            <w:shd w:val="clear" w:color="auto" w:fill="auto"/>
            <w:hideMark/>
          </w:tcPr>
          <w:p w:rsidR="003C35F9" w:rsidRPr="00BA5CCE" w:rsidRDefault="003C35F9">
            <w:pPr>
              <w:rPr>
                <w:rFonts w:cs="Arial"/>
                <w:szCs w:val="16"/>
              </w:rPr>
            </w:pPr>
            <w:r w:rsidRPr="00BA5CCE">
              <w:rPr>
                <w:rFonts w:cs="Arial"/>
                <w:szCs w:val="16"/>
              </w:rPr>
              <w:t>31/05/2016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$16,297,000.00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INJ833</w:t>
            </w:r>
          </w:p>
        </w:tc>
        <w:tc>
          <w:tcPr>
            <w:tcW w:w="3500" w:type="dxa"/>
            <w:shd w:val="clear" w:color="auto" w:fill="auto"/>
            <w:hideMark/>
          </w:tcPr>
          <w:p w:rsidR="003C35F9" w:rsidRPr="00BA5CCE" w:rsidRDefault="003C35F9">
            <w:pPr>
              <w:rPr>
                <w:rFonts w:cs="Arial"/>
                <w:szCs w:val="16"/>
              </w:rPr>
            </w:pPr>
            <w:r w:rsidRPr="00BA5CCE">
              <w:rPr>
                <w:rFonts w:cs="Arial"/>
                <w:szCs w:val="16"/>
              </w:rPr>
              <w:t>Tertiary Health Pacific Islands Project</w:t>
            </w:r>
          </w:p>
        </w:tc>
        <w:tc>
          <w:tcPr>
            <w:tcW w:w="1017" w:type="dxa"/>
            <w:shd w:val="clear" w:color="auto" w:fill="auto"/>
            <w:hideMark/>
          </w:tcPr>
          <w:p w:rsidR="003C35F9" w:rsidRPr="00BA5CCE" w:rsidRDefault="003C35F9">
            <w:pPr>
              <w:rPr>
                <w:rFonts w:cs="Arial"/>
                <w:szCs w:val="16"/>
              </w:rPr>
            </w:pPr>
            <w:r w:rsidRPr="00BA5CCE">
              <w:rPr>
                <w:rFonts w:cs="Arial"/>
                <w:szCs w:val="16"/>
              </w:rPr>
              <w:t>31/03/2011</w:t>
            </w:r>
          </w:p>
        </w:tc>
        <w:tc>
          <w:tcPr>
            <w:tcW w:w="1017" w:type="dxa"/>
            <w:shd w:val="clear" w:color="auto" w:fill="auto"/>
            <w:hideMark/>
          </w:tcPr>
          <w:p w:rsidR="003C35F9" w:rsidRPr="00BA5CCE" w:rsidRDefault="003C35F9">
            <w:pPr>
              <w:rPr>
                <w:rFonts w:cs="Arial"/>
                <w:szCs w:val="16"/>
              </w:rPr>
            </w:pPr>
            <w:r w:rsidRPr="00BA5CCE">
              <w:rPr>
                <w:rFonts w:cs="Arial"/>
                <w:szCs w:val="16"/>
              </w:rPr>
              <w:t>30/06/2015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$8,083,200.00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INJ927</w:t>
            </w:r>
          </w:p>
        </w:tc>
        <w:tc>
          <w:tcPr>
            <w:tcW w:w="3500" w:type="dxa"/>
            <w:shd w:val="clear" w:color="auto" w:fill="auto"/>
            <w:hideMark/>
          </w:tcPr>
          <w:p w:rsidR="003C35F9" w:rsidRPr="00BA5CCE" w:rsidRDefault="003C35F9">
            <w:pPr>
              <w:rPr>
                <w:rFonts w:cs="Arial"/>
                <w:szCs w:val="16"/>
              </w:rPr>
            </w:pPr>
            <w:r w:rsidRPr="00BA5CCE">
              <w:rPr>
                <w:rFonts w:cs="Arial"/>
                <w:szCs w:val="16"/>
              </w:rPr>
              <w:t>Pacific Adaptation to Climate Change Project</w:t>
            </w:r>
          </w:p>
        </w:tc>
        <w:tc>
          <w:tcPr>
            <w:tcW w:w="1017" w:type="dxa"/>
            <w:shd w:val="clear" w:color="auto" w:fill="auto"/>
            <w:hideMark/>
          </w:tcPr>
          <w:p w:rsidR="003C35F9" w:rsidRPr="00BA5CCE" w:rsidRDefault="003C35F9">
            <w:pPr>
              <w:rPr>
                <w:rFonts w:cs="Arial"/>
                <w:szCs w:val="16"/>
              </w:rPr>
            </w:pPr>
            <w:r w:rsidRPr="00BA5CCE">
              <w:rPr>
                <w:rFonts w:cs="Arial"/>
                <w:szCs w:val="16"/>
              </w:rPr>
              <w:t>03/06/2011</w:t>
            </w:r>
          </w:p>
        </w:tc>
        <w:tc>
          <w:tcPr>
            <w:tcW w:w="1017" w:type="dxa"/>
            <w:shd w:val="clear" w:color="auto" w:fill="auto"/>
            <w:hideMark/>
          </w:tcPr>
          <w:p w:rsidR="003C35F9" w:rsidRPr="00BA5CCE" w:rsidRDefault="003C35F9">
            <w:pPr>
              <w:rPr>
                <w:rFonts w:cs="Arial"/>
                <w:szCs w:val="16"/>
              </w:rPr>
            </w:pPr>
            <w:r w:rsidRPr="00BA5CCE">
              <w:rPr>
                <w:rFonts w:cs="Arial"/>
                <w:szCs w:val="16"/>
              </w:rPr>
              <w:t>30/08/2014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$7,348,242.00</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INJ964</w:t>
            </w:r>
          </w:p>
        </w:tc>
        <w:tc>
          <w:tcPr>
            <w:tcW w:w="3500" w:type="dxa"/>
            <w:shd w:val="clear" w:color="auto" w:fill="auto"/>
            <w:hideMark/>
          </w:tcPr>
          <w:p w:rsidR="003C35F9" w:rsidRPr="00BA5CCE" w:rsidRDefault="003C35F9">
            <w:pPr>
              <w:rPr>
                <w:rFonts w:cs="Arial"/>
                <w:szCs w:val="16"/>
              </w:rPr>
            </w:pPr>
            <w:r w:rsidRPr="00BA5CCE">
              <w:rPr>
                <w:rFonts w:cs="Arial"/>
                <w:szCs w:val="16"/>
              </w:rPr>
              <w:t>Pacific Risk Resilience Program</w:t>
            </w:r>
          </w:p>
        </w:tc>
        <w:tc>
          <w:tcPr>
            <w:tcW w:w="1017" w:type="dxa"/>
            <w:shd w:val="clear" w:color="auto" w:fill="auto"/>
            <w:hideMark/>
          </w:tcPr>
          <w:p w:rsidR="003C35F9" w:rsidRPr="00BA5CCE" w:rsidRDefault="003C35F9">
            <w:pPr>
              <w:rPr>
                <w:rFonts w:cs="Arial"/>
                <w:szCs w:val="16"/>
              </w:rPr>
            </w:pPr>
            <w:r w:rsidRPr="00BA5CCE">
              <w:rPr>
                <w:rFonts w:cs="Arial"/>
                <w:szCs w:val="16"/>
              </w:rPr>
              <w:t>23/05/2011</w:t>
            </w:r>
          </w:p>
        </w:tc>
        <w:tc>
          <w:tcPr>
            <w:tcW w:w="1017" w:type="dxa"/>
            <w:shd w:val="clear" w:color="auto" w:fill="auto"/>
            <w:hideMark/>
          </w:tcPr>
          <w:p w:rsidR="003C35F9" w:rsidRPr="00BA5CCE" w:rsidRDefault="003C35F9">
            <w:pPr>
              <w:rPr>
                <w:rFonts w:cs="Arial"/>
                <w:szCs w:val="16"/>
              </w:rPr>
            </w:pPr>
            <w:r w:rsidRPr="00BA5CCE">
              <w:rPr>
                <w:rFonts w:cs="Arial"/>
                <w:szCs w:val="16"/>
              </w:rPr>
              <w:t>30/06/2017</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$17,023,462.24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INK039</w:t>
            </w:r>
          </w:p>
        </w:tc>
        <w:tc>
          <w:tcPr>
            <w:tcW w:w="3500" w:type="dxa"/>
            <w:shd w:val="clear" w:color="auto" w:fill="auto"/>
            <w:hideMark/>
          </w:tcPr>
          <w:p w:rsidR="003C35F9" w:rsidRPr="00BA5CCE" w:rsidRDefault="003C35F9">
            <w:pPr>
              <w:rPr>
                <w:rFonts w:cs="Arial"/>
                <w:szCs w:val="16"/>
              </w:rPr>
            </w:pPr>
            <w:r w:rsidRPr="00BA5CCE">
              <w:rPr>
                <w:rFonts w:cs="Arial"/>
                <w:szCs w:val="16"/>
              </w:rPr>
              <w:t>Pacific Media Assistance Scheme (PACMAS) 2</w:t>
            </w:r>
          </w:p>
        </w:tc>
        <w:tc>
          <w:tcPr>
            <w:tcW w:w="1017" w:type="dxa"/>
            <w:shd w:val="clear" w:color="auto" w:fill="auto"/>
            <w:hideMark/>
          </w:tcPr>
          <w:p w:rsidR="003C35F9" w:rsidRPr="00BA5CCE" w:rsidRDefault="003C35F9">
            <w:pPr>
              <w:rPr>
                <w:rFonts w:cs="Arial"/>
                <w:szCs w:val="16"/>
              </w:rPr>
            </w:pPr>
            <w:r w:rsidRPr="00BA5CCE">
              <w:rPr>
                <w:rFonts w:cs="Arial"/>
                <w:szCs w:val="16"/>
              </w:rPr>
              <w:t>01/06/2011</w:t>
            </w:r>
          </w:p>
        </w:tc>
        <w:tc>
          <w:tcPr>
            <w:tcW w:w="1017" w:type="dxa"/>
            <w:shd w:val="clear" w:color="auto" w:fill="auto"/>
            <w:hideMark/>
          </w:tcPr>
          <w:p w:rsidR="003C35F9" w:rsidRPr="00BA5CCE" w:rsidRDefault="003C35F9">
            <w:pPr>
              <w:rPr>
                <w:rFonts w:cs="Arial"/>
                <w:szCs w:val="16"/>
              </w:rPr>
            </w:pPr>
            <w:r w:rsidRPr="00BA5CCE">
              <w:rPr>
                <w:rFonts w:cs="Arial"/>
                <w:szCs w:val="16"/>
              </w:rPr>
              <w:t>30/06/2015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$11,686,090.32</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INK054</w:t>
            </w:r>
          </w:p>
        </w:tc>
        <w:tc>
          <w:tcPr>
            <w:tcW w:w="3500" w:type="dxa"/>
            <w:shd w:val="clear" w:color="auto" w:fill="auto"/>
            <w:hideMark/>
          </w:tcPr>
          <w:p w:rsidR="003C35F9" w:rsidRPr="00BA5CCE" w:rsidRDefault="003C35F9">
            <w:pPr>
              <w:rPr>
                <w:rFonts w:cs="Arial"/>
                <w:szCs w:val="16"/>
              </w:rPr>
            </w:pPr>
            <w:r w:rsidRPr="00BA5CCE">
              <w:rPr>
                <w:rFonts w:cs="Arial"/>
                <w:szCs w:val="16"/>
              </w:rPr>
              <w:t xml:space="preserve">Pacific Sexual and Reproductive Health Program </w:t>
            </w:r>
          </w:p>
        </w:tc>
        <w:tc>
          <w:tcPr>
            <w:tcW w:w="1017" w:type="dxa"/>
            <w:shd w:val="clear" w:color="auto" w:fill="auto"/>
            <w:hideMark/>
          </w:tcPr>
          <w:p w:rsidR="003C35F9" w:rsidRPr="00BA5CCE" w:rsidRDefault="003C35F9">
            <w:pPr>
              <w:rPr>
                <w:rFonts w:cs="Arial"/>
                <w:szCs w:val="16"/>
              </w:rPr>
            </w:pPr>
            <w:r w:rsidRPr="00BA5CCE">
              <w:rPr>
                <w:rFonts w:cs="Arial"/>
                <w:szCs w:val="16"/>
              </w:rPr>
              <w:t>19/08/2011</w:t>
            </w:r>
          </w:p>
        </w:tc>
        <w:tc>
          <w:tcPr>
            <w:tcW w:w="1017" w:type="dxa"/>
            <w:shd w:val="clear" w:color="auto" w:fill="auto"/>
            <w:hideMark/>
          </w:tcPr>
          <w:p w:rsidR="003C35F9" w:rsidRPr="00BA5CCE" w:rsidRDefault="003C35F9">
            <w:pPr>
              <w:rPr>
                <w:rFonts w:cs="Arial"/>
                <w:szCs w:val="16"/>
              </w:rPr>
            </w:pPr>
            <w:r w:rsidRPr="00BA5CCE">
              <w:rPr>
                <w:rFonts w:cs="Arial"/>
                <w:szCs w:val="16"/>
              </w:rPr>
              <w:t>30/06/2014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$2,846,140.00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INK486</w:t>
            </w:r>
          </w:p>
        </w:tc>
        <w:tc>
          <w:tcPr>
            <w:tcW w:w="3500" w:type="dxa"/>
            <w:shd w:val="clear" w:color="auto" w:fill="auto"/>
            <w:hideMark/>
          </w:tcPr>
          <w:p w:rsidR="003C35F9" w:rsidRPr="00BA5CCE" w:rsidRDefault="003C35F9">
            <w:pPr>
              <w:rPr>
                <w:rFonts w:cs="Arial"/>
                <w:szCs w:val="16"/>
              </w:rPr>
            </w:pPr>
            <w:r w:rsidRPr="00BA5CCE">
              <w:rPr>
                <w:rFonts w:cs="Arial"/>
                <w:szCs w:val="16"/>
              </w:rPr>
              <w:t>Strategic Support: WHO Pacific Sub-Regional Office</w:t>
            </w:r>
          </w:p>
        </w:tc>
        <w:tc>
          <w:tcPr>
            <w:tcW w:w="1017" w:type="dxa"/>
            <w:shd w:val="clear" w:color="auto" w:fill="auto"/>
            <w:hideMark/>
          </w:tcPr>
          <w:p w:rsidR="003C35F9" w:rsidRPr="00BA5CCE" w:rsidRDefault="003C35F9">
            <w:pPr>
              <w:rPr>
                <w:rFonts w:cs="Arial"/>
                <w:szCs w:val="16"/>
              </w:rPr>
            </w:pPr>
            <w:r w:rsidRPr="00BA5CCE">
              <w:rPr>
                <w:rFonts w:cs="Arial"/>
                <w:szCs w:val="16"/>
              </w:rPr>
              <w:t>01/04/2012</w:t>
            </w:r>
          </w:p>
        </w:tc>
        <w:tc>
          <w:tcPr>
            <w:tcW w:w="1017" w:type="dxa"/>
            <w:shd w:val="clear" w:color="auto" w:fill="auto"/>
            <w:hideMark/>
          </w:tcPr>
          <w:p w:rsidR="003C35F9" w:rsidRPr="00BA5CCE" w:rsidRDefault="003C35F9">
            <w:pPr>
              <w:rPr>
                <w:rFonts w:cs="Arial"/>
                <w:szCs w:val="16"/>
              </w:rPr>
            </w:pPr>
            <w:r w:rsidRPr="00BA5CCE">
              <w:rPr>
                <w:rFonts w:cs="Arial"/>
                <w:szCs w:val="16"/>
              </w:rPr>
              <w:t>31/12/2013</w:t>
            </w:r>
          </w:p>
        </w:tc>
        <w:tc>
          <w:tcPr>
            <w:tcW w:w="1418" w:type="dxa"/>
            <w:shd w:val="clear" w:color="auto" w:fill="auto"/>
            <w:hideMark/>
          </w:tcPr>
          <w:p w:rsidR="003C35F9" w:rsidRPr="00BA5CCE" w:rsidRDefault="003C35F9">
            <w:pPr>
              <w:jc w:val="right"/>
              <w:rPr>
                <w:rFonts w:cs="Arial"/>
                <w:szCs w:val="16"/>
              </w:rPr>
            </w:pPr>
            <w:r w:rsidRPr="00BA5CCE">
              <w:rPr>
                <w:rFonts w:cs="Arial"/>
                <w:szCs w:val="16"/>
              </w:rPr>
              <w:t>$5,000,000.00</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INK525</w:t>
            </w:r>
          </w:p>
        </w:tc>
        <w:tc>
          <w:tcPr>
            <w:tcW w:w="3500" w:type="dxa"/>
            <w:shd w:val="clear" w:color="auto" w:fill="auto"/>
            <w:hideMark/>
          </w:tcPr>
          <w:p w:rsidR="003C35F9" w:rsidRPr="00BA5CCE" w:rsidRDefault="003C35F9">
            <w:pPr>
              <w:rPr>
                <w:rFonts w:cs="Arial"/>
                <w:szCs w:val="16"/>
              </w:rPr>
            </w:pPr>
            <w:r w:rsidRPr="00BA5CCE">
              <w:rPr>
                <w:rFonts w:cs="Arial"/>
                <w:szCs w:val="16"/>
              </w:rPr>
              <w:t>Strategic Support: Fiji School of Medicine</w:t>
            </w:r>
          </w:p>
        </w:tc>
        <w:tc>
          <w:tcPr>
            <w:tcW w:w="1017" w:type="dxa"/>
            <w:shd w:val="clear" w:color="auto" w:fill="auto"/>
            <w:hideMark/>
          </w:tcPr>
          <w:p w:rsidR="003C35F9" w:rsidRPr="00BA5CCE" w:rsidRDefault="003C35F9">
            <w:pPr>
              <w:rPr>
                <w:rFonts w:cs="Arial"/>
                <w:szCs w:val="16"/>
              </w:rPr>
            </w:pPr>
            <w:r w:rsidRPr="00BA5CCE">
              <w:rPr>
                <w:rFonts w:cs="Arial"/>
                <w:szCs w:val="16"/>
              </w:rPr>
              <w:t>01/05/2012</w:t>
            </w:r>
          </w:p>
        </w:tc>
        <w:tc>
          <w:tcPr>
            <w:tcW w:w="1017" w:type="dxa"/>
            <w:shd w:val="clear" w:color="auto" w:fill="auto"/>
            <w:hideMark/>
          </w:tcPr>
          <w:p w:rsidR="003C35F9" w:rsidRPr="00BA5CCE" w:rsidRDefault="003C35F9">
            <w:pPr>
              <w:rPr>
                <w:rFonts w:cs="Arial"/>
                <w:szCs w:val="16"/>
              </w:rPr>
            </w:pPr>
            <w:r w:rsidRPr="00BA5CCE">
              <w:rPr>
                <w:rFonts w:cs="Arial"/>
                <w:szCs w:val="16"/>
              </w:rPr>
              <w:t>31/12/2015</w:t>
            </w:r>
          </w:p>
        </w:tc>
        <w:tc>
          <w:tcPr>
            <w:tcW w:w="1418" w:type="dxa"/>
            <w:shd w:val="clear" w:color="auto" w:fill="auto"/>
            <w:hideMark/>
          </w:tcPr>
          <w:p w:rsidR="003C35F9" w:rsidRPr="00BA5CCE" w:rsidRDefault="003C35F9">
            <w:pPr>
              <w:jc w:val="right"/>
              <w:rPr>
                <w:rFonts w:cs="Arial"/>
                <w:szCs w:val="16"/>
              </w:rPr>
            </w:pPr>
            <w:r w:rsidRPr="00BA5CCE">
              <w:rPr>
                <w:rFonts w:cs="Arial"/>
                <w:szCs w:val="16"/>
              </w:rPr>
              <w:t>$6,534,846.22</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lastRenderedPageBreak/>
              <w:t>INK578</w:t>
            </w:r>
          </w:p>
        </w:tc>
        <w:tc>
          <w:tcPr>
            <w:tcW w:w="3500" w:type="dxa"/>
            <w:shd w:val="clear" w:color="auto" w:fill="auto"/>
            <w:hideMark/>
          </w:tcPr>
          <w:p w:rsidR="003C35F9" w:rsidRPr="00BA5CCE" w:rsidRDefault="003C35F9">
            <w:pPr>
              <w:rPr>
                <w:rFonts w:cs="Arial"/>
                <w:szCs w:val="16"/>
              </w:rPr>
            </w:pPr>
            <w:r w:rsidRPr="00BA5CCE">
              <w:rPr>
                <w:rFonts w:cs="Arial"/>
                <w:szCs w:val="16"/>
              </w:rPr>
              <w:t>Pacific Benchmarking Education Quality for Results</w:t>
            </w:r>
          </w:p>
        </w:tc>
        <w:tc>
          <w:tcPr>
            <w:tcW w:w="1017" w:type="dxa"/>
            <w:shd w:val="clear" w:color="auto" w:fill="auto"/>
            <w:hideMark/>
          </w:tcPr>
          <w:p w:rsidR="003C35F9" w:rsidRPr="00BA5CCE" w:rsidRDefault="003C35F9">
            <w:pPr>
              <w:rPr>
                <w:rFonts w:cs="Arial"/>
                <w:szCs w:val="16"/>
              </w:rPr>
            </w:pPr>
            <w:r w:rsidRPr="00BA5CCE">
              <w:rPr>
                <w:rFonts w:cs="Arial"/>
                <w:szCs w:val="16"/>
              </w:rPr>
              <w:t>01/06/2012</w:t>
            </w:r>
          </w:p>
        </w:tc>
        <w:tc>
          <w:tcPr>
            <w:tcW w:w="1017" w:type="dxa"/>
            <w:shd w:val="clear" w:color="auto" w:fill="auto"/>
            <w:hideMark/>
          </w:tcPr>
          <w:p w:rsidR="003C35F9" w:rsidRPr="00BA5CCE" w:rsidRDefault="003C35F9">
            <w:pPr>
              <w:rPr>
                <w:rFonts w:cs="Arial"/>
                <w:szCs w:val="16"/>
              </w:rPr>
            </w:pPr>
            <w:r w:rsidRPr="00BA5CCE">
              <w:rPr>
                <w:rFonts w:cs="Arial"/>
                <w:szCs w:val="16"/>
              </w:rPr>
              <w:t>30/06/2016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$4,721,538.59</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450"/>
        </w:trPr>
        <w:tc>
          <w:tcPr>
            <w:tcW w:w="768" w:type="dxa"/>
            <w:shd w:val="clear" w:color="auto" w:fill="auto"/>
            <w:hideMark/>
          </w:tcPr>
          <w:p w:rsidR="003C35F9" w:rsidRPr="00BA5CCE" w:rsidRDefault="003C35F9">
            <w:pPr>
              <w:rPr>
                <w:rFonts w:cs="Arial"/>
                <w:szCs w:val="16"/>
              </w:rPr>
            </w:pPr>
            <w:r w:rsidRPr="00BA5CCE">
              <w:rPr>
                <w:rFonts w:cs="Arial"/>
                <w:szCs w:val="16"/>
              </w:rPr>
              <w:t>INK590</w:t>
            </w:r>
          </w:p>
        </w:tc>
        <w:tc>
          <w:tcPr>
            <w:tcW w:w="3500" w:type="dxa"/>
            <w:shd w:val="clear" w:color="auto" w:fill="auto"/>
            <w:hideMark/>
          </w:tcPr>
          <w:p w:rsidR="003C35F9" w:rsidRPr="00BA5CCE" w:rsidRDefault="003C35F9">
            <w:pPr>
              <w:rPr>
                <w:rFonts w:cs="Arial"/>
                <w:szCs w:val="16"/>
              </w:rPr>
            </w:pPr>
            <w:r w:rsidRPr="00BA5CCE">
              <w:rPr>
                <w:rFonts w:cs="Arial"/>
                <w:szCs w:val="16"/>
              </w:rPr>
              <w:t>Pacific Specialised Clinical Services</w:t>
            </w:r>
          </w:p>
        </w:tc>
        <w:tc>
          <w:tcPr>
            <w:tcW w:w="1017" w:type="dxa"/>
            <w:shd w:val="clear" w:color="auto" w:fill="auto"/>
            <w:hideMark/>
          </w:tcPr>
          <w:p w:rsidR="003C35F9" w:rsidRPr="00BA5CCE" w:rsidRDefault="003C35F9">
            <w:pPr>
              <w:rPr>
                <w:rFonts w:cs="Arial"/>
                <w:szCs w:val="16"/>
              </w:rPr>
            </w:pPr>
            <w:r w:rsidRPr="00BA5CCE">
              <w:rPr>
                <w:rFonts w:cs="Arial"/>
                <w:szCs w:val="16"/>
              </w:rPr>
              <w:t>23/05/2011</w:t>
            </w:r>
          </w:p>
        </w:tc>
        <w:tc>
          <w:tcPr>
            <w:tcW w:w="1017" w:type="dxa"/>
            <w:shd w:val="clear" w:color="auto" w:fill="auto"/>
            <w:hideMark/>
          </w:tcPr>
          <w:p w:rsidR="003C35F9" w:rsidRPr="00BA5CCE" w:rsidRDefault="003C35F9">
            <w:pPr>
              <w:rPr>
                <w:rFonts w:cs="Arial"/>
                <w:szCs w:val="16"/>
              </w:rPr>
            </w:pPr>
            <w:r w:rsidRPr="00BA5CCE">
              <w:rPr>
                <w:rFonts w:cs="Arial"/>
                <w:szCs w:val="16"/>
              </w:rPr>
              <w:t>31/12/2014</w:t>
            </w:r>
          </w:p>
        </w:tc>
        <w:tc>
          <w:tcPr>
            <w:tcW w:w="1418" w:type="dxa"/>
            <w:shd w:val="clear" w:color="auto" w:fill="auto"/>
            <w:hideMark/>
          </w:tcPr>
          <w:p w:rsidR="003C35F9" w:rsidRPr="00BA5CCE" w:rsidRDefault="003C35F9">
            <w:pPr>
              <w:jc w:val="right"/>
              <w:rPr>
                <w:rFonts w:cs="Arial"/>
                <w:szCs w:val="16"/>
              </w:rPr>
            </w:pPr>
            <w:r w:rsidRPr="00BA5CCE">
              <w:rPr>
                <w:rFonts w:cs="Arial"/>
                <w:szCs w:val="16"/>
              </w:rPr>
              <w:t>$3,092,000.00</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r w:rsidR="003C35F9" w:rsidTr="00894EDC">
        <w:trPr>
          <w:trHeight w:val="675"/>
        </w:trPr>
        <w:tc>
          <w:tcPr>
            <w:tcW w:w="768" w:type="dxa"/>
            <w:shd w:val="clear" w:color="auto" w:fill="auto"/>
            <w:hideMark/>
          </w:tcPr>
          <w:p w:rsidR="003C35F9" w:rsidRPr="00BA5CCE" w:rsidRDefault="003C35F9">
            <w:pPr>
              <w:rPr>
                <w:rFonts w:cs="Arial"/>
                <w:szCs w:val="16"/>
              </w:rPr>
            </w:pPr>
            <w:r w:rsidRPr="00BA5CCE">
              <w:rPr>
                <w:rFonts w:cs="Arial"/>
                <w:szCs w:val="16"/>
              </w:rPr>
              <w:t>INK940</w:t>
            </w:r>
          </w:p>
        </w:tc>
        <w:tc>
          <w:tcPr>
            <w:tcW w:w="3500" w:type="dxa"/>
            <w:shd w:val="clear" w:color="auto" w:fill="auto"/>
            <w:hideMark/>
          </w:tcPr>
          <w:p w:rsidR="003C35F9" w:rsidRPr="00BA5CCE" w:rsidRDefault="003C35F9">
            <w:pPr>
              <w:rPr>
                <w:rFonts w:cs="Arial"/>
                <w:szCs w:val="16"/>
              </w:rPr>
            </w:pPr>
            <w:r w:rsidRPr="00BA5CCE">
              <w:rPr>
                <w:rFonts w:cs="Arial"/>
                <w:szCs w:val="16"/>
              </w:rPr>
              <w:t>PIFS Partnership Arrangement 2012-2015</w:t>
            </w:r>
          </w:p>
        </w:tc>
        <w:tc>
          <w:tcPr>
            <w:tcW w:w="1017" w:type="dxa"/>
            <w:shd w:val="clear" w:color="auto" w:fill="auto"/>
            <w:hideMark/>
          </w:tcPr>
          <w:p w:rsidR="003C35F9" w:rsidRPr="00BA5CCE" w:rsidRDefault="003C35F9">
            <w:pPr>
              <w:rPr>
                <w:rFonts w:cs="Arial"/>
                <w:szCs w:val="16"/>
              </w:rPr>
            </w:pPr>
            <w:r w:rsidRPr="00BA5CCE">
              <w:rPr>
                <w:rFonts w:cs="Arial"/>
                <w:szCs w:val="16"/>
              </w:rPr>
              <w:t>06/03/2013</w:t>
            </w:r>
          </w:p>
        </w:tc>
        <w:tc>
          <w:tcPr>
            <w:tcW w:w="1017" w:type="dxa"/>
            <w:shd w:val="clear" w:color="auto" w:fill="auto"/>
            <w:hideMark/>
          </w:tcPr>
          <w:p w:rsidR="003C35F9" w:rsidRPr="00BA5CCE" w:rsidRDefault="003C35F9">
            <w:pPr>
              <w:rPr>
                <w:rFonts w:cs="Arial"/>
                <w:szCs w:val="16"/>
              </w:rPr>
            </w:pPr>
            <w:r w:rsidRPr="00BA5CCE">
              <w:rPr>
                <w:rFonts w:cs="Arial"/>
                <w:szCs w:val="16"/>
              </w:rPr>
              <w:t>31/03/2016</w:t>
            </w:r>
          </w:p>
        </w:tc>
        <w:tc>
          <w:tcPr>
            <w:tcW w:w="1418" w:type="dxa"/>
            <w:shd w:val="clear" w:color="auto" w:fill="auto"/>
            <w:hideMark/>
          </w:tcPr>
          <w:p w:rsidR="003C35F9" w:rsidRPr="00BA5CCE" w:rsidRDefault="003C35F9">
            <w:pPr>
              <w:jc w:val="right"/>
              <w:rPr>
                <w:rFonts w:cs="Arial"/>
                <w:szCs w:val="16"/>
              </w:rPr>
            </w:pPr>
            <w:r w:rsidRPr="00BA5CCE">
              <w:rPr>
                <w:rFonts w:cs="Arial"/>
                <w:szCs w:val="16"/>
              </w:rPr>
              <w:t>$6,915,000.00</w:t>
            </w:r>
          </w:p>
        </w:tc>
        <w:tc>
          <w:tcPr>
            <w:tcW w:w="960" w:type="dxa"/>
            <w:shd w:val="clear" w:color="000000" w:fill="339966"/>
            <w:noWrap/>
            <w:hideMark/>
          </w:tcPr>
          <w:p w:rsidR="003C35F9" w:rsidRPr="00BA5CCE" w:rsidRDefault="003C35F9">
            <w:pPr>
              <w:jc w:val="right"/>
              <w:rPr>
                <w:rFonts w:cs="Arial"/>
                <w:szCs w:val="16"/>
              </w:rPr>
            </w:pPr>
            <w:r w:rsidRPr="00BA5CCE">
              <w:rPr>
                <w:rFonts w:cs="Arial"/>
                <w:szCs w:val="16"/>
              </w:rPr>
              <w:t>5</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9900"/>
            <w:noWrap/>
            <w:hideMark/>
          </w:tcPr>
          <w:p w:rsidR="003C35F9" w:rsidRPr="00BA5CCE" w:rsidRDefault="003C35F9">
            <w:pPr>
              <w:jc w:val="right"/>
              <w:rPr>
                <w:rFonts w:cs="Arial"/>
                <w:szCs w:val="16"/>
              </w:rPr>
            </w:pPr>
            <w:r w:rsidRPr="00BA5CCE">
              <w:rPr>
                <w:rFonts w:cs="Arial"/>
                <w:szCs w:val="16"/>
              </w:rPr>
              <w:t>3</w:t>
            </w:r>
          </w:p>
        </w:tc>
        <w:tc>
          <w:tcPr>
            <w:tcW w:w="960" w:type="dxa"/>
            <w:shd w:val="clear" w:color="000000" w:fill="FF0000"/>
            <w:noWrap/>
            <w:hideMark/>
          </w:tcPr>
          <w:p w:rsidR="003C35F9" w:rsidRPr="00BA5CCE" w:rsidRDefault="003C35F9">
            <w:pPr>
              <w:jc w:val="right"/>
              <w:rPr>
                <w:rFonts w:cs="Arial"/>
                <w:szCs w:val="16"/>
              </w:rPr>
            </w:pPr>
            <w:r w:rsidRPr="00BA5CCE">
              <w:rPr>
                <w:rFonts w:cs="Arial"/>
                <w:szCs w:val="16"/>
              </w:rPr>
              <w:t>2</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c>
          <w:tcPr>
            <w:tcW w:w="960" w:type="dxa"/>
            <w:shd w:val="clear" w:color="000000" w:fill="FFFF00"/>
            <w:noWrap/>
            <w:hideMark/>
          </w:tcPr>
          <w:p w:rsidR="003C35F9" w:rsidRPr="00BA5CCE" w:rsidRDefault="003C35F9">
            <w:pPr>
              <w:jc w:val="right"/>
              <w:rPr>
                <w:rFonts w:cs="Arial"/>
                <w:szCs w:val="16"/>
              </w:rPr>
            </w:pPr>
            <w:r w:rsidRPr="00BA5CCE">
              <w:rPr>
                <w:rFonts w:cs="Arial"/>
                <w:szCs w:val="16"/>
              </w:rPr>
              <w:t>4</w:t>
            </w:r>
          </w:p>
        </w:tc>
      </w:tr>
    </w:tbl>
    <w:p w:rsidR="000D733F" w:rsidRDefault="00086A5D" w:rsidP="000D733F">
      <w:pPr>
        <w:pStyle w:val="Note"/>
      </w:pPr>
      <w:r>
        <w:rPr>
          <w:noProof/>
          <w:sz w:val="28"/>
        </w:rPr>
        <mc:AlternateContent>
          <mc:Choice Requires="wps">
            <w:drawing>
              <wp:anchor distT="0" distB="0" distL="114300" distR="114300" simplePos="0" relativeHeight="251680768" behindDoc="0" locked="0" layoutInCell="1" allowOverlap="1" wp14:anchorId="68C2B759" wp14:editId="1100D2E3">
                <wp:simplePos x="0" y="0"/>
                <wp:positionH relativeFrom="column">
                  <wp:posOffset>-113665</wp:posOffset>
                </wp:positionH>
                <wp:positionV relativeFrom="paragraph">
                  <wp:posOffset>73025</wp:posOffset>
                </wp:positionV>
                <wp:extent cx="9178925"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9178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5.75pt" to="713.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" strokecolor="black [3213]" strokeweight="2pt"/>
            </w:pict>
          </mc:Fallback>
        </mc:AlternateContent>
      </w: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CE0CF1">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071B95" w:rsidRDefault="000D733F" w:rsidP="00156328">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0D733F">
            <w:pPr>
              <w:pStyle w:val="TableTextColumnHeading"/>
              <w:rPr>
                <w:b/>
              </w:rPr>
            </w:pPr>
            <w:r w:rsidRPr="00071B95">
              <w:rPr>
                <w:b/>
              </w:rPr>
              <w:t xml:space="preserve">Name of </w:t>
            </w:r>
            <w:r w:rsidR="00501CD2">
              <w:rPr>
                <w:b/>
              </w:rPr>
              <w:t>Investment</w:t>
            </w:r>
          </w:p>
        </w:tc>
        <w:tc>
          <w:tcPr>
            <w:tcW w:w="1933" w:type="dxa"/>
          </w:tcPr>
          <w:p w:rsidR="000D733F" w:rsidRPr="00071B95" w:rsidRDefault="000D733F" w:rsidP="000D733F">
            <w:pPr>
              <w:pStyle w:val="TableTextColumnHeading"/>
              <w:rPr>
                <w:b/>
              </w:rPr>
            </w:pPr>
            <w:r w:rsidRPr="00071B95">
              <w:rPr>
                <w:b/>
              </w:rPr>
              <w:t>Aidworks number</w:t>
            </w:r>
          </w:p>
        </w:tc>
        <w:tc>
          <w:tcPr>
            <w:tcW w:w="2031" w:type="dxa"/>
          </w:tcPr>
          <w:p w:rsidR="000D733F" w:rsidRPr="00071B95" w:rsidRDefault="000D733F" w:rsidP="000D733F">
            <w:pPr>
              <w:pStyle w:val="TableTextColumnHeading"/>
              <w:rPr>
                <w:b/>
              </w:rPr>
            </w:pPr>
            <w:r>
              <w:rPr>
                <w:b/>
              </w:rPr>
              <w:t>Name of evaluation</w:t>
            </w:r>
          </w:p>
        </w:tc>
        <w:tc>
          <w:tcPr>
            <w:tcW w:w="1939" w:type="dxa"/>
          </w:tcPr>
          <w:p w:rsidR="000D733F" w:rsidRPr="00071B95" w:rsidRDefault="000D733F" w:rsidP="000D733F">
            <w:pPr>
              <w:pStyle w:val="TableTextColumnHeading"/>
              <w:rPr>
                <w:b/>
              </w:rPr>
            </w:pPr>
            <w:r w:rsidRPr="00071B95">
              <w:rPr>
                <w:b/>
              </w:rPr>
              <w:t xml:space="preserve">Date </w:t>
            </w:r>
            <w:r>
              <w:rPr>
                <w:b/>
              </w:rPr>
              <w:t>finalised</w:t>
            </w:r>
          </w:p>
        </w:tc>
        <w:tc>
          <w:tcPr>
            <w:tcW w:w="1921" w:type="dxa"/>
          </w:tcPr>
          <w:p w:rsidR="000D733F" w:rsidRPr="00071B95" w:rsidRDefault="00FB361A" w:rsidP="000D733F">
            <w:pPr>
              <w:pStyle w:val="TableTextColumnHeading"/>
              <w:rPr>
                <w:b/>
              </w:rPr>
            </w:pPr>
            <w:r>
              <w:rPr>
                <w:b/>
              </w:rPr>
              <w:t>Date Evaluation report u</w:t>
            </w:r>
            <w:r w:rsidR="000D733F" w:rsidRPr="00071B95">
              <w:rPr>
                <w:b/>
              </w:rPr>
              <w:t>ploaded into Aidworks</w:t>
            </w:r>
          </w:p>
        </w:tc>
        <w:tc>
          <w:tcPr>
            <w:tcW w:w="1743" w:type="dxa"/>
          </w:tcPr>
          <w:p w:rsidR="000D733F" w:rsidRPr="00071B95" w:rsidRDefault="000D733F" w:rsidP="000D733F">
            <w:pPr>
              <w:pStyle w:val="TableTextColumnHeading"/>
              <w:rPr>
                <w:b/>
              </w:rPr>
            </w:pPr>
            <w:r w:rsidRPr="00071B95">
              <w:rPr>
                <w:b/>
              </w:rPr>
              <w:t>Date Management response uploaded into Aidworks</w:t>
            </w:r>
          </w:p>
        </w:tc>
        <w:tc>
          <w:tcPr>
            <w:tcW w:w="1503" w:type="dxa"/>
          </w:tcPr>
          <w:p w:rsidR="000D733F" w:rsidRPr="00071B95" w:rsidRDefault="000D733F" w:rsidP="000D733F">
            <w:pPr>
              <w:pStyle w:val="TableTextColumnHeading"/>
              <w:rPr>
                <w:b/>
              </w:rPr>
            </w:pPr>
            <w:r w:rsidRPr="00071B95">
              <w:rPr>
                <w:b/>
              </w:rPr>
              <w:t>Published on website</w:t>
            </w:r>
          </w:p>
        </w:tc>
      </w:tr>
      <w:tr w:rsidR="00CE0CF1"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CE0CF1" w:rsidRDefault="00CE0CF1">
            <w:pPr>
              <w:pStyle w:val="TableTextEntries"/>
            </w:pPr>
            <w:r>
              <w:rPr>
                <w:b w:val="0"/>
              </w:rPr>
              <w:t>Fisheries Development Assistance in the Pacific</w:t>
            </w:r>
          </w:p>
        </w:tc>
        <w:tc>
          <w:tcPr>
            <w:tcW w:w="1933" w:type="dxa"/>
          </w:tcPr>
          <w:p w:rsidR="00CE0CF1" w:rsidRDefault="00CE0CF1">
            <w:pPr>
              <w:pStyle w:val="TableTextEntries"/>
            </w:pPr>
            <w:r>
              <w:rPr>
                <w:b w:val="0"/>
              </w:rPr>
              <w:t>INJ201</w:t>
            </w:r>
          </w:p>
        </w:tc>
        <w:tc>
          <w:tcPr>
            <w:tcW w:w="2031" w:type="dxa"/>
          </w:tcPr>
          <w:p w:rsidR="00CE0CF1" w:rsidRDefault="00CE0CF1">
            <w:pPr>
              <w:pStyle w:val="TableTextEntries"/>
            </w:pPr>
            <w:r>
              <w:rPr>
                <w:b w:val="0"/>
              </w:rPr>
              <w:t>Independent completion review</w:t>
            </w:r>
          </w:p>
        </w:tc>
        <w:tc>
          <w:tcPr>
            <w:tcW w:w="1939" w:type="dxa"/>
          </w:tcPr>
          <w:p w:rsidR="00CE0CF1" w:rsidRDefault="00CE0CF1">
            <w:pPr>
              <w:pStyle w:val="TableTextEntries"/>
            </w:pPr>
            <w:r>
              <w:rPr>
                <w:b w:val="0"/>
              </w:rPr>
              <w:t>June 2014</w:t>
            </w:r>
          </w:p>
        </w:tc>
        <w:tc>
          <w:tcPr>
            <w:tcW w:w="1921" w:type="dxa"/>
          </w:tcPr>
          <w:p w:rsidR="00CE0CF1" w:rsidRDefault="00CE0CF1">
            <w:pPr>
              <w:pStyle w:val="TableTextEntries"/>
            </w:pPr>
            <w:r>
              <w:rPr>
                <w:b w:val="0"/>
              </w:rPr>
              <w:t>N/A</w:t>
            </w:r>
          </w:p>
        </w:tc>
        <w:tc>
          <w:tcPr>
            <w:tcW w:w="1743" w:type="dxa"/>
          </w:tcPr>
          <w:p w:rsidR="00CE0CF1" w:rsidRDefault="00CE0CF1">
            <w:pPr>
              <w:pStyle w:val="TableTextEntries"/>
            </w:pPr>
            <w:r>
              <w:rPr>
                <w:b w:val="0"/>
              </w:rPr>
              <w:t>N/A</w:t>
            </w:r>
          </w:p>
        </w:tc>
        <w:tc>
          <w:tcPr>
            <w:tcW w:w="1503" w:type="dxa"/>
          </w:tcPr>
          <w:p w:rsidR="00CE0CF1" w:rsidRDefault="00CE0CF1">
            <w:pPr>
              <w:pStyle w:val="TableTextEntries"/>
            </w:pPr>
            <w:r>
              <w:rPr>
                <w:b w:val="0"/>
              </w:rPr>
              <w:t>N/A</w:t>
            </w:r>
          </w:p>
        </w:tc>
      </w:tr>
      <w:tr w:rsidR="00CE0CF1"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CE0CF1" w:rsidRDefault="00CE0CF1">
            <w:pPr>
              <w:pStyle w:val="TableTextEntries"/>
            </w:pPr>
            <w:r>
              <w:rPr>
                <w:b w:val="0"/>
              </w:rPr>
              <w:t>Fisheries for Food Security</w:t>
            </w:r>
          </w:p>
        </w:tc>
        <w:tc>
          <w:tcPr>
            <w:tcW w:w="1933" w:type="dxa"/>
          </w:tcPr>
          <w:p w:rsidR="00CE0CF1" w:rsidRDefault="00CE0CF1">
            <w:pPr>
              <w:pStyle w:val="TableTextEntries"/>
            </w:pPr>
            <w:r>
              <w:rPr>
                <w:b w:val="0"/>
              </w:rPr>
              <w:t>INJ589</w:t>
            </w:r>
          </w:p>
        </w:tc>
        <w:tc>
          <w:tcPr>
            <w:tcW w:w="2031" w:type="dxa"/>
          </w:tcPr>
          <w:p w:rsidR="00CE0CF1" w:rsidRDefault="00CE0CF1">
            <w:pPr>
              <w:pStyle w:val="TableTextEntries"/>
            </w:pPr>
            <w:r>
              <w:rPr>
                <w:b w:val="0"/>
              </w:rPr>
              <w:t>Mid-term review</w:t>
            </w:r>
          </w:p>
        </w:tc>
        <w:tc>
          <w:tcPr>
            <w:tcW w:w="1939" w:type="dxa"/>
          </w:tcPr>
          <w:p w:rsidR="00CE0CF1" w:rsidRDefault="00CE0CF1">
            <w:pPr>
              <w:pStyle w:val="TableTextEntries"/>
            </w:pPr>
            <w:r>
              <w:rPr>
                <w:b w:val="0"/>
              </w:rPr>
              <w:t>December 2014</w:t>
            </w:r>
          </w:p>
        </w:tc>
        <w:tc>
          <w:tcPr>
            <w:tcW w:w="1921" w:type="dxa"/>
          </w:tcPr>
          <w:p w:rsidR="00CE0CF1" w:rsidRDefault="00CE0CF1">
            <w:pPr>
              <w:pStyle w:val="TableTextEntries"/>
            </w:pPr>
            <w:r>
              <w:rPr>
                <w:b w:val="0"/>
              </w:rPr>
              <w:t>27 March 2014</w:t>
            </w:r>
          </w:p>
        </w:tc>
        <w:tc>
          <w:tcPr>
            <w:tcW w:w="1743" w:type="dxa"/>
          </w:tcPr>
          <w:p w:rsidR="00CE0CF1" w:rsidRDefault="00CE0CF1">
            <w:pPr>
              <w:pStyle w:val="TableTextEntries"/>
            </w:pPr>
            <w:r>
              <w:rPr>
                <w:b w:val="0"/>
              </w:rPr>
              <w:t>27 March 2014</w:t>
            </w:r>
          </w:p>
        </w:tc>
        <w:tc>
          <w:tcPr>
            <w:tcW w:w="1503" w:type="dxa"/>
          </w:tcPr>
          <w:p w:rsidR="00CE0CF1" w:rsidRDefault="00CE0CF1">
            <w:pPr>
              <w:pStyle w:val="TableTextEntries"/>
            </w:pPr>
            <w:r>
              <w:rPr>
                <w:b w:val="0"/>
              </w:rPr>
              <w:t xml:space="preserve">16 April 2014 </w:t>
            </w:r>
          </w:p>
        </w:tc>
      </w:tr>
      <w:tr w:rsidR="00CE0CF1"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CE0CF1" w:rsidRDefault="00CE0CF1">
            <w:pPr>
              <w:pStyle w:val="TableTextEntries"/>
            </w:pPr>
            <w:r>
              <w:rPr>
                <w:b w:val="0"/>
              </w:rPr>
              <w:t>ICCAI/PACCSAPP</w:t>
            </w:r>
          </w:p>
        </w:tc>
        <w:tc>
          <w:tcPr>
            <w:tcW w:w="1933" w:type="dxa"/>
          </w:tcPr>
          <w:p w:rsidR="00CE0CF1" w:rsidRDefault="00CE0CF1">
            <w:pPr>
              <w:pStyle w:val="TableTextEntries"/>
            </w:pPr>
            <w:r>
              <w:rPr>
                <w:b w:val="0"/>
              </w:rPr>
              <w:t>INK303</w:t>
            </w:r>
          </w:p>
        </w:tc>
        <w:tc>
          <w:tcPr>
            <w:tcW w:w="2031" w:type="dxa"/>
          </w:tcPr>
          <w:p w:rsidR="00CE0CF1" w:rsidRDefault="00CE0CF1">
            <w:pPr>
              <w:pStyle w:val="TableTextEntries"/>
            </w:pPr>
            <w:r>
              <w:rPr>
                <w:b w:val="0"/>
              </w:rPr>
              <w:t>Independent review/needs assessment</w:t>
            </w:r>
          </w:p>
        </w:tc>
        <w:tc>
          <w:tcPr>
            <w:tcW w:w="1939" w:type="dxa"/>
          </w:tcPr>
          <w:p w:rsidR="00CE0CF1" w:rsidRDefault="00CE0CF1">
            <w:pPr>
              <w:pStyle w:val="TableTextEntries"/>
            </w:pPr>
            <w:r>
              <w:rPr>
                <w:b w:val="0"/>
              </w:rPr>
              <w:t>August 2013</w:t>
            </w:r>
          </w:p>
        </w:tc>
        <w:tc>
          <w:tcPr>
            <w:tcW w:w="1921" w:type="dxa"/>
          </w:tcPr>
          <w:p w:rsidR="00CE0CF1" w:rsidRDefault="00CE0CF1">
            <w:pPr>
              <w:pStyle w:val="TableTextEntries"/>
            </w:pPr>
            <w:r>
              <w:rPr>
                <w:b w:val="0"/>
              </w:rPr>
              <w:t>December 2013</w:t>
            </w:r>
          </w:p>
        </w:tc>
        <w:tc>
          <w:tcPr>
            <w:tcW w:w="1743" w:type="dxa"/>
          </w:tcPr>
          <w:p w:rsidR="00CE0CF1" w:rsidRDefault="00CE0CF1">
            <w:pPr>
              <w:pStyle w:val="TableTextEntries"/>
            </w:pPr>
            <w:r>
              <w:rPr>
                <w:b w:val="0"/>
              </w:rPr>
              <w:t>N/A</w:t>
            </w:r>
          </w:p>
        </w:tc>
        <w:tc>
          <w:tcPr>
            <w:tcW w:w="1503" w:type="dxa"/>
          </w:tcPr>
          <w:p w:rsidR="00CE0CF1" w:rsidRDefault="00CE0CF1">
            <w:pPr>
              <w:pStyle w:val="TableTextEntries"/>
            </w:pPr>
            <w:r>
              <w:rPr>
                <w:b w:val="0"/>
              </w:rPr>
              <w:t>April 2014</w:t>
            </w:r>
          </w:p>
        </w:tc>
      </w:tr>
      <w:tr w:rsidR="00CE0CF1"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CE0CF1" w:rsidRDefault="00CE0CF1">
            <w:pPr>
              <w:pStyle w:val="TableTextEntries"/>
            </w:pPr>
            <w:r>
              <w:rPr>
                <w:b w:val="0"/>
              </w:rPr>
              <w:t>Support to PIFS for PRSD</w:t>
            </w:r>
          </w:p>
        </w:tc>
        <w:tc>
          <w:tcPr>
            <w:tcW w:w="1933" w:type="dxa"/>
          </w:tcPr>
          <w:p w:rsidR="00CE0CF1" w:rsidRDefault="00CE0CF1">
            <w:pPr>
              <w:pStyle w:val="TableTextEntries"/>
            </w:pPr>
          </w:p>
        </w:tc>
        <w:tc>
          <w:tcPr>
            <w:tcW w:w="2031" w:type="dxa"/>
          </w:tcPr>
          <w:p w:rsidR="00CE0CF1" w:rsidRDefault="00CE0CF1">
            <w:pPr>
              <w:pStyle w:val="TableTextEntries"/>
            </w:pPr>
            <w:r>
              <w:rPr>
                <w:b w:val="0"/>
              </w:rPr>
              <w:t>Partner-led review</w:t>
            </w:r>
          </w:p>
        </w:tc>
        <w:tc>
          <w:tcPr>
            <w:tcW w:w="1939" w:type="dxa"/>
          </w:tcPr>
          <w:p w:rsidR="00CE0CF1" w:rsidRDefault="00CE0CF1">
            <w:pPr>
              <w:pStyle w:val="TableTextEntries"/>
            </w:pPr>
            <w:r>
              <w:rPr>
                <w:b w:val="0"/>
              </w:rPr>
              <w:t>February 2014</w:t>
            </w:r>
          </w:p>
        </w:tc>
        <w:tc>
          <w:tcPr>
            <w:tcW w:w="1921" w:type="dxa"/>
          </w:tcPr>
          <w:p w:rsidR="00CE0CF1" w:rsidRDefault="00CE0CF1">
            <w:pPr>
              <w:pStyle w:val="TableTextEntries"/>
            </w:pPr>
            <w:r>
              <w:rPr>
                <w:b w:val="0"/>
              </w:rPr>
              <w:t>N/A</w:t>
            </w:r>
          </w:p>
        </w:tc>
        <w:tc>
          <w:tcPr>
            <w:tcW w:w="1743" w:type="dxa"/>
          </w:tcPr>
          <w:p w:rsidR="00CE0CF1" w:rsidRDefault="00CE0CF1">
            <w:pPr>
              <w:pStyle w:val="TableTextEntries"/>
            </w:pPr>
            <w:r>
              <w:rPr>
                <w:b w:val="0"/>
              </w:rPr>
              <w:t>N/A</w:t>
            </w:r>
          </w:p>
        </w:tc>
        <w:tc>
          <w:tcPr>
            <w:tcW w:w="1503" w:type="dxa"/>
          </w:tcPr>
          <w:p w:rsidR="00CE0CF1" w:rsidRDefault="00CE0CF1">
            <w:pPr>
              <w:pStyle w:val="TableTextEntries"/>
            </w:pPr>
            <w:r>
              <w:rPr>
                <w:b w:val="0"/>
              </w:rPr>
              <w:t>N/A</w:t>
            </w:r>
          </w:p>
        </w:tc>
      </w:tr>
      <w:tr w:rsidR="0089310E"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89310E" w:rsidRDefault="0089310E" w:rsidP="000D733F">
            <w:pPr>
              <w:pStyle w:val="TableTextEntries"/>
            </w:pPr>
          </w:p>
        </w:tc>
        <w:tc>
          <w:tcPr>
            <w:tcW w:w="1933" w:type="dxa"/>
          </w:tcPr>
          <w:p w:rsidR="0089310E" w:rsidRDefault="0089310E" w:rsidP="000D733F">
            <w:pPr>
              <w:pStyle w:val="TableTextEntries"/>
            </w:pPr>
          </w:p>
        </w:tc>
        <w:tc>
          <w:tcPr>
            <w:tcW w:w="2031" w:type="dxa"/>
          </w:tcPr>
          <w:p w:rsidR="0089310E" w:rsidRDefault="0089310E" w:rsidP="000D733F">
            <w:pPr>
              <w:pStyle w:val="TableTextEntries"/>
            </w:pPr>
          </w:p>
        </w:tc>
        <w:tc>
          <w:tcPr>
            <w:tcW w:w="1939" w:type="dxa"/>
          </w:tcPr>
          <w:p w:rsidR="0089310E" w:rsidRDefault="0089310E" w:rsidP="000D733F">
            <w:pPr>
              <w:pStyle w:val="TableTextEntries"/>
            </w:pPr>
          </w:p>
        </w:tc>
        <w:tc>
          <w:tcPr>
            <w:tcW w:w="1921" w:type="dxa"/>
          </w:tcPr>
          <w:p w:rsidR="0089310E" w:rsidRDefault="0089310E" w:rsidP="000D733F">
            <w:pPr>
              <w:pStyle w:val="TableTextEntries"/>
            </w:pPr>
          </w:p>
        </w:tc>
        <w:tc>
          <w:tcPr>
            <w:tcW w:w="1743" w:type="dxa"/>
          </w:tcPr>
          <w:p w:rsidR="0089310E" w:rsidRDefault="0089310E" w:rsidP="000D733F">
            <w:pPr>
              <w:pStyle w:val="TableTextEntries"/>
            </w:pPr>
          </w:p>
        </w:tc>
        <w:tc>
          <w:tcPr>
            <w:tcW w:w="1503" w:type="dxa"/>
          </w:tcPr>
          <w:p w:rsidR="0089310E" w:rsidRDefault="0089310E" w:rsidP="000D733F">
            <w:pPr>
              <w:pStyle w:val="TableTextEntries"/>
              <w:rPr>
                <w:b w:val="0"/>
              </w:rPr>
            </w:pPr>
          </w:p>
        </w:tc>
      </w:tr>
    </w:tbl>
    <w:p w:rsidR="000D733F" w:rsidRPr="00071B95" w:rsidRDefault="000D733F" w:rsidP="000D733F">
      <w:pPr>
        <w:rPr>
          <w:b/>
        </w:rPr>
      </w:pPr>
    </w:p>
    <w:p w:rsidR="000C2551" w:rsidRDefault="000C2551" w:rsidP="000C2551">
      <w:pPr>
        <w:pStyle w:val="Caption"/>
      </w:pPr>
      <w:r>
        <w:t xml:space="preserve">List of evaluations planned in the next 12 months </w:t>
      </w:r>
    </w:p>
    <w:tbl>
      <w:tblPr>
        <w:tblW w:w="0" w:type="auto"/>
        <w:tblCellSpacing w:w="15" w:type="dxa"/>
        <w:tblBorders>
          <w:top w:val="single" w:sz="12" w:space="0" w:color="000000"/>
          <w:bottom w:val="single" w:sz="12" w:space="0" w:color="000000"/>
        </w:tblBorders>
        <w:tblCellMar>
          <w:left w:w="0" w:type="dxa"/>
          <w:right w:w="0" w:type="dxa"/>
        </w:tblCellMar>
        <w:tblLook w:val="04A0" w:firstRow="1" w:lastRow="0" w:firstColumn="1" w:lastColumn="0" w:noHBand="0" w:noVBand="1"/>
      </w:tblPr>
      <w:tblGrid>
        <w:gridCol w:w="2646"/>
        <w:gridCol w:w="2560"/>
        <w:gridCol w:w="2642"/>
        <w:gridCol w:w="2642"/>
        <w:gridCol w:w="2662"/>
      </w:tblGrid>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Default="000C2551">
            <w:pPr>
              <w:pStyle w:val="TableTextColumnHeading"/>
            </w:pPr>
            <w:r>
              <w:rPr>
                <w:b w:val="0"/>
                <w:bCs/>
              </w:rPr>
              <w:br w:type="page"/>
            </w:r>
            <w:r>
              <w:t>Name of Investment</w:t>
            </w:r>
          </w:p>
        </w:tc>
        <w:tc>
          <w:tcPr>
            <w:tcW w:w="2530" w:type="dxa"/>
            <w:tcBorders>
              <w:top w:val="nil"/>
              <w:left w:val="nil"/>
              <w:bottom w:val="nil"/>
              <w:right w:val="nil"/>
            </w:tcBorders>
            <w:tcMar>
              <w:top w:w="0" w:type="dxa"/>
              <w:left w:w="108" w:type="dxa"/>
              <w:bottom w:w="0" w:type="dxa"/>
              <w:right w:w="108" w:type="dxa"/>
            </w:tcMar>
            <w:hideMark/>
          </w:tcPr>
          <w:p w:rsidR="000C2551" w:rsidRDefault="000C2551">
            <w:pPr>
              <w:pStyle w:val="TableTextColumnHeading"/>
            </w:pPr>
            <w:r>
              <w:t>Aidworks number</w:t>
            </w: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ColumnHeading"/>
            </w:pPr>
            <w:r>
              <w:t>Type of evaluation</w:t>
            </w: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ColumnHeading"/>
            </w:pPr>
            <w:r>
              <w:t>Purpose of evaluation</w:t>
            </w:r>
          </w:p>
        </w:tc>
        <w:tc>
          <w:tcPr>
            <w:tcW w:w="2617" w:type="dxa"/>
            <w:tcBorders>
              <w:top w:val="nil"/>
              <w:left w:val="nil"/>
              <w:bottom w:val="nil"/>
              <w:right w:val="nil"/>
            </w:tcBorders>
            <w:tcMar>
              <w:top w:w="0" w:type="dxa"/>
              <w:left w:w="108" w:type="dxa"/>
              <w:bottom w:w="0" w:type="dxa"/>
              <w:right w:w="108" w:type="dxa"/>
            </w:tcMar>
            <w:hideMark/>
          </w:tcPr>
          <w:p w:rsidR="000C2551" w:rsidRDefault="000C2551">
            <w:pPr>
              <w:pStyle w:val="TableTextColumnHeading"/>
            </w:pPr>
            <w:r>
              <w:t>Expected completion date</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Default="000C2551">
            <w:pPr>
              <w:pStyle w:val="TableTextEntries"/>
              <w:spacing w:before="0" w:after="0" w:line="240" w:lineRule="auto"/>
            </w:pPr>
            <w:r>
              <w:t>Climate and Oceans Support Program in the Pacific</w:t>
            </w:r>
          </w:p>
        </w:tc>
        <w:tc>
          <w:tcPr>
            <w:tcW w:w="2530"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INJ488</w:t>
            </w: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Mid-term review</w:t>
            </w: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Entries"/>
              <w:rPr>
                <w:color w:val="000000"/>
              </w:rPr>
            </w:pPr>
            <w:r>
              <w:rPr>
                <w:color w:val="000000"/>
              </w:rPr>
              <w:t>Evaluate progress, evaluate appropriateness of design and begin planning next concept.</w:t>
            </w:r>
          </w:p>
        </w:tc>
        <w:tc>
          <w:tcPr>
            <w:tcW w:w="2617"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December 2014</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Default="000C2551">
            <w:pPr>
              <w:pStyle w:val="TableTextEntries"/>
              <w:spacing w:before="0" w:after="0" w:line="240" w:lineRule="auto"/>
            </w:pPr>
            <w:r>
              <w:t>Pacific Financial Technical Assistance Centre</w:t>
            </w:r>
          </w:p>
        </w:tc>
        <w:tc>
          <w:tcPr>
            <w:tcW w:w="2530" w:type="dxa"/>
            <w:tcBorders>
              <w:top w:val="nil"/>
              <w:left w:val="nil"/>
              <w:bottom w:val="nil"/>
              <w:right w:val="nil"/>
            </w:tcBorders>
            <w:tcMar>
              <w:top w:w="0" w:type="dxa"/>
              <w:left w:w="108" w:type="dxa"/>
              <w:bottom w:w="0" w:type="dxa"/>
              <w:right w:w="108" w:type="dxa"/>
            </w:tcMar>
          </w:tcPr>
          <w:p w:rsidR="000C2551" w:rsidRDefault="000C2551">
            <w:pPr>
              <w:pStyle w:val="TableTextEntries"/>
              <w:rPr>
                <w:rFonts w:eastAsiaTheme="minorHAnsi"/>
              </w:rPr>
            </w:pPr>
            <w:r>
              <w:t>INC676</w:t>
            </w:r>
          </w:p>
          <w:p w:rsidR="000C2551" w:rsidRDefault="000C2551">
            <w:pPr>
              <w:pStyle w:val="TableTextEntries"/>
            </w:pPr>
          </w:p>
        </w:tc>
        <w:tc>
          <w:tcPr>
            <w:tcW w:w="2612" w:type="dxa"/>
            <w:tcBorders>
              <w:top w:val="nil"/>
              <w:left w:val="nil"/>
              <w:bottom w:val="nil"/>
              <w:right w:val="nil"/>
            </w:tcBorders>
            <w:tcMar>
              <w:top w:w="0" w:type="dxa"/>
              <w:left w:w="108" w:type="dxa"/>
              <w:bottom w:w="0" w:type="dxa"/>
              <w:right w:w="108" w:type="dxa"/>
            </w:tcMar>
          </w:tcPr>
          <w:p w:rsidR="000C2551" w:rsidRDefault="000C2551">
            <w:pPr>
              <w:pStyle w:val="TableTextEntries"/>
              <w:rPr>
                <w:rFonts w:eastAsiaTheme="minorHAnsi"/>
              </w:rPr>
            </w:pPr>
            <w:r>
              <w:t>Partner-led review</w:t>
            </w:r>
          </w:p>
          <w:p w:rsidR="000C2551" w:rsidRDefault="000C2551">
            <w:pPr>
              <w:pStyle w:val="TableTextEntries"/>
            </w:pP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Assess program relevance and future requirement. Funded by IMF.</w:t>
            </w:r>
          </w:p>
        </w:tc>
        <w:tc>
          <w:tcPr>
            <w:tcW w:w="2617"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September 2015</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Default="000C2551">
            <w:pPr>
              <w:pStyle w:val="TableTextEntries"/>
              <w:spacing w:before="0" w:after="0" w:line="240" w:lineRule="auto"/>
            </w:pPr>
            <w:r>
              <w:t>SPREP Partnership Agreement 2011-2015</w:t>
            </w:r>
          </w:p>
        </w:tc>
        <w:tc>
          <w:tcPr>
            <w:tcW w:w="2530"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INJ804</w:t>
            </w: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Partner-led evaluation</w:t>
            </w:r>
          </w:p>
        </w:tc>
        <w:tc>
          <w:tcPr>
            <w:tcW w:w="2612"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Assess the effectiveness of assistance to SPREP</w:t>
            </w:r>
          </w:p>
        </w:tc>
        <w:tc>
          <w:tcPr>
            <w:tcW w:w="2617" w:type="dxa"/>
            <w:tcBorders>
              <w:top w:val="nil"/>
              <w:left w:val="nil"/>
              <w:bottom w:val="nil"/>
              <w:right w:val="nil"/>
            </w:tcBorders>
            <w:tcMar>
              <w:top w:w="0" w:type="dxa"/>
              <w:left w:w="108" w:type="dxa"/>
              <w:bottom w:w="0" w:type="dxa"/>
              <w:right w:w="108" w:type="dxa"/>
            </w:tcMar>
            <w:hideMark/>
          </w:tcPr>
          <w:p w:rsidR="000C2551" w:rsidRDefault="000C2551">
            <w:pPr>
              <w:pStyle w:val="TableTextEntries"/>
            </w:pPr>
            <w:r>
              <w:t>December 2014</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spacing w:before="0" w:after="0" w:line="240" w:lineRule="auto"/>
            </w:pPr>
            <w:r w:rsidRPr="000C2551">
              <w:lastRenderedPageBreak/>
              <w:t>Secretariat for the Pacific Community (SPC)/Regional Rights Resource Team (RRRT)</w:t>
            </w:r>
          </w:p>
        </w:tc>
        <w:tc>
          <w:tcPr>
            <w:tcW w:w="2530"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ING982</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Independent Progress review</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t>A</w:t>
            </w:r>
            <w:r w:rsidRPr="000C2551">
              <w:t>ssess the performance of RRRT against its stated objectives with specific focus on its relevance, effectiveness and sustainability</w:t>
            </w:r>
          </w:p>
        </w:tc>
        <w:tc>
          <w:tcPr>
            <w:tcW w:w="2617"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December 2014/January 2015</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spacing w:before="0" w:after="0" w:line="240" w:lineRule="auto"/>
            </w:pPr>
            <w:r w:rsidRPr="000C2551">
              <w:t>Pacific Disability Forum (PDF)</w:t>
            </w:r>
          </w:p>
        </w:tc>
        <w:tc>
          <w:tcPr>
            <w:tcW w:w="2530"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INI486</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Independent Progress review</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t>A</w:t>
            </w:r>
            <w:r w:rsidRPr="000C2551">
              <w:t>ssess the performance of PDF against its stated objectives in terms of effectiveness (impact), efficiency and sustainability</w:t>
            </w:r>
          </w:p>
        </w:tc>
        <w:tc>
          <w:tcPr>
            <w:tcW w:w="2617"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May 2015</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spacing w:before="0" w:after="0" w:line="240" w:lineRule="auto"/>
            </w:pPr>
            <w:r w:rsidRPr="000C2551">
              <w:t>Pacific Legal Information Institute (PacLII)</w:t>
            </w:r>
          </w:p>
        </w:tc>
        <w:tc>
          <w:tcPr>
            <w:tcW w:w="2530"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INJ911</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Independent Progress review</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t>F</w:t>
            </w:r>
            <w:r w:rsidRPr="000C2551">
              <w:t>ocus on sustainability (consider financial sustainability and hosting options), and the effectiveness of the work that PACLII does in promoting jurisprudence in the Pacific</w:t>
            </w:r>
          </w:p>
        </w:tc>
        <w:tc>
          <w:tcPr>
            <w:tcW w:w="2617"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May 2015</w:t>
            </w:r>
          </w:p>
        </w:tc>
      </w:tr>
      <w:tr w:rsidR="000C2551" w:rsidTr="000C2551">
        <w:trPr>
          <w:tblHeader/>
          <w:tblCellSpacing w:w="15" w:type="dxa"/>
        </w:trPr>
        <w:tc>
          <w:tcPr>
            <w:tcW w:w="2601"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spacing w:before="0" w:after="0" w:line="240" w:lineRule="auto"/>
            </w:pPr>
            <w:r w:rsidRPr="000C2551">
              <w:t>Fiji Women’s Crisis Centre (FWCC)</w:t>
            </w:r>
          </w:p>
        </w:tc>
        <w:tc>
          <w:tcPr>
            <w:tcW w:w="2530"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INI598</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Independent Progress review</w:t>
            </w:r>
          </w:p>
        </w:tc>
        <w:tc>
          <w:tcPr>
            <w:tcW w:w="2612"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t>R</w:t>
            </w:r>
            <w:r w:rsidRPr="000C2551">
              <w:t>egional function of the FWCC</w:t>
            </w:r>
          </w:p>
        </w:tc>
        <w:tc>
          <w:tcPr>
            <w:tcW w:w="2617" w:type="dxa"/>
            <w:tcBorders>
              <w:top w:val="nil"/>
              <w:left w:val="nil"/>
              <w:bottom w:val="nil"/>
              <w:right w:val="nil"/>
            </w:tcBorders>
            <w:tcMar>
              <w:top w:w="0" w:type="dxa"/>
              <w:left w:w="108" w:type="dxa"/>
              <w:bottom w:w="0" w:type="dxa"/>
              <w:right w:w="108" w:type="dxa"/>
            </w:tcMar>
            <w:hideMark/>
          </w:tcPr>
          <w:p w:rsidR="000C2551" w:rsidRPr="000C2551" w:rsidRDefault="000C2551">
            <w:pPr>
              <w:pStyle w:val="TableTextEntries"/>
            </w:pPr>
            <w:r w:rsidRPr="000C2551">
              <w:t>December 2014</w:t>
            </w:r>
          </w:p>
        </w:tc>
      </w:tr>
    </w:tbl>
    <w:p w:rsidR="000C2551" w:rsidRDefault="000C2551" w:rsidP="00CE0CF1">
      <w:pPr>
        <w:pStyle w:val="Heading2"/>
        <w:spacing w:before="120"/>
        <w:rPr>
          <w:sz w:val="28"/>
        </w:rPr>
      </w:pPr>
    </w:p>
    <w:p w:rsidR="000C2551" w:rsidRDefault="000C2551" w:rsidP="00CE0CF1">
      <w:pPr>
        <w:pStyle w:val="Heading2"/>
        <w:spacing w:before="120"/>
        <w:rPr>
          <w:sz w:val="28"/>
        </w:rPr>
      </w:pPr>
    </w:p>
    <w:p w:rsidR="000C2551" w:rsidRDefault="000C2551" w:rsidP="00CE0CF1">
      <w:pPr>
        <w:pStyle w:val="Heading2"/>
        <w:spacing w:before="120"/>
        <w:rPr>
          <w:sz w:val="28"/>
        </w:rPr>
      </w:pPr>
    </w:p>
    <w:p w:rsidR="000C2551" w:rsidRDefault="000C2551" w:rsidP="00CE0CF1">
      <w:pPr>
        <w:pStyle w:val="Heading2"/>
        <w:spacing w:before="120"/>
        <w:rPr>
          <w:sz w:val="28"/>
        </w:rPr>
      </w:pPr>
    </w:p>
    <w:p w:rsidR="000C2551" w:rsidRDefault="000C2551">
      <w:pPr>
        <w:spacing w:after="200" w:line="276" w:lineRule="auto"/>
        <w:rPr>
          <w:rFonts w:ascii="Helvetica" w:hAnsi="Helvetica" w:cs="Arial"/>
          <w:color w:val="007FAD"/>
          <w:kern w:val="28"/>
          <w:sz w:val="28"/>
          <w:szCs w:val="28"/>
        </w:rPr>
      </w:pPr>
      <w:r>
        <w:rPr>
          <w:sz w:val="28"/>
        </w:rPr>
        <w:br w:type="page"/>
      </w:r>
    </w:p>
    <w:bookmarkEnd w:id="2"/>
    <w:p w:rsidR="00FB361A" w:rsidRPr="009E38C1" w:rsidRDefault="00FB361A" w:rsidP="00FB361A">
      <w:pPr>
        <w:pStyle w:val="Heading2"/>
        <w:spacing w:before="120"/>
        <w:rPr>
          <w:sz w:val="28"/>
        </w:rPr>
      </w:pPr>
      <w:r w:rsidRPr="009E38C1">
        <w:rPr>
          <w:sz w:val="28"/>
        </w:rPr>
        <w:lastRenderedPageBreak/>
        <w:t>Annex D</w:t>
      </w:r>
    </w:p>
    <w:p w:rsidR="00FB361A" w:rsidRPr="00CE0CF1" w:rsidRDefault="00FB361A" w:rsidP="00FB361A">
      <w:pPr>
        <w:pStyle w:val="Heading2"/>
        <w:rPr>
          <w:sz w:val="28"/>
        </w:rPr>
      </w:pPr>
      <w:r w:rsidRPr="009E38C1">
        <w:rPr>
          <w:sz w:val="28"/>
        </w:rPr>
        <w:t>Performance Benchmarks 2014 -15</w:t>
      </w:r>
    </w:p>
    <w:tbl>
      <w:tblPr>
        <w:tblStyle w:val="DFATTable"/>
        <w:tblW w:w="5000" w:type="pct"/>
        <w:tblLook w:val="04A0" w:firstRow="1" w:lastRow="0" w:firstColumn="1" w:lastColumn="0" w:noHBand="0" w:noVBand="1"/>
      </w:tblPr>
      <w:tblGrid>
        <w:gridCol w:w="3301"/>
        <w:gridCol w:w="3301"/>
        <w:gridCol w:w="7279"/>
      </w:tblGrid>
      <w:tr w:rsidR="00FB361A" w:rsidRPr="004F7D80" w:rsidTr="008D0C12">
        <w:trPr>
          <w:tblHeader/>
        </w:trPr>
        <w:tc>
          <w:tcPr>
            <w:tcW w:w="1189" w:type="pct"/>
            <w:tcMar>
              <w:top w:w="57" w:type="dxa"/>
              <w:bottom w:w="57" w:type="dxa"/>
            </w:tcMar>
          </w:tcPr>
          <w:p w:rsidR="00FB361A" w:rsidRPr="002749B6" w:rsidRDefault="00FB361A" w:rsidP="008D0C12">
            <w:pPr>
              <w:pStyle w:val="TableHeading1"/>
            </w:pPr>
            <w:r>
              <w:t>Aid</w:t>
            </w:r>
            <w:r w:rsidRPr="002749B6">
              <w:t xml:space="preserve"> objective</w:t>
            </w:r>
          </w:p>
        </w:tc>
        <w:tc>
          <w:tcPr>
            <w:tcW w:w="1189" w:type="pct"/>
          </w:tcPr>
          <w:p w:rsidR="00FB361A" w:rsidRPr="002749B6" w:rsidRDefault="00FB361A" w:rsidP="008D0C12">
            <w:pPr>
              <w:pStyle w:val="TableHeading1"/>
            </w:pPr>
            <w:r w:rsidRPr="002749B6">
              <w:t xml:space="preserve">2014-15 benchmark </w:t>
            </w:r>
          </w:p>
        </w:tc>
        <w:tc>
          <w:tcPr>
            <w:tcW w:w="2622" w:type="pct"/>
          </w:tcPr>
          <w:p w:rsidR="00FB361A" w:rsidRPr="002749B6" w:rsidRDefault="00FB361A" w:rsidP="008D0C12">
            <w:pPr>
              <w:pStyle w:val="TableHeading1"/>
            </w:pPr>
            <w:r w:rsidRPr="002749B6">
              <w:t>Rationale for selecting this performance benchmark</w:t>
            </w:r>
          </w:p>
        </w:tc>
      </w:tr>
      <w:tr w:rsidR="00FB361A" w:rsidRPr="004F7D80" w:rsidTr="008D0C12">
        <w:tc>
          <w:tcPr>
            <w:tcW w:w="5000" w:type="pct"/>
            <w:gridSpan w:val="3"/>
            <w:tcMar>
              <w:top w:w="57" w:type="dxa"/>
              <w:bottom w:w="57" w:type="dxa"/>
            </w:tcMar>
          </w:tcPr>
          <w:p w:rsidR="00FB361A" w:rsidRDefault="00FB361A" w:rsidP="008D0C12">
            <w:pPr>
              <w:pStyle w:val="TableHeading2"/>
            </w:pPr>
            <w:r>
              <w:t xml:space="preserve">Supporting the management of shared </w:t>
            </w:r>
          </w:p>
          <w:p w:rsidR="00FB361A" w:rsidRPr="002749B6" w:rsidRDefault="00FB361A" w:rsidP="008D0C12">
            <w:pPr>
              <w:pStyle w:val="TableHeading2"/>
            </w:pPr>
            <w:r>
              <w:t>natural resources</w:t>
            </w:r>
          </w:p>
        </w:tc>
      </w:tr>
      <w:tr w:rsidR="00FB361A" w:rsidRPr="004F7D80" w:rsidTr="008D0C12">
        <w:tc>
          <w:tcPr>
            <w:tcW w:w="1189" w:type="pct"/>
            <w:tcMar>
              <w:top w:w="57" w:type="dxa"/>
              <w:bottom w:w="57" w:type="dxa"/>
            </w:tcMar>
          </w:tcPr>
          <w:p w:rsidR="00FB361A" w:rsidRPr="002749B6" w:rsidRDefault="00FB361A" w:rsidP="008D0C12">
            <w:pPr>
              <w:pStyle w:val="TableTextEntries"/>
            </w:pPr>
            <w:r w:rsidRPr="00C51CEA">
              <w:t>Increase government revenue from tuna fisheries</w:t>
            </w:r>
          </w:p>
        </w:tc>
        <w:tc>
          <w:tcPr>
            <w:tcW w:w="1189" w:type="pct"/>
          </w:tcPr>
          <w:p w:rsidR="00FB361A" w:rsidRPr="002749B6" w:rsidRDefault="00FB361A" w:rsidP="008D0C12">
            <w:pPr>
              <w:pStyle w:val="TableTextEntries"/>
            </w:pPr>
            <w:r w:rsidRPr="00C51CEA">
              <w:t>Direct government revenues flowing to FFA members from offshore tuna fisheries demonstrate average annual increases of 5</w:t>
            </w:r>
            <w:r>
              <w:t xml:space="preserve"> percent</w:t>
            </w:r>
            <w:r w:rsidRPr="00C51CEA">
              <w:t xml:space="preserve"> or more. (2013-14 baseline: US</w:t>
            </w:r>
            <w:r>
              <w:t>$</w:t>
            </w:r>
            <w:r w:rsidRPr="00C51CEA">
              <w:t>240,000,000).</w:t>
            </w:r>
          </w:p>
        </w:tc>
        <w:tc>
          <w:tcPr>
            <w:tcW w:w="2622" w:type="pct"/>
          </w:tcPr>
          <w:p w:rsidR="00FB361A" w:rsidRPr="002749B6" w:rsidRDefault="00FB361A" w:rsidP="008D0C12">
            <w:pPr>
              <w:pStyle w:val="TableTextEntries"/>
            </w:pPr>
            <w:r w:rsidRPr="00C51CEA">
              <w:t>The long term sustainability and profitability of global fisheries is undermined by overfishing and overcapacity. In Pacific tuna fisher</w:t>
            </w:r>
            <w:r>
              <w:t>ies</w:t>
            </w:r>
            <w:r w:rsidRPr="00C51CEA">
              <w:t>, Australia’s support has been critical in both promoting and sustaining regional cooperation to help address these issues. Our support has underpinned stock assessments, improved economic returns and made significant advances in addressing the threat posed by Illegal Unregulated and Unreported (IUU) fishing. More than US</w:t>
            </w:r>
            <w:r>
              <w:t>$</w:t>
            </w:r>
            <w:r w:rsidRPr="00C51CEA">
              <w:t>250 million in direct annual government revenues and an equivalent amount in GDP growth is derived from offshore fisheries in the Pacific region annually. Our ongoing support will enhance the potential for new market mechanisms to further improve these economic returns to Forum Fisheries Agency (FFA) members.</w:t>
            </w:r>
          </w:p>
        </w:tc>
      </w:tr>
    </w:tbl>
    <w:p w:rsidR="00FB361A" w:rsidRDefault="00FB361A" w:rsidP="00FB361A"/>
    <w:tbl>
      <w:tblPr>
        <w:tblStyle w:val="DFATTable"/>
        <w:tblW w:w="5000" w:type="pct"/>
        <w:tblLook w:val="04A0" w:firstRow="1" w:lastRow="0" w:firstColumn="1" w:lastColumn="0" w:noHBand="0" w:noVBand="1"/>
      </w:tblPr>
      <w:tblGrid>
        <w:gridCol w:w="3301"/>
        <w:gridCol w:w="3301"/>
        <w:gridCol w:w="7279"/>
      </w:tblGrid>
      <w:tr w:rsidR="00FB361A" w:rsidRPr="004F7D80" w:rsidTr="008D0C12">
        <w:tc>
          <w:tcPr>
            <w:tcW w:w="5000" w:type="pct"/>
            <w:gridSpan w:val="3"/>
            <w:tcMar>
              <w:top w:w="57" w:type="dxa"/>
              <w:bottom w:w="57" w:type="dxa"/>
            </w:tcMar>
          </w:tcPr>
          <w:p w:rsidR="00FB361A" w:rsidRPr="002749B6" w:rsidRDefault="00FB361A" w:rsidP="008D0C12">
            <w:pPr>
              <w:pStyle w:val="TableHeading2"/>
            </w:pPr>
            <w:r>
              <w:t>Supporting the provision of specialised services</w:t>
            </w:r>
          </w:p>
        </w:tc>
      </w:tr>
      <w:tr w:rsidR="00FB361A" w:rsidRPr="004F7D80" w:rsidTr="008D0C12">
        <w:tc>
          <w:tcPr>
            <w:tcW w:w="1189" w:type="pct"/>
            <w:tcMar>
              <w:top w:w="57" w:type="dxa"/>
              <w:bottom w:w="57" w:type="dxa"/>
            </w:tcMar>
          </w:tcPr>
          <w:p w:rsidR="00FB361A" w:rsidRPr="002749B6" w:rsidRDefault="00FB361A" w:rsidP="008D0C12">
            <w:pPr>
              <w:pStyle w:val="TableTextEntries"/>
            </w:pPr>
            <w:r w:rsidRPr="00C51CEA">
              <w:t>Increase the number of APTC graduates</w:t>
            </w:r>
          </w:p>
        </w:tc>
        <w:tc>
          <w:tcPr>
            <w:tcW w:w="1189" w:type="pct"/>
          </w:tcPr>
          <w:p w:rsidR="00FB361A" w:rsidRPr="002749B6" w:rsidRDefault="00FB361A" w:rsidP="008D0C12">
            <w:pPr>
              <w:pStyle w:val="TableTextEntries"/>
            </w:pPr>
            <w:r w:rsidRPr="00C51CEA">
              <w:t>APTC will have produced 7,200 graduates by June 2015, after 8 years of operation.</w:t>
            </w:r>
          </w:p>
        </w:tc>
        <w:tc>
          <w:tcPr>
            <w:tcW w:w="2622" w:type="pct"/>
          </w:tcPr>
          <w:p w:rsidR="00FB361A" w:rsidRPr="002749B6" w:rsidRDefault="00FB361A" w:rsidP="008D0C12">
            <w:pPr>
              <w:pStyle w:val="TableTextEntries"/>
            </w:pPr>
            <w:r w:rsidRPr="00C51CEA">
              <w:t>A major barrier to economic growth in the region is the lack of employees with the skills to meet the needs of employers. Australia’s regional investment in education supports the quality assurance of educational standards in the Pacific and the provision of international standard qualifications.</w:t>
            </w:r>
            <w:r>
              <w:t xml:space="preserve"> </w:t>
            </w:r>
            <w:r w:rsidRPr="00C51CEA">
              <w:t>Investing in education and skills development serves Australia’s national interest as it promotes the on-going commitment to strengthening economic growth in the Pacific and promotes private sector development.  The Australia-Pacific Technical College (APTC) i</w:t>
            </w:r>
            <w:r>
              <w:t>s a development program deliver</w:t>
            </w:r>
            <w:r w:rsidRPr="00C51CEA">
              <w:t>ing internationally</w:t>
            </w:r>
            <w:r>
              <w:t>-</w:t>
            </w:r>
            <w:r w:rsidRPr="00C51CEA">
              <w:t>recognised Australian qualifications in targeted industry sectors in the Pacific region. The APTC delivers qualifications primarily at the a range of Australian Certificate III, IV and Diploma levels training according to industry demand, including in the automotive, manufacturing, construction and electrical, tourism, hospitality, health and community sectors, designed to meet labour market needs. A major evaluation in 2014 will inform the future phase of support.</w:t>
            </w:r>
          </w:p>
        </w:tc>
      </w:tr>
      <w:tr w:rsidR="00FB361A" w:rsidRPr="004F7D80" w:rsidTr="008D0C12">
        <w:tc>
          <w:tcPr>
            <w:tcW w:w="5000" w:type="pct"/>
            <w:gridSpan w:val="3"/>
            <w:tcMar>
              <w:top w:w="57" w:type="dxa"/>
              <w:bottom w:w="57" w:type="dxa"/>
            </w:tcMar>
          </w:tcPr>
          <w:p w:rsidR="00FB361A" w:rsidRDefault="00FB361A" w:rsidP="008D0C12">
            <w:pPr>
              <w:pStyle w:val="TableHeading2"/>
            </w:pPr>
          </w:p>
          <w:p w:rsidR="00FB361A" w:rsidRDefault="00FB361A" w:rsidP="008D0C12">
            <w:pPr>
              <w:pStyle w:val="TableTextEntries"/>
            </w:pPr>
          </w:p>
          <w:p w:rsidR="00FB361A" w:rsidRPr="003A73D4" w:rsidRDefault="00FB361A" w:rsidP="008D0C12">
            <w:pPr>
              <w:pStyle w:val="TableTextEntries"/>
            </w:pPr>
          </w:p>
          <w:p w:rsidR="00FB361A" w:rsidRDefault="00FB361A" w:rsidP="008D0C12">
            <w:pPr>
              <w:pStyle w:val="TableHeading2"/>
            </w:pPr>
            <w:r>
              <w:t>S</w:t>
            </w:r>
            <w:r w:rsidRPr="00C51CEA">
              <w:t xml:space="preserve">trengthening the performance of the regional </w:t>
            </w:r>
          </w:p>
          <w:p w:rsidR="00FB361A" w:rsidRPr="002749B6" w:rsidRDefault="00FB361A" w:rsidP="008D0C12">
            <w:pPr>
              <w:pStyle w:val="TableHeading2"/>
            </w:pPr>
            <w:r w:rsidRPr="00C51CEA">
              <w:t>architecture</w:t>
            </w:r>
          </w:p>
        </w:tc>
      </w:tr>
      <w:tr w:rsidR="00FB361A" w:rsidRPr="004F7D80" w:rsidTr="008D0C12">
        <w:tc>
          <w:tcPr>
            <w:tcW w:w="1189" w:type="pct"/>
            <w:tcMar>
              <w:top w:w="57" w:type="dxa"/>
              <w:bottom w:w="57" w:type="dxa"/>
            </w:tcMar>
          </w:tcPr>
          <w:p w:rsidR="00FB361A" w:rsidRPr="002749B6" w:rsidRDefault="00FB361A" w:rsidP="008D0C12">
            <w:pPr>
              <w:pStyle w:val="TableTextEntries"/>
            </w:pPr>
            <w:r w:rsidRPr="00C51CEA">
              <w:lastRenderedPageBreak/>
              <w:t>Support the Pacific Islands Forum Secretariat</w:t>
            </w:r>
            <w:r>
              <w:t xml:space="preserve"> (PIFS)</w:t>
            </w:r>
            <w:r w:rsidRPr="00C51CEA">
              <w:t xml:space="preserve">, as the premier political regional organisation, to help Forum countries realise their aspirations for effective regionalism.  </w:t>
            </w:r>
          </w:p>
        </w:tc>
        <w:tc>
          <w:tcPr>
            <w:tcW w:w="1189" w:type="pct"/>
          </w:tcPr>
          <w:p w:rsidR="00FB361A" w:rsidRPr="002749B6" w:rsidRDefault="00FB361A" w:rsidP="008D0C12">
            <w:pPr>
              <w:pStyle w:val="TableTextEntries"/>
            </w:pPr>
            <w:r w:rsidRPr="00C51CEA">
              <w:t>Both Australia and PIFS will work together to improve collective understanding of the complex political economy and other factors that influence success of regional support, and how best to bring national and regional attention to address complex development challenges</w:t>
            </w:r>
          </w:p>
        </w:tc>
        <w:tc>
          <w:tcPr>
            <w:tcW w:w="2622" w:type="pct"/>
          </w:tcPr>
          <w:p w:rsidR="00FB361A" w:rsidRPr="002749B6" w:rsidRDefault="00FB361A" w:rsidP="008D0C12">
            <w:pPr>
              <w:pStyle w:val="TableTextEntries"/>
            </w:pPr>
            <w:r w:rsidRPr="00C51CEA">
              <w:t>Australia has a key role in positioning and enabling regional organisations to perform and contribute optimally to regional development and regionalism.  Australia plays a dual role in many regional organisations. We are a member, with significant foreign relations, security and economic interests in the region.  We are also the largest development financier for many regional organisations, including the five major ones. As a donor, we have a responsibility to ensure the use of our funding is consistent with the Australian Government’s policy interests and our assessment of the factors that contribute best to aid effectiveness.</w:t>
            </w:r>
          </w:p>
        </w:tc>
      </w:tr>
      <w:tr w:rsidR="00FB361A" w:rsidRPr="004F7D80" w:rsidTr="008D0C12">
        <w:tc>
          <w:tcPr>
            <w:tcW w:w="5000" w:type="pct"/>
            <w:gridSpan w:val="3"/>
            <w:shd w:val="clear" w:color="auto" w:fill="auto"/>
            <w:tcMar>
              <w:top w:w="57" w:type="dxa"/>
              <w:bottom w:w="57" w:type="dxa"/>
            </w:tcMar>
          </w:tcPr>
          <w:p w:rsidR="00FB361A" w:rsidRPr="00A31167" w:rsidRDefault="00FB361A" w:rsidP="008D0C12">
            <w:pPr>
              <w:pStyle w:val="TableHeading2"/>
            </w:pPr>
            <w:r w:rsidRPr="00A31167">
              <w:t>Example 4: Program Management/Operations</w:t>
            </w:r>
          </w:p>
        </w:tc>
      </w:tr>
      <w:tr w:rsidR="00FB361A" w:rsidRPr="004F7D80" w:rsidTr="008D0C12">
        <w:trPr>
          <w:trHeight w:val="495"/>
        </w:trPr>
        <w:tc>
          <w:tcPr>
            <w:tcW w:w="1189" w:type="pct"/>
            <w:shd w:val="clear" w:color="auto" w:fill="auto"/>
            <w:tcMar>
              <w:top w:w="57" w:type="dxa"/>
              <w:bottom w:w="57" w:type="dxa"/>
            </w:tcMar>
          </w:tcPr>
          <w:p w:rsidR="00FB361A" w:rsidRPr="00A31167" w:rsidRDefault="00FB361A" w:rsidP="008D0C12">
            <w:pPr>
              <w:pStyle w:val="TableTextEntries"/>
            </w:pPr>
            <w:r w:rsidRPr="00A31167">
              <w:t>Improved management efficiency through reduction of total number of investments.</w:t>
            </w:r>
          </w:p>
        </w:tc>
        <w:tc>
          <w:tcPr>
            <w:tcW w:w="1189" w:type="pct"/>
            <w:shd w:val="clear" w:color="auto" w:fill="auto"/>
          </w:tcPr>
          <w:p w:rsidR="00FB361A" w:rsidRPr="00A31167" w:rsidRDefault="00FB361A" w:rsidP="008D0C12">
            <w:pPr>
              <w:pStyle w:val="TableTextEntries"/>
              <w:spacing w:before="0"/>
              <w:rPr>
                <w:color w:val="000000" w:themeColor="text1" w:themeShade="BF"/>
              </w:rPr>
            </w:pPr>
            <w:r w:rsidRPr="00A31167">
              <w:t>Reduce the number of investments from 75 to 55 by June 2015.</w:t>
            </w:r>
          </w:p>
        </w:tc>
        <w:tc>
          <w:tcPr>
            <w:tcW w:w="2622" w:type="pct"/>
          </w:tcPr>
          <w:p w:rsidR="00FB361A" w:rsidRPr="002749B6" w:rsidRDefault="00FB361A" w:rsidP="008D0C12">
            <w:pPr>
              <w:pStyle w:val="TableTextEntries"/>
              <w:spacing w:before="0"/>
            </w:pPr>
          </w:p>
        </w:tc>
      </w:tr>
      <w:tr w:rsidR="00FB361A" w:rsidRPr="004F7D80" w:rsidTr="008D0C12">
        <w:trPr>
          <w:trHeight w:val="762"/>
        </w:trPr>
        <w:tc>
          <w:tcPr>
            <w:tcW w:w="1189" w:type="pct"/>
            <w:shd w:val="clear" w:color="auto" w:fill="auto"/>
            <w:tcMar>
              <w:top w:w="57" w:type="dxa"/>
              <w:bottom w:w="57" w:type="dxa"/>
            </w:tcMar>
          </w:tcPr>
          <w:p w:rsidR="00FB361A" w:rsidRPr="00A31167" w:rsidRDefault="00FB361A" w:rsidP="008D0C12">
            <w:pPr>
              <w:pStyle w:val="TableTextEntries"/>
            </w:pPr>
            <w:r w:rsidRPr="00A31167">
              <w:t xml:space="preserve">Reorient program to focus on Australian </w:t>
            </w:r>
            <w:r>
              <w:t>G</w:t>
            </w:r>
            <w:r w:rsidRPr="00A31167">
              <w:t>overnment’s new development priorities.</w:t>
            </w:r>
          </w:p>
        </w:tc>
        <w:tc>
          <w:tcPr>
            <w:tcW w:w="1189" w:type="pct"/>
            <w:shd w:val="clear" w:color="auto" w:fill="auto"/>
          </w:tcPr>
          <w:p w:rsidR="00FB361A" w:rsidRPr="00A31167" w:rsidRDefault="00FB361A" w:rsidP="008D0C12">
            <w:pPr>
              <w:pStyle w:val="TableTextEntries"/>
              <w:spacing w:before="0"/>
            </w:pPr>
            <w:r w:rsidRPr="00A31167">
              <w:t>Increase percentage of program budget invested in private sector development, aid-for-trade and infrastructure</w:t>
            </w:r>
            <w:r>
              <w:t xml:space="preserve"> to 20 percent.</w:t>
            </w:r>
          </w:p>
        </w:tc>
        <w:tc>
          <w:tcPr>
            <w:tcW w:w="2622" w:type="pct"/>
          </w:tcPr>
          <w:p w:rsidR="00FB361A" w:rsidRPr="002749B6" w:rsidRDefault="00FB361A" w:rsidP="008D0C12">
            <w:pPr>
              <w:pStyle w:val="TableTextEntries"/>
              <w:spacing w:before="0"/>
            </w:pPr>
          </w:p>
        </w:tc>
      </w:tr>
    </w:tbl>
    <w:p w:rsidR="00FB361A" w:rsidRDefault="00FB361A" w:rsidP="00FB361A">
      <w:pPr>
        <w:rPr>
          <w:szCs w:val="20"/>
        </w:rPr>
      </w:pPr>
    </w:p>
    <w:p w:rsidR="00FB361A" w:rsidRPr="00D95DDC" w:rsidRDefault="00FB361A" w:rsidP="00FB361A"/>
    <w:p w:rsidR="000D733F" w:rsidRDefault="000D733F">
      <w:pPr>
        <w:rPr>
          <w:szCs w:val="20"/>
        </w:rPr>
      </w:pPr>
    </w:p>
    <w:p w:rsidR="000D733F" w:rsidRPr="00D95DDC" w:rsidRDefault="000D733F" w:rsidP="009E79EC"/>
    <w:sectPr w:rsidR="000D733F" w:rsidRPr="00D95DDC" w:rsidSect="003A73D4">
      <w:headerReference w:type="even" r:id="rId19"/>
      <w:footerReference w:type="first" r:id="rId20"/>
      <w:pgSz w:w="16840" w:h="11907" w:orient="landscape" w:code="9"/>
      <w:pgMar w:top="1871" w:right="2268" w:bottom="170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C12" w:rsidRDefault="008D0C12" w:rsidP="0050529F">
      <w:r>
        <w:separator/>
      </w:r>
    </w:p>
    <w:p w:rsidR="008D0C12" w:rsidRDefault="008D0C12"/>
    <w:p w:rsidR="008D0C12" w:rsidRDefault="008D0C12"/>
    <w:p w:rsidR="008D0C12" w:rsidRDefault="008D0C12"/>
    <w:p w:rsidR="008D0C12" w:rsidRDefault="008D0C12"/>
    <w:p w:rsidR="008D0C12" w:rsidRDefault="008D0C12"/>
    <w:p w:rsidR="008D0C12" w:rsidRDefault="008D0C12"/>
  </w:endnote>
  <w:endnote w:type="continuationSeparator" w:id="0">
    <w:p w:rsidR="008D0C12" w:rsidRDefault="008D0C12" w:rsidP="0050529F">
      <w:r>
        <w:continuationSeparator/>
      </w:r>
    </w:p>
    <w:p w:rsidR="008D0C12" w:rsidRDefault="008D0C12"/>
    <w:p w:rsidR="008D0C12" w:rsidRDefault="008D0C12"/>
    <w:p w:rsidR="008D0C12" w:rsidRDefault="008D0C12"/>
    <w:p w:rsidR="008D0C12" w:rsidRDefault="008D0C12"/>
    <w:p w:rsidR="008D0C12" w:rsidRDefault="008D0C12"/>
    <w:p w:rsidR="008D0C12" w:rsidRDefault="008D0C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etaSerifOT-Book">
    <w:altName w:val="MetaSerifOT-Book"/>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IdealSans-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2" w:rsidRPr="0091071F" w:rsidRDefault="008D0C12" w:rsidP="000D733F">
    <w:pPr>
      <w:pStyle w:val="Footer"/>
    </w:pPr>
    <w:r w:rsidRPr="0091071F">
      <w:fldChar w:fldCharType="begin"/>
    </w:r>
    <w:r w:rsidRPr="0091071F">
      <w:instrText xml:space="preserve"> PAGE </w:instrText>
    </w:r>
    <w:r w:rsidRPr="0091071F">
      <w:fldChar w:fldCharType="separate"/>
    </w:r>
    <w:r>
      <w:rPr>
        <w:noProof/>
      </w:rPr>
      <w:t>31</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2" w:rsidRPr="0091071F" w:rsidRDefault="008D0C12" w:rsidP="000D733F">
    <w:pPr>
      <w:pStyle w:val="Footer"/>
    </w:pPr>
    <w:r>
      <w:tab/>
    </w:r>
    <w:r>
      <w:tab/>
    </w:r>
    <w:r w:rsidR="0060091A">
      <w:fldChar w:fldCharType="begin"/>
    </w:r>
    <w:r w:rsidR="0060091A">
      <w:instrText xml:space="preserve"> STYLEREF Title \* MERGEFORMAT </w:instrText>
    </w:r>
    <w:r w:rsidR="0060091A">
      <w:rPr>
        <w:noProof/>
      </w:rPr>
      <w:fldChar w:fldCharType="end"/>
    </w:r>
    <w:r w:rsidRPr="0091071F">
      <w:tab/>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60091A">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1A" w:rsidRDefault="006009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2" w:rsidRPr="004C4A3E" w:rsidRDefault="008D0C12" w:rsidP="000D733F">
    <w:pPr>
      <w:tabs>
        <w:tab w:val="left" w:pos="0"/>
        <w:tab w:val="left" w:pos="13325"/>
      </w:tabs>
      <w:spacing w:line="180" w:lineRule="exact"/>
      <w:ind w:right="-1136"/>
      <w:rPr>
        <w:rFonts w:ascii="Franklin Gothic Medium" w:hAnsi="Franklin Gothic Medium"/>
        <w:color w:val="5A9A98"/>
        <w:sz w:val="14"/>
        <w:szCs w:val="14"/>
      </w:rPr>
    </w:pPr>
    <w:r>
      <w:rPr>
        <w:noProof/>
        <w:lang w:eastAsia="en-AU"/>
      </w:rPr>
      <mc:AlternateContent>
        <mc:Choice Requires="wps">
          <w:drawing>
            <wp:anchor distT="0" distB="0" distL="114300" distR="114300" simplePos="0" relativeHeight="251720704" behindDoc="1" locked="1" layoutInCell="1" allowOverlap="1" wp14:anchorId="07ADDB5C" wp14:editId="33C51663">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Description: 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31</w:t>
    </w:r>
    <w:r w:rsidRPr="0050529F">
      <w:rPr>
        <w:rFonts w:ascii="Franklin Gothic Medium" w:hAnsi="Franklin Gothic Medium"/>
        <w:color w:val="54534A"/>
        <w:sz w:val="14"/>
        <w:szCs w:val="14"/>
      </w:rPr>
      <w:fldChar w:fldCharType="end"/>
    </w:r>
    <w:r>
      <w:rPr>
        <w:noProof/>
        <w:lang w:eastAsia="en-AU"/>
      </w:rPr>
      <mc:AlternateContent>
        <mc:Choice Requires="wps">
          <w:drawing>
            <wp:anchor distT="0" distB="0" distL="114300" distR="114300" simplePos="0" relativeHeight="251719680" behindDoc="1" locked="0" layoutInCell="1" allowOverlap="1" wp14:anchorId="2AF8B61F" wp14:editId="226F9B28">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Description: 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lang w:eastAsia="en-AU"/>
      </w:rPr>
      <mc:AlternateContent>
        <mc:Choice Requires="wps">
          <w:drawing>
            <wp:anchor distT="0" distB="0" distL="114300" distR="114300" simplePos="0" relativeHeight="251718656" behindDoc="1" locked="0" layoutInCell="1" allowOverlap="1" wp14:anchorId="2EA0037B" wp14:editId="4BB25721">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Description: 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C12" w:rsidRDefault="009F0F61" w:rsidP="0050529F">
      <w:r>
        <w:separator/>
      </w:r>
    </w:p>
  </w:footnote>
  <w:footnote w:type="continuationSeparator" w:id="0">
    <w:p w:rsidR="008D0C12" w:rsidRDefault="008D0C12" w:rsidP="0050529F">
      <w:r>
        <w:continuationSeparator/>
      </w:r>
    </w:p>
    <w:p w:rsidR="008D0C12" w:rsidRDefault="008D0C12"/>
    <w:p w:rsidR="008D0C12" w:rsidRDefault="008D0C12"/>
    <w:p w:rsidR="008D0C12" w:rsidRDefault="008D0C12"/>
    <w:p w:rsidR="008D0C12" w:rsidRDefault="008D0C12"/>
    <w:p w:rsidR="008D0C12" w:rsidRDefault="008D0C12"/>
    <w:p w:rsidR="008D0C12" w:rsidRDefault="008D0C12"/>
  </w:footnote>
  <w:footnote w:id="1">
    <w:p w:rsidR="008D0C12" w:rsidRPr="00267733" w:rsidRDefault="008D0C12" w:rsidP="006B5220">
      <w:pPr>
        <w:pStyle w:val="FootnoteText"/>
        <w:spacing w:line="240" w:lineRule="auto"/>
        <w:rPr>
          <w:szCs w:val="16"/>
        </w:rPr>
      </w:pPr>
      <w:r w:rsidRPr="00267733">
        <w:rPr>
          <w:rStyle w:val="FootnoteReference"/>
          <w:rFonts w:ascii="Franklin Gothic Book" w:hAnsi="Franklin Gothic Book"/>
          <w:szCs w:val="16"/>
          <w:vertAlign w:val="superscript"/>
        </w:rPr>
        <w:footnoteRef/>
      </w:r>
      <w:r w:rsidRPr="00267733">
        <w:rPr>
          <w:szCs w:val="16"/>
          <w:vertAlign w:val="superscript"/>
        </w:rPr>
        <w:t xml:space="preserve"> </w:t>
      </w:r>
      <w:r w:rsidRPr="00267733">
        <w:rPr>
          <w:szCs w:val="16"/>
        </w:rPr>
        <w:t xml:space="preserve">The Pacific Plan is the master strategy for strengthening regional cooperation and integration in the Pacific. </w:t>
      </w:r>
      <w:hyperlink r:id="rId1" w:history="1">
        <w:r w:rsidRPr="00267733">
          <w:rPr>
            <w:szCs w:val="16"/>
          </w:rPr>
          <w:t>http://www.pacificplanreview.org/pacific-plan/</w:t>
        </w:r>
      </w:hyperlink>
      <w:r w:rsidRPr="00267733">
        <w:rPr>
          <w:szCs w:val="16"/>
        </w:rPr>
        <w:t xml:space="preserve">   </w:t>
      </w:r>
    </w:p>
  </w:footnote>
  <w:footnote w:id="2">
    <w:p w:rsidR="008D0C12" w:rsidRPr="00267733" w:rsidRDefault="008D0C12" w:rsidP="00C8033D">
      <w:pPr>
        <w:pStyle w:val="FootnoteText"/>
        <w:rPr>
          <w:szCs w:val="16"/>
          <w:lang w:val="en-NZ"/>
        </w:rPr>
      </w:pPr>
      <w:r w:rsidRPr="00267733">
        <w:rPr>
          <w:rStyle w:val="FootnoteReference"/>
          <w:rFonts w:ascii="Franklin Gothic Book" w:hAnsi="Franklin Gothic Book"/>
          <w:szCs w:val="16"/>
          <w:vertAlign w:val="superscript"/>
        </w:rPr>
        <w:footnoteRef/>
      </w:r>
      <w:r w:rsidRPr="00267733">
        <w:rPr>
          <w:szCs w:val="16"/>
          <w:vertAlign w:val="superscript"/>
        </w:rPr>
        <w:t xml:space="preserve"> </w:t>
      </w:r>
      <w:r w:rsidRPr="00267733">
        <w:rPr>
          <w:szCs w:val="16"/>
        </w:rPr>
        <w:t xml:space="preserve">2013 Pacific MDG Tracking Report. </w:t>
      </w:r>
    </w:p>
  </w:footnote>
  <w:footnote w:id="3">
    <w:p w:rsidR="008D0C12" w:rsidRPr="00267733" w:rsidRDefault="008D0C12" w:rsidP="00193AB5">
      <w:pPr>
        <w:pStyle w:val="FootnoteText"/>
        <w:rPr>
          <w:szCs w:val="16"/>
        </w:rPr>
      </w:pPr>
      <w:r w:rsidRPr="00267733">
        <w:rPr>
          <w:rStyle w:val="FootnoteReference"/>
          <w:rFonts w:ascii="Franklin Gothic Book" w:hAnsi="Franklin Gothic Book"/>
          <w:szCs w:val="16"/>
          <w:vertAlign w:val="superscript"/>
        </w:rPr>
        <w:footnoteRef/>
      </w:r>
      <w:r w:rsidRPr="00267733">
        <w:rPr>
          <w:szCs w:val="16"/>
        </w:rPr>
        <w:t xml:space="preserve"> </w:t>
      </w:r>
      <w:r w:rsidRPr="00267733">
        <w:rPr>
          <w:rFonts w:eastAsiaTheme="minorHAnsi" w:cs="IdealSans-Light"/>
          <w:color w:val="000000"/>
          <w:szCs w:val="16"/>
          <w:lang w:val="en-NZ"/>
        </w:rPr>
        <w:t>FSM, Kiribati, Republic of Marshall Islands, PNG and Vanuatu</w:t>
      </w:r>
    </w:p>
  </w:footnote>
  <w:footnote w:id="4">
    <w:p w:rsidR="008D0C12" w:rsidRPr="00267733" w:rsidRDefault="008D0C12" w:rsidP="00193AB5">
      <w:pPr>
        <w:pStyle w:val="FootnoteText"/>
        <w:rPr>
          <w:szCs w:val="16"/>
        </w:rPr>
      </w:pPr>
      <w:r w:rsidRPr="00267733">
        <w:rPr>
          <w:rStyle w:val="FootnoteReference"/>
          <w:rFonts w:ascii="Franklin Gothic Book" w:hAnsi="Franklin Gothic Book"/>
          <w:szCs w:val="16"/>
          <w:vertAlign w:val="superscript"/>
        </w:rPr>
        <w:footnoteRef/>
      </w:r>
      <w:r w:rsidRPr="00267733">
        <w:rPr>
          <w:rStyle w:val="FootnoteReference"/>
          <w:rFonts w:ascii="Franklin Gothic Book" w:hAnsi="Franklin Gothic Book"/>
          <w:szCs w:val="16"/>
          <w:vertAlign w:val="superscript"/>
        </w:rPr>
        <w:t xml:space="preserve"> </w:t>
      </w:r>
      <w:r w:rsidRPr="00267733">
        <w:rPr>
          <w:szCs w:val="16"/>
        </w:rPr>
        <w:t>D</w:t>
      </w:r>
      <w:r w:rsidRPr="00267733">
        <w:rPr>
          <w:rFonts w:eastAsiaTheme="minorHAnsi" w:cs="IdealSans-Light"/>
          <w:color w:val="000000"/>
          <w:szCs w:val="16"/>
          <w:lang w:val="en-NZ"/>
        </w:rPr>
        <w:t>efined as the proportion of the population living below US$1.25 a day.</w:t>
      </w:r>
    </w:p>
  </w:footnote>
  <w:footnote w:id="5">
    <w:p w:rsidR="008D0C12" w:rsidRPr="00267733" w:rsidRDefault="008D0C12" w:rsidP="00193AB5">
      <w:pPr>
        <w:pStyle w:val="FootnoteText"/>
        <w:spacing w:line="240" w:lineRule="auto"/>
        <w:rPr>
          <w:rFonts w:eastAsiaTheme="minorHAnsi" w:cs="IdealSans-Light"/>
          <w:color w:val="000000"/>
          <w:szCs w:val="16"/>
          <w:lang w:val="en-NZ"/>
        </w:rPr>
      </w:pPr>
      <w:r w:rsidRPr="00267733">
        <w:rPr>
          <w:rStyle w:val="FootnoteReference"/>
          <w:rFonts w:ascii="Franklin Gothic Book" w:hAnsi="Franklin Gothic Book"/>
          <w:szCs w:val="16"/>
          <w:vertAlign w:val="superscript"/>
        </w:rPr>
        <w:footnoteRef/>
      </w:r>
      <w:r w:rsidRPr="00267733">
        <w:rPr>
          <w:rFonts w:eastAsiaTheme="minorHAnsi" w:cs="IdealSans-Light"/>
          <w:color w:val="000000"/>
          <w:szCs w:val="16"/>
          <w:lang w:val="en-NZ"/>
        </w:rPr>
        <w:t xml:space="preserve"> Around 75 </w:t>
      </w:r>
      <w:r>
        <w:rPr>
          <w:rFonts w:eastAsiaTheme="minorHAnsi" w:cs="IdealSans-Light"/>
          <w:color w:val="000000"/>
          <w:szCs w:val="16"/>
          <w:lang w:val="en-NZ"/>
        </w:rPr>
        <w:t>per cent</w:t>
      </w:r>
      <w:r w:rsidRPr="00267733">
        <w:rPr>
          <w:rFonts w:eastAsiaTheme="minorHAnsi" w:cs="IdealSans-Light"/>
          <w:color w:val="000000"/>
          <w:szCs w:val="16"/>
          <w:lang w:val="en-NZ"/>
        </w:rPr>
        <w:t xml:space="preserve"> of the region’s poor reside in PNG with the remaining countries accounting for roughly 600,000 of the poor, of which half</w:t>
      </w:r>
      <w:r>
        <w:rPr>
          <w:rFonts w:eastAsiaTheme="minorHAnsi" w:cs="IdealSans-Light"/>
          <w:color w:val="000000"/>
          <w:szCs w:val="16"/>
          <w:lang w:val="en-NZ"/>
        </w:rPr>
        <w:t xml:space="preserve"> this</w:t>
      </w:r>
      <w:r w:rsidRPr="00267733">
        <w:rPr>
          <w:rFonts w:eastAsiaTheme="minorHAnsi" w:cs="IdealSans-Light"/>
          <w:color w:val="000000"/>
          <w:szCs w:val="16"/>
          <w:lang w:val="en-NZ"/>
        </w:rPr>
        <w:t xml:space="preserve"> number live in Fiji.  Major challenges in reducing poverty are the generally low economic growth outcomes and lack of job opportunities.</w:t>
      </w:r>
    </w:p>
  </w:footnote>
  <w:footnote w:id="6">
    <w:p w:rsidR="008D0C12" w:rsidRPr="00267733" w:rsidRDefault="008D0C12" w:rsidP="00193AB5">
      <w:pPr>
        <w:pStyle w:val="FootnoteText"/>
        <w:spacing w:line="240" w:lineRule="auto"/>
        <w:rPr>
          <w:szCs w:val="16"/>
          <w:lang w:val="en-NZ"/>
        </w:rPr>
      </w:pPr>
      <w:r w:rsidRPr="00267733">
        <w:rPr>
          <w:rStyle w:val="FootnoteReference"/>
          <w:rFonts w:ascii="Franklin Gothic Book" w:hAnsi="Franklin Gothic Book"/>
          <w:szCs w:val="16"/>
          <w:vertAlign w:val="superscript"/>
        </w:rPr>
        <w:footnoteRef/>
      </w:r>
      <w:r w:rsidRPr="00267733">
        <w:rPr>
          <w:szCs w:val="16"/>
          <w:vertAlign w:val="superscript"/>
        </w:rPr>
        <w:t xml:space="preserve"> </w:t>
      </w:r>
      <w:r w:rsidRPr="00267733">
        <w:rPr>
          <w:szCs w:val="16"/>
        </w:rPr>
        <w:t>http://documents.worldbank.org/curated/en/2014/01/19188485/regional-companion-world-development-report-2014-hardship-vulnerability-pacific-island-countries</w:t>
      </w:r>
      <w:r>
        <w:rPr>
          <w:szCs w:val="16"/>
        </w:rPr>
        <w:t>.</w:t>
      </w:r>
    </w:p>
  </w:footnote>
  <w:footnote w:id="7">
    <w:p w:rsidR="008D0C12" w:rsidRPr="00267733" w:rsidRDefault="008D0C12" w:rsidP="00193AB5">
      <w:pPr>
        <w:pStyle w:val="FootnoteText"/>
        <w:rPr>
          <w:szCs w:val="16"/>
        </w:rPr>
      </w:pPr>
      <w:r w:rsidRPr="00267733">
        <w:rPr>
          <w:rStyle w:val="FootnoteReference"/>
          <w:rFonts w:ascii="Franklin Gothic Book" w:hAnsi="Franklin Gothic Book"/>
          <w:szCs w:val="16"/>
          <w:vertAlign w:val="superscript"/>
        </w:rPr>
        <w:footnoteRef/>
      </w:r>
      <w:r w:rsidRPr="00267733">
        <w:rPr>
          <w:rFonts w:eastAsiaTheme="minorHAnsi" w:cs="IdealSans-Light"/>
          <w:szCs w:val="16"/>
          <w:lang w:val="en-NZ"/>
        </w:rPr>
        <w:t>As measured by the share of women in the non-agricultural sector and seats held by women in parliament</w:t>
      </w:r>
      <w:r w:rsidRPr="00267733">
        <w:rPr>
          <w:rFonts w:eastAsiaTheme="minorHAnsi" w:cs="IdealSans-Light"/>
          <w:color w:val="000000"/>
          <w:szCs w:val="16"/>
          <w:lang w:val="en-NZ"/>
        </w:rPr>
        <w:t>.</w:t>
      </w:r>
    </w:p>
  </w:footnote>
  <w:footnote w:id="8">
    <w:p w:rsidR="008D0C12" w:rsidRPr="00267733" w:rsidRDefault="008D0C12" w:rsidP="00193AB5">
      <w:pPr>
        <w:pStyle w:val="FootnoteText"/>
        <w:spacing w:line="240" w:lineRule="auto"/>
        <w:rPr>
          <w:szCs w:val="16"/>
        </w:rPr>
      </w:pPr>
      <w:r w:rsidRPr="00267733">
        <w:rPr>
          <w:rStyle w:val="FootnoteReference"/>
          <w:rFonts w:ascii="Franklin Gothic Book" w:hAnsi="Franklin Gothic Book"/>
          <w:szCs w:val="16"/>
          <w:vertAlign w:val="superscript"/>
        </w:rPr>
        <w:footnoteRef/>
      </w:r>
      <w:r w:rsidRPr="00267733">
        <w:rPr>
          <w:szCs w:val="16"/>
          <w:vertAlign w:val="superscript"/>
        </w:rPr>
        <w:t xml:space="preserve"> </w:t>
      </w:r>
      <w:hyperlink r:id="rId2" w:history="1">
        <w:r w:rsidRPr="00267733">
          <w:rPr>
            <w:rStyle w:val="Hyperlink"/>
            <w:color w:val="auto"/>
            <w:sz w:val="16"/>
            <w:szCs w:val="16"/>
          </w:rPr>
          <w:t>http://www.ipu.org/wmn-e/world.htm</w:t>
        </w:r>
      </w:hyperlink>
      <w:r>
        <w:rPr>
          <w:rStyle w:val="Hyperlink"/>
          <w:color w:val="auto"/>
          <w:sz w:val="16"/>
          <w:szCs w:val="16"/>
        </w:rPr>
        <w:t>.</w:t>
      </w:r>
      <w:r w:rsidRPr="00267733">
        <w:rPr>
          <w:szCs w:val="16"/>
        </w:rPr>
        <w:t xml:space="preserve"> </w:t>
      </w:r>
    </w:p>
  </w:footnote>
  <w:footnote w:id="9">
    <w:p w:rsidR="008D0C12" w:rsidRPr="00267733" w:rsidRDefault="008D0C12" w:rsidP="00193AB5">
      <w:pPr>
        <w:pStyle w:val="FootnoteText"/>
        <w:spacing w:line="240" w:lineRule="auto"/>
        <w:rPr>
          <w:szCs w:val="16"/>
        </w:rPr>
      </w:pPr>
      <w:r w:rsidRPr="00267733">
        <w:rPr>
          <w:rStyle w:val="FootnoteReference"/>
          <w:rFonts w:ascii="Franklin Gothic Book" w:hAnsi="Franklin Gothic Book"/>
          <w:szCs w:val="16"/>
          <w:vertAlign w:val="superscript"/>
        </w:rPr>
        <w:footnoteRef/>
      </w:r>
      <w:r w:rsidRPr="00267733">
        <w:rPr>
          <w:szCs w:val="16"/>
          <w:vertAlign w:val="superscript"/>
        </w:rPr>
        <w:t xml:space="preserve"> </w:t>
      </w:r>
      <w:hyperlink r:id="rId3" w:history="1">
        <w:r w:rsidRPr="00267733">
          <w:rPr>
            <w:rStyle w:val="Hyperlink"/>
            <w:color w:val="auto"/>
            <w:sz w:val="16"/>
            <w:szCs w:val="16"/>
          </w:rPr>
          <w:t>http://www.pacwip.org/women-mps/national-women-mps/</w:t>
        </w:r>
      </w:hyperlink>
      <w:r>
        <w:rPr>
          <w:rStyle w:val="Hyperlink"/>
          <w:color w:val="auto"/>
          <w:sz w:val="16"/>
          <w:szCs w:val="16"/>
        </w:rPr>
        <w:t>.</w:t>
      </w:r>
      <w:r w:rsidRPr="00267733">
        <w:rPr>
          <w:szCs w:val="16"/>
        </w:rPr>
        <w:t xml:space="preserve"> </w:t>
      </w:r>
    </w:p>
  </w:footnote>
  <w:footnote w:id="10">
    <w:p w:rsidR="008D0C12" w:rsidRPr="00267733" w:rsidRDefault="008D0C12" w:rsidP="00B24F3A">
      <w:pPr>
        <w:pStyle w:val="FootnoteText"/>
        <w:spacing w:line="240" w:lineRule="auto"/>
        <w:rPr>
          <w:szCs w:val="16"/>
        </w:rPr>
      </w:pPr>
      <w:r w:rsidRPr="00267733">
        <w:rPr>
          <w:rStyle w:val="FootnoteReference"/>
          <w:rFonts w:ascii="Franklin Gothic Book" w:hAnsi="Franklin Gothic Book"/>
          <w:szCs w:val="16"/>
          <w:vertAlign w:val="superscript"/>
        </w:rPr>
        <w:footnoteRef/>
      </w:r>
      <w:r w:rsidRPr="00267733">
        <w:rPr>
          <w:szCs w:val="16"/>
        </w:rPr>
        <w:t xml:space="preserve"> E Ellsberg, B Heilman, S Namy, M Contreras and R Hayes (2012). </w:t>
      </w:r>
      <w:r w:rsidRPr="00267733">
        <w:rPr>
          <w:i/>
          <w:szCs w:val="16"/>
        </w:rPr>
        <w:t>Violence against Women in Melanesia and Timor-Leste: Progress Made Since the 2008 Office of Development Effectiveness Report</w:t>
      </w:r>
      <w:r w:rsidRPr="00267733">
        <w:rPr>
          <w:szCs w:val="16"/>
        </w:rPr>
        <w:t>, International Centre for Research on Women, p. viii.</w:t>
      </w:r>
    </w:p>
  </w:footnote>
  <w:footnote w:id="11">
    <w:p w:rsidR="008D0C12" w:rsidRPr="00267733" w:rsidRDefault="008D0C12">
      <w:pPr>
        <w:pStyle w:val="FootnoteText"/>
        <w:rPr>
          <w:szCs w:val="16"/>
        </w:rPr>
      </w:pPr>
      <w:r w:rsidRPr="00267733">
        <w:rPr>
          <w:rStyle w:val="FootnoteReference"/>
          <w:rFonts w:ascii="Franklin Gothic Book" w:hAnsi="Franklin Gothic Book"/>
          <w:szCs w:val="16"/>
          <w:vertAlign w:val="superscript"/>
        </w:rPr>
        <w:footnoteRef/>
      </w:r>
      <w:r w:rsidRPr="00267733">
        <w:rPr>
          <w:szCs w:val="16"/>
        </w:rPr>
        <w:t xml:space="preserve"> </w:t>
      </w:r>
      <w:r w:rsidRPr="00267733">
        <w:rPr>
          <w:rFonts w:eastAsiaTheme="minorHAnsi" w:cs="IdealSans-Light"/>
          <w:szCs w:val="16"/>
          <w:lang w:val="en-NZ"/>
        </w:rPr>
        <w:t>The slowest growth</w:t>
      </w:r>
      <w:r>
        <w:rPr>
          <w:rFonts w:eastAsiaTheme="minorHAnsi" w:cs="IdealSans-Light"/>
          <w:szCs w:val="16"/>
          <w:lang w:val="en-NZ"/>
        </w:rPr>
        <w:t xml:space="preserve"> is</w:t>
      </w:r>
      <w:r w:rsidRPr="00267733">
        <w:rPr>
          <w:rFonts w:eastAsiaTheme="minorHAnsi" w:cs="IdealSans-Light"/>
          <w:szCs w:val="16"/>
          <w:lang w:val="en-NZ"/>
        </w:rPr>
        <w:t xml:space="preserve"> expected in FSM, Solomon Islands, Samoa, Palau and Tuvalu. </w:t>
      </w:r>
      <w:r>
        <w:rPr>
          <w:rFonts w:eastAsiaTheme="minorHAnsi" w:cs="IdealSans-Light"/>
          <w:szCs w:val="16"/>
          <w:lang w:val="en-NZ"/>
        </w:rPr>
        <w:t>Yet growth overall</w:t>
      </w:r>
      <w:r w:rsidRPr="00267733">
        <w:rPr>
          <w:rFonts w:eastAsiaTheme="minorHAnsi" w:cs="IdealSans-Light"/>
          <w:szCs w:val="16"/>
          <w:lang w:val="en-NZ"/>
        </w:rPr>
        <w:t xml:space="preserve"> is expected to soar to 13.2</w:t>
      </w:r>
      <w:r>
        <w:rPr>
          <w:rFonts w:eastAsiaTheme="minorHAnsi" w:cs="IdealSans-Light"/>
          <w:szCs w:val="16"/>
          <w:lang w:val="en-NZ"/>
        </w:rPr>
        <w:t xml:space="preserve"> per cent</w:t>
      </w:r>
      <w:r w:rsidRPr="00267733">
        <w:rPr>
          <w:rFonts w:eastAsiaTheme="minorHAnsi" w:cs="IdealSans-Light"/>
          <w:szCs w:val="16"/>
          <w:lang w:val="en-NZ"/>
        </w:rPr>
        <w:t xml:space="preserve"> in 2015; driven by very high growth in PNG from liquefied natural gas exports. The outlook excluding PNG is modest at 2.8</w:t>
      </w:r>
      <w:r>
        <w:rPr>
          <w:rFonts w:eastAsiaTheme="minorHAnsi" w:cs="IdealSans-Light"/>
          <w:szCs w:val="16"/>
          <w:lang w:val="en-NZ"/>
        </w:rPr>
        <w:t xml:space="preserve"> per cent</w:t>
      </w:r>
      <w:r w:rsidRPr="00267733">
        <w:rPr>
          <w:rFonts w:eastAsiaTheme="minorHAnsi" w:cs="IdealSans-Light"/>
          <w:szCs w:val="16"/>
          <w:lang w:val="en-NZ"/>
        </w:rPr>
        <w:t>.</w:t>
      </w:r>
    </w:p>
  </w:footnote>
  <w:footnote w:id="12">
    <w:p w:rsidR="008D0C12" w:rsidRPr="00267733" w:rsidRDefault="008D0C12">
      <w:pPr>
        <w:pStyle w:val="FootnoteText"/>
        <w:rPr>
          <w:szCs w:val="16"/>
        </w:rPr>
      </w:pPr>
      <w:r w:rsidRPr="00267733">
        <w:rPr>
          <w:rStyle w:val="FootnoteReference"/>
          <w:rFonts w:ascii="Franklin Gothic Book" w:hAnsi="Franklin Gothic Book"/>
          <w:szCs w:val="16"/>
          <w:vertAlign w:val="superscript"/>
        </w:rPr>
        <w:footnoteRef/>
      </w:r>
      <w:r w:rsidRPr="00267733">
        <w:rPr>
          <w:szCs w:val="16"/>
        </w:rPr>
        <w:t xml:space="preserve"> </w:t>
      </w:r>
      <w:r>
        <w:rPr>
          <w:szCs w:val="16"/>
        </w:rPr>
        <w:t xml:space="preserve">The Regional aid program </w:t>
      </w:r>
      <w:r w:rsidRPr="00267733">
        <w:rPr>
          <w:szCs w:val="16"/>
        </w:rPr>
        <w:t>is jointly managed between Canberra and Suva (with one program managed in Vanuatu), with the principle of managing the program from where the partner is the closest.  With a few exceptions Suva, as the regional hub, has responsibility for support to Pacific</w:t>
      </w:r>
      <w:r>
        <w:rPr>
          <w:szCs w:val="16"/>
        </w:rPr>
        <w:t>-</w:t>
      </w:r>
      <w:r w:rsidRPr="00267733">
        <w:rPr>
          <w:szCs w:val="16"/>
        </w:rPr>
        <w:t xml:space="preserve">based partners; Pacific Regional Organisations (PROs), United Nations (UN) agencies and other </w:t>
      </w:r>
      <w:r>
        <w:rPr>
          <w:szCs w:val="16"/>
        </w:rPr>
        <w:t>P</w:t>
      </w:r>
      <w:r w:rsidRPr="00267733">
        <w:rPr>
          <w:szCs w:val="16"/>
        </w:rPr>
        <w:t>acific</w:t>
      </w:r>
      <w:r>
        <w:rPr>
          <w:szCs w:val="16"/>
        </w:rPr>
        <w:t>-</w:t>
      </w:r>
      <w:r w:rsidRPr="00267733">
        <w:rPr>
          <w:szCs w:val="16"/>
        </w:rPr>
        <w:t>based programs, while Canberra has responsibility for Australia</w:t>
      </w:r>
      <w:r>
        <w:rPr>
          <w:szCs w:val="16"/>
        </w:rPr>
        <w:t>-</w:t>
      </w:r>
      <w:r w:rsidRPr="00267733">
        <w:rPr>
          <w:szCs w:val="16"/>
        </w:rPr>
        <w:t>based partners; Whole of Government agencies and other Australia</w:t>
      </w:r>
      <w:r>
        <w:rPr>
          <w:szCs w:val="16"/>
        </w:rPr>
        <w:t>-</w:t>
      </w:r>
      <w:r w:rsidRPr="00267733">
        <w:rPr>
          <w:szCs w:val="16"/>
        </w:rPr>
        <w:t>based organisations such as Australian research institutions and the multilateral banks.</w:t>
      </w:r>
    </w:p>
  </w:footnote>
  <w:footnote w:id="13">
    <w:p w:rsidR="008D0C12" w:rsidRPr="00EA550D" w:rsidRDefault="008D0C12" w:rsidP="00156328">
      <w:pPr>
        <w:pStyle w:val="BodyText"/>
        <w:rPr>
          <w:sz w:val="16"/>
          <w:szCs w:val="16"/>
          <w:lang w:eastAsia="zh-CN"/>
        </w:rPr>
      </w:pPr>
      <w:r w:rsidRPr="00267733">
        <w:rPr>
          <w:rStyle w:val="FootnoteReference"/>
          <w:rFonts w:ascii="Franklin Gothic Book" w:hAnsi="Franklin Gothic Book"/>
          <w:szCs w:val="16"/>
          <w:vertAlign w:val="superscript"/>
        </w:rPr>
        <w:footnoteRef/>
      </w:r>
      <w:r w:rsidRPr="00EA550D">
        <w:rPr>
          <w:sz w:val="16"/>
          <w:szCs w:val="16"/>
        </w:rPr>
        <w:t xml:space="preserve"> </w:t>
      </w:r>
      <w:r w:rsidRPr="00EA550D">
        <w:rPr>
          <w:sz w:val="16"/>
          <w:szCs w:val="16"/>
          <w:lang w:eastAsia="zh-CN"/>
        </w:rPr>
        <w:t>The Pacific regional program is primarily assessed on progress towards individual activities in defined sectors.  Some overall program objectives have recently been defined, with performance reporting beginning to support assessment of those objectives.  For the most part</w:t>
      </w:r>
      <w:r>
        <w:rPr>
          <w:sz w:val="16"/>
          <w:szCs w:val="16"/>
          <w:lang w:eastAsia="zh-CN"/>
        </w:rPr>
        <w:t>,</w:t>
      </w:r>
      <w:r w:rsidRPr="00EA550D">
        <w:rPr>
          <w:sz w:val="16"/>
          <w:szCs w:val="16"/>
          <w:lang w:eastAsia="zh-CN"/>
        </w:rPr>
        <w:t xml:space="preserve"> however, this report is informed by progress as reported against individual initiatives.</w:t>
      </w:r>
    </w:p>
    <w:p w:rsidR="008D0C12" w:rsidRPr="00267733" w:rsidRDefault="008D0C12">
      <w:pPr>
        <w:pStyle w:val="FootnoteText"/>
        <w:rPr>
          <w:szCs w:val="16"/>
        </w:rPr>
      </w:pPr>
    </w:p>
  </w:footnote>
  <w:footnote w:id="14">
    <w:p w:rsidR="008D0C12" w:rsidRPr="00737052" w:rsidRDefault="008D0C12">
      <w:pPr>
        <w:pStyle w:val="FootnoteText"/>
        <w:rPr>
          <w:szCs w:val="16"/>
        </w:rPr>
      </w:pPr>
      <w:r w:rsidRPr="00267733">
        <w:rPr>
          <w:rStyle w:val="FootnoteReference"/>
          <w:rFonts w:ascii="Franklin Gothic Book" w:hAnsi="Franklin Gothic Book"/>
          <w:szCs w:val="16"/>
          <w:vertAlign w:val="superscript"/>
        </w:rPr>
        <w:footnoteRef/>
      </w:r>
      <w:r w:rsidRPr="00737052">
        <w:rPr>
          <w:rStyle w:val="FootnoteReference"/>
          <w:rFonts w:ascii="Franklin Gothic Book" w:hAnsi="Franklin Gothic Book"/>
          <w:szCs w:val="16"/>
          <w:vertAlign w:val="superscript"/>
        </w:rPr>
        <w:t xml:space="preserve"> </w:t>
      </w:r>
      <w:r w:rsidRPr="00737052">
        <w:rPr>
          <w:szCs w:val="16"/>
        </w:rPr>
        <w:t xml:space="preserve">PRIF is a multi-donor investment coordination mechanism which helps to support the delivery of more efficient and sustainable infrastructure in the Pacific.  </w:t>
      </w:r>
    </w:p>
  </w:footnote>
  <w:footnote w:id="15">
    <w:p w:rsidR="008D0C12" w:rsidRPr="00C0777B" w:rsidRDefault="008D0C12">
      <w:pPr>
        <w:pStyle w:val="FootnoteText"/>
        <w:rPr>
          <w:szCs w:val="16"/>
        </w:rPr>
      </w:pPr>
      <w:r w:rsidRPr="00214DE5">
        <w:rPr>
          <w:rStyle w:val="FootnoteReference"/>
          <w:rFonts w:ascii="Franklin Gothic Book" w:hAnsi="Franklin Gothic Book"/>
          <w:szCs w:val="16"/>
          <w:vertAlign w:val="superscript"/>
        </w:rPr>
        <w:footnoteRef/>
      </w:r>
      <w:r w:rsidRPr="00DD1814">
        <w:rPr>
          <w:szCs w:val="16"/>
        </w:rPr>
        <w:t xml:space="preserve"> </w:t>
      </w:r>
      <w:r w:rsidRPr="00E23155">
        <w:rPr>
          <w:szCs w:val="16"/>
          <w:lang w:eastAsia="zh-CN"/>
        </w:rPr>
        <w:t>Such as accounts receivable, inventory, and equipment.</w:t>
      </w:r>
    </w:p>
  </w:footnote>
  <w:footnote w:id="16">
    <w:p w:rsidR="008D0C12" w:rsidRPr="00C01471" w:rsidRDefault="008D0C12">
      <w:pPr>
        <w:pStyle w:val="FootnoteText"/>
        <w:rPr>
          <w:szCs w:val="16"/>
        </w:rPr>
      </w:pPr>
      <w:r w:rsidRPr="00C01471">
        <w:rPr>
          <w:rStyle w:val="FootnoteReference"/>
          <w:rFonts w:ascii="Franklin Gothic Book" w:hAnsi="Franklin Gothic Book"/>
          <w:szCs w:val="16"/>
          <w:vertAlign w:val="superscript"/>
        </w:rPr>
        <w:footnoteRef/>
      </w:r>
      <w:r w:rsidRPr="00C01471">
        <w:rPr>
          <w:szCs w:val="16"/>
        </w:rPr>
        <w:t xml:space="preserve"> The IFC partnership </w:t>
      </w:r>
      <w:r w:rsidRPr="00C01471">
        <w:rPr>
          <w:szCs w:val="16"/>
          <w:lang w:eastAsia="zh-CN"/>
        </w:rPr>
        <w:t>will leverage $1 billion of private sector finance into the region, create economic opportunities for 75,000 people, and give 1 million people access to finance by 2017.</w:t>
      </w:r>
    </w:p>
  </w:footnote>
  <w:footnote w:id="17">
    <w:p w:rsidR="008D0C12" w:rsidRPr="00C01471" w:rsidRDefault="008D0C12" w:rsidP="00655332">
      <w:pPr>
        <w:pStyle w:val="FootnoteText"/>
        <w:contextualSpacing w:val="0"/>
        <w:rPr>
          <w:szCs w:val="16"/>
        </w:rPr>
      </w:pPr>
      <w:r w:rsidRPr="00C01471">
        <w:rPr>
          <w:rStyle w:val="FootnoteReference"/>
          <w:rFonts w:ascii="Franklin Gothic Book" w:hAnsi="Franklin Gothic Book"/>
          <w:szCs w:val="16"/>
          <w:vertAlign w:val="superscript"/>
        </w:rPr>
        <w:footnoteRef/>
      </w:r>
      <w:r w:rsidRPr="00C01471">
        <w:rPr>
          <w:rStyle w:val="FootnoteReference"/>
          <w:rFonts w:ascii="Franklin Gothic Book" w:hAnsi="Franklin Gothic Book"/>
          <w:szCs w:val="16"/>
          <w:vertAlign w:val="superscript"/>
        </w:rPr>
        <w:t xml:space="preserve"> </w:t>
      </w:r>
      <w:r w:rsidRPr="00C01471">
        <w:rPr>
          <w:szCs w:val="16"/>
          <w:lang w:eastAsia="zh-CN"/>
        </w:rPr>
        <w:t>Through PFIP supporting Solomon Islands, Vanuatu and Papua New Guinea have begun preparing similar strategies.</w:t>
      </w:r>
    </w:p>
  </w:footnote>
  <w:footnote w:id="18">
    <w:p w:rsidR="008D0C12" w:rsidRPr="00214DE5" w:rsidRDefault="008D0C12" w:rsidP="00655332">
      <w:pPr>
        <w:pStyle w:val="FootnoteText"/>
        <w:rPr>
          <w:szCs w:val="16"/>
        </w:rPr>
      </w:pPr>
      <w:r w:rsidRPr="00C01471">
        <w:rPr>
          <w:rStyle w:val="FootnoteReference"/>
          <w:rFonts w:ascii="Franklin Gothic Book" w:hAnsi="Franklin Gothic Book"/>
          <w:szCs w:val="16"/>
          <w:vertAlign w:val="superscript"/>
        </w:rPr>
        <w:footnoteRef/>
      </w:r>
      <w:r w:rsidRPr="00C01471">
        <w:rPr>
          <w:szCs w:val="16"/>
        </w:rPr>
        <w:t xml:space="preserve"> </w:t>
      </w:r>
      <w:r>
        <w:rPr>
          <w:szCs w:val="16"/>
        </w:rPr>
        <w:t xml:space="preserve">Specifically, </w:t>
      </w:r>
      <w:r w:rsidRPr="00214DE5">
        <w:rPr>
          <w:szCs w:val="16"/>
          <w:lang w:eastAsia="zh-CN"/>
        </w:rPr>
        <w:t>Fijian taro, papaya and ginger exports to Australia and New Zealand</w:t>
      </w:r>
      <w:r>
        <w:rPr>
          <w:szCs w:val="16"/>
          <w:lang w:eastAsia="zh-CN"/>
        </w:rPr>
        <w:t>.</w:t>
      </w:r>
      <w:r w:rsidRPr="00214DE5">
        <w:rPr>
          <w:szCs w:val="16"/>
          <w:lang w:eastAsia="zh-CN"/>
        </w:rPr>
        <w:t xml:space="preserve"> </w:t>
      </w:r>
      <w:r>
        <w:rPr>
          <w:szCs w:val="16"/>
          <w:lang w:eastAsia="zh-CN"/>
        </w:rPr>
        <w:t xml:space="preserve">PHAMA also </w:t>
      </w:r>
      <w:r w:rsidRPr="00214DE5">
        <w:rPr>
          <w:szCs w:val="16"/>
          <w:lang w:eastAsia="zh-CN"/>
        </w:rPr>
        <w:t>trained farmers to improve production and meet international export requirements.  The program supported increased Tongan water melon exports from 100 to 280 tonnes, and helped Solomon Islands avert significant loss of fish exports to the European Union worth $46 million. Sawn timber exports from Solomon Islands to Australia have created additional revenue valued at US</w:t>
      </w:r>
      <w:r>
        <w:rPr>
          <w:szCs w:val="16"/>
          <w:lang w:eastAsia="zh-CN"/>
        </w:rPr>
        <w:t>$</w:t>
      </w:r>
      <w:r w:rsidRPr="00214DE5">
        <w:rPr>
          <w:szCs w:val="16"/>
          <w:lang w:eastAsia="zh-CN"/>
        </w:rPr>
        <w:t>3.3 million per year.</w:t>
      </w:r>
    </w:p>
  </w:footnote>
  <w:footnote w:id="19">
    <w:p w:rsidR="008D0C12" w:rsidRPr="00C01471" w:rsidRDefault="008D0C12" w:rsidP="00655332">
      <w:pPr>
        <w:pStyle w:val="FootnoteText"/>
        <w:rPr>
          <w:szCs w:val="16"/>
        </w:rPr>
      </w:pPr>
      <w:r w:rsidRPr="00E23155">
        <w:rPr>
          <w:rStyle w:val="FootnoteReference"/>
          <w:rFonts w:ascii="Franklin Gothic Book" w:hAnsi="Franklin Gothic Book"/>
          <w:szCs w:val="16"/>
          <w:vertAlign w:val="superscript"/>
        </w:rPr>
        <w:footnoteRef/>
      </w:r>
      <w:r w:rsidRPr="00C0777B">
        <w:rPr>
          <w:szCs w:val="16"/>
        </w:rPr>
        <w:t xml:space="preserve"> </w:t>
      </w:r>
      <w:r w:rsidRPr="00C0777B">
        <w:rPr>
          <w:szCs w:val="16"/>
          <w:lang w:val="en-NZ"/>
        </w:rPr>
        <w:t xml:space="preserve">National Centre for Vocational Education Research consultancy Report. </w:t>
      </w:r>
      <w:r w:rsidRPr="00C0777B">
        <w:rPr>
          <w:i/>
          <w:iCs/>
          <w:szCs w:val="16"/>
          <w:lang w:val="en-NZ"/>
        </w:rPr>
        <w:t>APTC Graduates Down the Track.</w:t>
      </w:r>
      <w:r w:rsidRPr="00C0777B">
        <w:rPr>
          <w:szCs w:val="16"/>
          <w:lang w:val="en-NZ"/>
        </w:rPr>
        <w:t xml:space="preserve"> December 2013.</w:t>
      </w:r>
    </w:p>
  </w:footnote>
  <w:footnote w:id="20">
    <w:p w:rsidR="008D0C12" w:rsidRPr="00C01471" w:rsidRDefault="008D0C12" w:rsidP="00655332">
      <w:pPr>
        <w:pStyle w:val="FootnoteText"/>
        <w:rPr>
          <w:szCs w:val="16"/>
        </w:rPr>
      </w:pPr>
      <w:r w:rsidRPr="00C01471">
        <w:rPr>
          <w:rStyle w:val="FootnoteReference"/>
          <w:rFonts w:ascii="Franklin Gothic Book" w:hAnsi="Franklin Gothic Book"/>
          <w:szCs w:val="16"/>
          <w:vertAlign w:val="superscript"/>
        </w:rPr>
        <w:footnoteRef/>
      </w:r>
      <w:r w:rsidRPr="00C01471">
        <w:rPr>
          <w:rStyle w:val="FootnoteReference"/>
          <w:rFonts w:ascii="Franklin Gothic Book" w:hAnsi="Franklin Gothic Book"/>
          <w:szCs w:val="16"/>
          <w:vertAlign w:val="superscript"/>
        </w:rPr>
        <w:t xml:space="preserve"> </w:t>
      </w:r>
      <w:r w:rsidRPr="00C01471">
        <w:rPr>
          <w:szCs w:val="16"/>
          <w:lang w:val="en-NZ"/>
        </w:rPr>
        <w:t xml:space="preserve">National Centre for Vocational Education Research consultancy Report. </w:t>
      </w:r>
      <w:r w:rsidRPr="00C01471">
        <w:rPr>
          <w:i/>
          <w:iCs/>
          <w:szCs w:val="16"/>
          <w:lang w:val="en-NZ"/>
        </w:rPr>
        <w:t>APTC Graduates Down the Track.</w:t>
      </w:r>
      <w:r w:rsidRPr="00C01471">
        <w:rPr>
          <w:szCs w:val="16"/>
          <w:lang w:val="en-NZ"/>
        </w:rPr>
        <w:t xml:space="preserve"> December 2013.</w:t>
      </w:r>
    </w:p>
  </w:footnote>
  <w:footnote w:id="21">
    <w:p w:rsidR="008D0C12" w:rsidRPr="00C01471" w:rsidRDefault="008D0C12" w:rsidP="00655332">
      <w:pPr>
        <w:pStyle w:val="FootnoteText"/>
        <w:rPr>
          <w:szCs w:val="16"/>
        </w:rPr>
      </w:pPr>
      <w:r w:rsidRPr="00C01471">
        <w:rPr>
          <w:rStyle w:val="FootnoteReference"/>
          <w:rFonts w:ascii="Franklin Gothic Book" w:hAnsi="Franklin Gothic Book"/>
          <w:szCs w:val="16"/>
          <w:vertAlign w:val="superscript"/>
        </w:rPr>
        <w:footnoteRef/>
      </w:r>
      <w:r w:rsidRPr="00C01471">
        <w:rPr>
          <w:szCs w:val="16"/>
        </w:rPr>
        <w:t xml:space="preserve"> Centre for Global Development. Working Paper 370: Skill Development and Regional Mobility: Lessons from the Australia-Pacific Technical College. June 2014.</w:t>
      </w:r>
    </w:p>
  </w:footnote>
  <w:footnote w:id="22">
    <w:p w:rsidR="008D0C12" w:rsidRPr="00737052" w:rsidRDefault="008D0C12" w:rsidP="00CB4139">
      <w:pPr>
        <w:pStyle w:val="FootnoteText"/>
        <w:rPr>
          <w:szCs w:val="16"/>
          <w:lang w:val="en-NZ"/>
        </w:rPr>
      </w:pPr>
      <w:r w:rsidRPr="00EA550D">
        <w:rPr>
          <w:rStyle w:val="FootnoteReference"/>
          <w:rFonts w:ascii="Franklin Gothic Book" w:hAnsi="Franklin Gothic Book"/>
          <w:szCs w:val="16"/>
          <w:vertAlign w:val="superscript"/>
        </w:rPr>
        <w:footnoteRef/>
      </w:r>
      <w:r w:rsidRPr="00267733">
        <w:rPr>
          <w:szCs w:val="16"/>
          <w:lang w:val="en-NZ"/>
        </w:rPr>
        <w:t xml:space="preserve"> Over 10 per cent of the region’s GDP and over 15 000 formal jobs, principally from tuna; more than US</w:t>
      </w:r>
      <w:r>
        <w:rPr>
          <w:szCs w:val="16"/>
          <w:lang w:val="en-NZ"/>
        </w:rPr>
        <w:t>$</w:t>
      </w:r>
      <w:r w:rsidRPr="00267733">
        <w:rPr>
          <w:szCs w:val="16"/>
          <w:lang w:val="en-NZ"/>
        </w:rPr>
        <w:t>240 million in direct annual government revenues in the region; 47.4</w:t>
      </w:r>
      <w:r>
        <w:rPr>
          <w:szCs w:val="16"/>
          <w:lang w:val="en-NZ"/>
        </w:rPr>
        <w:t>per cent</w:t>
      </w:r>
      <w:r w:rsidRPr="00267733">
        <w:rPr>
          <w:szCs w:val="16"/>
          <w:lang w:val="en-NZ"/>
        </w:rPr>
        <w:t xml:space="preserve"> of coastal households derive their first or second income from fisheries; between </w:t>
      </w:r>
      <w:r w:rsidRPr="00737052">
        <w:rPr>
          <w:szCs w:val="16"/>
          <w:lang w:val="en-NZ"/>
        </w:rPr>
        <w:t xml:space="preserve">70 to 90 per cent of animal protein is derived from fisheries in many Pacific Island populations </w:t>
      </w:r>
      <w:r>
        <w:rPr>
          <w:szCs w:val="16"/>
          <w:lang w:val="en-NZ"/>
        </w:rPr>
        <w:t>(s</w:t>
      </w:r>
      <w:r w:rsidRPr="00737052">
        <w:rPr>
          <w:szCs w:val="16"/>
          <w:lang w:val="en-NZ"/>
        </w:rPr>
        <w:t>ource: SPC-FAME &amp; FFA annual reporting</w:t>
      </w:r>
      <w:r>
        <w:rPr>
          <w:szCs w:val="16"/>
          <w:lang w:val="en-NZ"/>
        </w:rPr>
        <w:t>)</w:t>
      </w:r>
      <w:r w:rsidRPr="00737052">
        <w:rPr>
          <w:szCs w:val="16"/>
          <w:lang w:val="en-NZ"/>
        </w:rPr>
        <w:t xml:space="preserve">.  </w:t>
      </w:r>
    </w:p>
  </w:footnote>
  <w:footnote w:id="23">
    <w:p w:rsidR="008D0C12" w:rsidRPr="00737052" w:rsidRDefault="008D0C12" w:rsidP="00CB4139">
      <w:pPr>
        <w:pStyle w:val="FootnoteText"/>
        <w:rPr>
          <w:szCs w:val="16"/>
        </w:rPr>
      </w:pPr>
      <w:r w:rsidRPr="00EA550D">
        <w:rPr>
          <w:rStyle w:val="FootnoteReference"/>
          <w:rFonts w:ascii="Franklin Gothic Book" w:hAnsi="Franklin Gothic Book"/>
          <w:szCs w:val="16"/>
          <w:vertAlign w:val="superscript"/>
        </w:rPr>
        <w:footnoteRef/>
      </w:r>
      <w:r w:rsidRPr="00EA550D">
        <w:rPr>
          <w:rStyle w:val="FootnoteReference"/>
          <w:rFonts w:ascii="Franklin Gothic Book" w:hAnsi="Franklin Gothic Book"/>
          <w:szCs w:val="16"/>
          <w:vertAlign w:val="superscript"/>
        </w:rPr>
        <w:t xml:space="preserve"> </w:t>
      </w:r>
      <w:r w:rsidRPr="00267733">
        <w:rPr>
          <w:szCs w:val="16"/>
        </w:rPr>
        <w:t>The NTSA formally came into force in August 2014.</w:t>
      </w:r>
    </w:p>
  </w:footnote>
  <w:footnote w:id="24">
    <w:p w:rsidR="008D0C12" w:rsidRPr="00737052" w:rsidRDefault="008D0C12">
      <w:pPr>
        <w:pStyle w:val="FootnoteText"/>
        <w:rPr>
          <w:szCs w:val="16"/>
        </w:rPr>
      </w:pPr>
      <w:r w:rsidRPr="00EA550D">
        <w:rPr>
          <w:rStyle w:val="FootnoteReference"/>
          <w:rFonts w:ascii="Franklin Gothic Book" w:hAnsi="Franklin Gothic Book"/>
          <w:szCs w:val="16"/>
          <w:vertAlign w:val="superscript"/>
        </w:rPr>
        <w:footnoteRef/>
      </w:r>
      <w:r w:rsidRPr="00EA550D">
        <w:rPr>
          <w:rStyle w:val="FootnoteReference"/>
          <w:rFonts w:ascii="Franklin Gothic Book" w:hAnsi="Franklin Gothic Book"/>
          <w:szCs w:val="16"/>
          <w:vertAlign w:val="superscript"/>
        </w:rPr>
        <w:t xml:space="preserve"> </w:t>
      </w:r>
      <w:r w:rsidRPr="00267733">
        <w:rPr>
          <w:szCs w:val="16"/>
          <w:lang w:eastAsia="zh-CN"/>
        </w:rPr>
        <w:t>These reforms are now paying dividends for SPREP through incr</w:t>
      </w:r>
      <w:r w:rsidRPr="00737052">
        <w:rPr>
          <w:szCs w:val="16"/>
          <w:lang w:eastAsia="zh-CN"/>
        </w:rPr>
        <w:t>eased effectiveness and accountability of its programs. The success of these reforms was reflected in SPREP’s accreditation as a Regional Implementing Entity by the Adaptation Fund Board under the Kyoto Protocol, from 1 November 2013; as well as passing its European Union audit in 2013.</w:t>
      </w:r>
    </w:p>
  </w:footnote>
  <w:footnote w:id="25">
    <w:p w:rsidR="008D0C12" w:rsidRPr="00737052" w:rsidRDefault="008D0C12">
      <w:pPr>
        <w:pStyle w:val="FootnoteText"/>
        <w:rPr>
          <w:szCs w:val="16"/>
        </w:rPr>
      </w:pPr>
      <w:r w:rsidRPr="00EA550D">
        <w:rPr>
          <w:rStyle w:val="FootnoteReference"/>
          <w:rFonts w:ascii="Franklin Gothic Book" w:hAnsi="Franklin Gothic Book"/>
          <w:szCs w:val="16"/>
          <w:vertAlign w:val="superscript"/>
        </w:rPr>
        <w:footnoteRef/>
      </w:r>
      <w:r w:rsidRPr="00267733">
        <w:rPr>
          <w:szCs w:val="16"/>
        </w:rPr>
        <w:t xml:space="preserve"> </w:t>
      </w:r>
      <w:r w:rsidRPr="00737052">
        <w:rPr>
          <w:szCs w:val="16"/>
          <w:lang w:eastAsia="zh-CN"/>
        </w:rPr>
        <w:t>Signed by the Crown Prince in 2013.</w:t>
      </w:r>
    </w:p>
  </w:footnote>
  <w:footnote w:id="26">
    <w:p w:rsidR="008D0C12" w:rsidRPr="00E23155" w:rsidRDefault="008D0C12" w:rsidP="002F630B">
      <w:pPr>
        <w:pStyle w:val="FootnoteText"/>
        <w:rPr>
          <w:szCs w:val="16"/>
        </w:rPr>
      </w:pPr>
      <w:r w:rsidRPr="00EA550D">
        <w:rPr>
          <w:rStyle w:val="FootnoteReference"/>
          <w:rFonts w:ascii="Franklin Gothic Book" w:hAnsi="Franklin Gothic Book"/>
          <w:szCs w:val="16"/>
          <w:vertAlign w:val="superscript"/>
        </w:rPr>
        <w:footnoteRef/>
      </w:r>
      <w:r w:rsidRPr="00267733">
        <w:rPr>
          <w:szCs w:val="16"/>
        </w:rPr>
        <w:t xml:space="preserve"> </w:t>
      </w:r>
      <w:r w:rsidRPr="00737052">
        <w:rPr>
          <w:szCs w:val="16"/>
          <w:lang w:eastAsia="zh-CN"/>
        </w:rPr>
        <w:t>With a further seven countries now undergoing review: Cook Islands, Kiribati, Marshall Islands, Federated States of Micronesia, Nauru, Palau and Solomon Islands.  Six of the seven countries under review have been trained on the UNCAC review process. UNDP’s Pacific Centre and the UN Office of Drugs and Crime (UNODC) provided support to countries on implementing UNCAC, including</w:t>
      </w:r>
      <w:r>
        <w:rPr>
          <w:szCs w:val="16"/>
          <w:lang w:eastAsia="zh-CN"/>
        </w:rPr>
        <w:t>:</w:t>
      </w:r>
      <w:r w:rsidRPr="00737052">
        <w:rPr>
          <w:szCs w:val="16"/>
          <w:lang w:eastAsia="zh-CN"/>
        </w:rPr>
        <w:t xml:space="preserve"> t</w:t>
      </w:r>
      <w:r w:rsidRPr="00214DE5">
        <w:rPr>
          <w:rFonts w:cs="Segoe UI"/>
          <w:szCs w:val="16"/>
          <w:lang w:val="en"/>
        </w:rPr>
        <w:t>raining to the Parliaments of Kiribati and Samoa on public financial oversight</w:t>
      </w:r>
      <w:r>
        <w:rPr>
          <w:rFonts w:cs="Segoe UI"/>
          <w:szCs w:val="16"/>
          <w:lang w:val="en"/>
        </w:rPr>
        <w:t>;</w:t>
      </w:r>
      <w:r w:rsidRPr="00214DE5">
        <w:rPr>
          <w:rFonts w:cs="Segoe UI"/>
          <w:szCs w:val="16"/>
          <w:lang w:val="en"/>
        </w:rPr>
        <w:t xml:space="preserve"> training for prosecutors in Solomon Islands on corruption prosecution</w:t>
      </w:r>
      <w:r>
        <w:rPr>
          <w:rFonts w:cs="Segoe UI"/>
          <w:szCs w:val="16"/>
          <w:lang w:val="en"/>
        </w:rPr>
        <w:t>;</w:t>
      </w:r>
      <w:r w:rsidRPr="00214DE5">
        <w:rPr>
          <w:rFonts w:cs="Segoe UI"/>
          <w:szCs w:val="16"/>
          <w:lang w:val="en"/>
        </w:rPr>
        <w:t xml:space="preserve"> support to Papua New Guinea on developing legislation to establish the proposed Independent Commission agains</w:t>
      </w:r>
      <w:r w:rsidRPr="00DD1814">
        <w:rPr>
          <w:rFonts w:cs="Segoe UI"/>
          <w:szCs w:val="16"/>
          <w:lang w:val="en"/>
        </w:rPr>
        <w:t>t Corruption; support to Kiribati, Solomon Islands, Tonga and Vanuatu to develop and implement Freedom of Information regimes; and awareness raising in Kiribati and Vanuatu on options for developing anti-corruption policies.</w:t>
      </w:r>
    </w:p>
  </w:footnote>
  <w:footnote w:id="27">
    <w:p w:rsidR="008D0C12" w:rsidRPr="00737052" w:rsidRDefault="008D0C12">
      <w:pPr>
        <w:pStyle w:val="FootnoteText"/>
        <w:rPr>
          <w:szCs w:val="16"/>
        </w:rPr>
      </w:pPr>
      <w:r w:rsidRPr="00EA550D">
        <w:rPr>
          <w:rStyle w:val="FootnoteReference"/>
          <w:rFonts w:ascii="Franklin Gothic Book" w:hAnsi="Franklin Gothic Book"/>
          <w:szCs w:val="16"/>
          <w:vertAlign w:val="superscript"/>
        </w:rPr>
        <w:footnoteRef/>
      </w:r>
      <w:r w:rsidRPr="00267733">
        <w:rPr>
          <w:szCs w:val="16"/>
        </w:rPr>
        <w:t xml:space="preserve"> </w:t>
      </w:r>
      <w:r w:rsidRPr="00737052">
        <w:rPr>
          <w:szCs w:val="16"/>
          <w:lang w:eastAsia="zh-CN"/>
        </w:rPr>
        <w:t>A process which allows countries to diagnose their Public Financial Management (PFM) systems and improve ownership of subsequent PFM reform plans.</w:t>
      </w:r>
    </w:p>
  </w:footnote>
  <w:footnote w:id="28">
    <w:p w:rsidR="008D0C12" w:rsidRPr="00737052" w:rsidRDefault="008D0C12">
      <w:pPr>
        <w:pStyle w:val="FootnoteText"/>
        <w:rPr>
          <w:szCs w:val="16"/>
        </w:rPr>
      </w:pPr>
      <w:r w:rsidRPr="00EA550D">
        <w:rPr>
          <w:rStyle w:val="FootnoteReference"/>
          <w:rFonts w:ascii="Franklin Gothic Book" w:hAnsi="Franklin Gothic Book"/>
          <w:szCs w:val="16"/>
          <w:vertAlign w:val="superscript"/>
        </w:rPr>
        <w:footnoteRef/>
      </w:r>
      <w:r w:rsidRPr="00267733">
        <w:rPr>
          <w:szCs w:val="16"/>
        </w:rPr>
        <w:t xml:space="preserve"> </w:t>
      </w:r>
      <w:r w:rsidRPr="00737052">
        <w:rPr>
          <w:szCs w:val="16"/>
          <w:lang w:eastAsia="zh-CN"/>
        </w:rPr>
        <w:t>With limited DFAT resources to support aid program delivery at smaller posts, PACTAM also helps to reduce the administrative workloads associated with engaging and managing external consultants.</w:t>
      </w:r>
    </w:p>
  </w:footnote>
  <w:footnote w:id="29">
    <w:p w:rsidR="008D0C12" w:rsidRPr="00DD1814" w:rsidRDefault="008D0C12" w:rsidP="007B7FFD">
      <w:pPr>
        <w:pStyle w:val="FootnoteText"/>
        <w:spacing w:line="240" w:lineRule="auto"/>
        <w:rPr>
          <w:szCs w:val="16"/>
          <w:lang w:val="en-NZ"/>
        </w:rPr>
      </w:pPr>
      <w:r w:rsidRPr="00214DE5">
        <w:rPr>
          <w:rStyle w:val="FootnoteReference"/>
          <w:rFonts w:ascii="Franklin Gothic Book" w:hAnsi="Franklin Gothic Book"/>
          <w:szCs w:val="16"/>
          <w:vertAlign w:val="superscript"/>
        </w:rPr>
        <w:footnoteRef/>
      </w:r>
      <w:r w:rsidRPr="00214DE5">
        <w:rPr>
          <w:szCs w:val="16"/>
          <w:vertAlign w:val="superscript"/>
        </w:rPr>
        <w:t xml:space="preserve"> </w:t>
      </w:r>
      <w:r w:rsidRPr="00DD1814">
        <w:rPr>
          <w:szCs w:val="16"/>
          <w:lang w:val="en-NZ"/>
        </w:rPr>
        <w:t xml:space="preserve">For example, National Minimum Development Indicators database SPC has ensured that data is sex-disaggregated where possible. </w:t>
      </w:r>
    </w:p>
  </w:footnote>
  <w:footnote w:id="30">
    <w:p w:rsidR="008D0C12" w:rsidRPr="00EA550D" w:rsidRDefault="008D0C12" w:rsidP="00193AB5">
      <w:pPr>
        <w:pStyle w:val="FootnoteText"/>
        <w:rPr>
          <w:szCs w:val="16"/>
        </w:rPr>
      </w:pPr>
      <w:r w:rsidRPr="00DD1814">
        <w:rPr>
          <w:rStyle w:val="FootnoteReference"/>
          <w:rFonts w:ascii="Franklin Gothic Book" w:hAnsi="Franklin Gothic Book"/>
          <w:szCs w:val="16"/>
          <w:vertAlign w:val="superscript"/>
        </w:rPr>
        <w:footnoteRef/>
      </w:r>
      <w:r w:rsidRPr="00EA550D">
        <w:rPr>
          <w:szCs w:val="16"/>
        </w:rPr>
        <w:t xml:space="preserve"> </w:t>
      </w:r>
      <w:r w:rsidRPr="00EA550D">
        <w:rPr>
          <w:szCs w:val="16"/>
          <w:lang w:val="en-NZ"/>
        </w:rPr>
        <w:t xml:space="preserve">National Centre for Vocational Education Research consultancy Report. </w:t>
      </w:r>
      <w:r w:rsidRPr="00EA550D">
        <w:rPr>
          <w:i/>
          <w:iCs/>
          <w:szCs w:val="16"/>
          <w:lang w:val="en-NZ"/>
        </w:rPr>
        <w:t>APTC Graduates Down the Track.</w:t>
      </w:r>
      <w:r w:rsidRPr="00EA550D">
        <w:rPr>
          <w:szCs w:val="16"/>
          <w:lang w:val="en-NZ"/>
        </w:rPr>
        <w:t xml:space="preserve"> December 2013.</w:t>
      </w:r>
    </w:p>
  </w:footnote>
  <w:footnote w:id="31">
    <w:p w:rsidR="008D0C12" w:rsidRPr="00EA550D" w:rsidRDefault="008D0C12" w:rsidP="00193AB5">
      <w:pPr>
        <w:pStyle w:val="FootnoteText"/>
        <w:rPr>
          <w:szCs w:val="16"/>
        </w:rPr>
      </w:pPr>
      <w:r w:rsidRPr="00267733">
        <w:rPr>
          <w:rStyle w:val="FootnoteReference"/>
          <w:rFonts w:ascii="Franklin Gothic Book" w:hAnsi="Franklin Gothic Book"/>
          <w:szCs w:val="16"/>
          <w:vertAlign w:val="superscript"/>
        </w:rPr>
        <w:footnoteRef/>
      </w:r>
      <w:r w:rsidRPr="00EA550D">
        <w:rPr>
          <w:szCs w:val="16"/>
        </w:rPr>
        <w:t xml:space="preserve"> </w:t>
      </w:r>
      <w:r w:rsidRPr="00EA550D">
        <w:rPr>
          <w:szCs w:val="16"/>
          <w:lang w:val="en-NZ"/>
        </w:rPr>
        <w:t>The program includes assessment of literacy and numeracy learning, assessment of policies in four domains considered critical to student learning (</w:t>
      </w:r>
      <w:r>
        <w:rPr>
          <w:szCs w:val="16"/>
          <w:lang w:val="en-NZ"/>
        </w:rPr>
        <w:t>t</w:t>
      </w:r>
      <w:r w:rsidRPr="00EA550D">
        <w:rPr>
          <w:szCs w:val="16"/>
          <w:lang w:val="en-NZ"/>
        </w:rPr>
        <w:t xml:space="preserve">eacher </w:t>
      </w:r>
      <w:r>
        <w:rPr>
          <w:szCs w:val="16"/>
          <w:lang w:val="en-NZ"/>
        </w:rPr>
        <w:t>q</w:t>
      </w:r>
      <w:r w:rsidRPr="00EA550D">
        <w:rPr>
          <w:szCs w:val="16"/>
          <w:lang w:val="en-NZ"/>
        </w:rPr>
        <w:t xml:space="preserve">uality, </w:t>
      </w:r>
      <w:r>
        <w:rPr>
          <w:szCs w:val="16"/>
          <w:lang w:val="en-NZ"/>
        </w:rPr>
        <w:t>c</w:t>
      </w:r>
      <w:r w:rsidRPr="00EA550D">
        <w:rPr>
          <w:szCs w:val="16"/>
          <w:lang w:val="en-NZ"/>
        </w:rPr>
        <w:t xml:space="preserve">urriculum </w:t>
      </w:r>
      <w:r>
        <w:rPr>
          <w:szCs w:val="16"/>
          <w:lang w:val="en-NZ"/>
        </w:rPr>
        <w:t>m</w:t>
      </w:r>
      <w:r w:rsidRPr="00EA550D">
        <w:rPr>
          <w:szCs w:val="16"/>
          <w:lang w:val="en-NZ"/>
        </w:rPr>
        <w:t xml:space="preserve">aterials, </w:t>
      </w:r>
      <w:r>
        <w:rPr>
          <w:szCs w:val="16"/>
          <w:lang w:val="en-NZ"/>
        </w:rPr>
        <w:t>s</w:t>
      </w:r>
      <w:r w:rsidRPr="00EA550D">
        <w:rPr>
          <w:szCs w:val="16"/>
          <w:lang w:val="en-NZ"/>
        </w:rPr>
        <w:t xml:space="preserve">chool </w:t>
      </w:r>
      <w:r>
        <w:rPr>
          <w:szCs w:val="16"/>
          <w:lang w:val="en-NZ"/>
        </w:rPr>
        <w:t>g</w:t>
      </w:r>
      <w:r w:rsidRPr="00EA550D">
        <w:rPr>
          <w:szCs w:val="16"/>
          <w:lang w:val="en-NZ"/>
        </w:rPr>
        <w:t xml:space="preserve">overnance and </w:t>
      </w:r>
      <w:r>
        <w:rPr>
          <w:szCs w:val="16"/>
          <w:lang w:val="en-NZ"/>
        </w:rPr>
        <w:t>m</w:t>
      </w:r>
      <w:r w:rsidRPr="00EA550D">
        <w:rPr>
          <w:szCs w:val="16"/>
          <w:lang w:val="en-NZ"/>
        </w:rPr>
        <w:t xml:space="preserve">anagement, </w:t>
      </w:r>
      <w:r>
        <w:rPr>
          <w:szCs w:val="16"/>
          <w:lang w:val="en-NZ"/>
        </w:rPr>
        <w:t>a</w:t>
      </w:r>
      <w:r w:rsidRPr="00EA550D">
        <w:rPr>
          <w:szCs w:val="16"/>
          <w:lang w:val="en-NZ"/>
        </w:rPr>
        <w:t xml:space="preserve">ssessment </w:t>
      </w:r>
      <w:r>
        <w:rPr>
          <w:szCs w:val="16"/>
          <w:lang w:val="en-NZ"/>
        </w:rPr>
        <w:t>s</w:t>
      </w:r>
      <w:r w:rsidRPr="00EA550D">
        <w:rPr>
          <w:szCs w:val="16"/>
          <w:lang w:val="en-NZ"/>
        </w:rPr>
        <w:t>ystems), and research on how policy is being implemented at the school level.</w:t>
      </w:r>
    </w:p>
  </w:footnote>
  <w:footnote w:id="32">
    <w:p w:rsidR="008D0C12" w:rsidRPr="00EA550D" w:rsidRDefault="008D0C12" w:rsidP="00193AB5">
      <w:pPr>
        <w:pStyle w:val="FootnoteText"/>
        <w:rPr>
          <w:szCs w:val="16"/>
        </w:rPr>
      </w:pPr>
      <w:r w:rsidRPr="00267733">
        <w:rPr>
          <w:rStyle w:val="FootnoteReference"/>
          <w:rFonts w:ascii="Franklin Gothic Book" w:hAnsi="Franklin Gothic Book"/>
          <w:szCs w:val="16"/>
          <w:vertAlign w:val="superscript"/>
        </w:rPr>
        <w:footnoteRef/>
      </w:r>
      <w:r w:rsidRPr="00EA550D">
        <w:rPr>
          <w:szCs w:val="16"/>
        </w:rPr>
        <w:t xml:space="preserve"> </w:t>
      </w:r>
      <w:r w:rsidRPr="00EA550D">
        <w:rPr>
          <w:rStyle w:val="st"/>
          <w:szCs w:val="16"/>
        </w:rPr>
        <w:t>The PRQS currently includes data on 329 registered institutions and 64 accredited qualifications from Fiji, PNG, Samoa, Tonga and Vanuatu.</w:t>
      </w:r>
    </w:p>
  </w:footnote>
  <w:footnote w:id="33">
    <w:p w:rsidR="008D0C12" w:rsidRPr="00EA550D" w:rsidRDefault="008D0C12" w:rsidP="00DE3586">
      <w:pPr>
        <w:pStyle w:val="FootnoteText"/>
        <w:rPr>
          <w:szCs w:val="16"/>
        </w:rPr>
      </w:pPr>
      <w:r w:rsidRPr="00267733">
        <w:rPr>
          <w:rStyle w:val="FootnoteReference"/>
          <w:rFonts w:ascii="Franklin Gothic Book" w:hAnsi="Franklin Gothic Book"/>
          <w:szCs w:val="16"/>
          <w:vertAlign w:val="superscript"/>
        </w:rPr>
        <w:footnoteRef/>
      </w:r>
      <w:r w:rsidRPr="00EA550D">
        <w:rPr>
          <w:szCs w:val="16"/>
        </w:rPr>
        <w:t xml:space="preserve"> See: http://www.pacificplanreview.org/resources/uploads/attachments/documents/066_HeadsOfHealth_PacificPlanReviewSubmission_24May.pdf</w:t>
      </w:r>
    </w:p>
  </w:footnote>
  <w:footnote w:id="34">
    <w:p w:rsidR="008D0C12" w:rsidRPr="00EA550D" w:rsidRDefault="008D0C12" w:rsidP="00DE3586">
      <w:pPr>
        <w:pStyle w:val="FootnoteText"/>
        <w:rPr>
          <w:szCs w:val="16"/>
        </w:rPr>
      </w:pPr>
      <w:r w:rsidRPr="00267733">
        <w:rPr>
          <w:rStyle w:val="FootnoteReference"/>
          <w:rFonts w:ascii="Franklin Gothic Book" w:hAnsi="Franklin Gothic Book"/>
          <w:szCs w:val="16"/>
          <w:vertAlign w:val="superscript"/>
        </w:rPr>
        <w:footnoteRef/>
      </w:r>
      <w:r w:rsidRPr="00EA550D">
        <w:rPr>
          <w:szCs w:val="16"/>
        </w:rPr>
        <w:t xml:space="preserve"> The former Fiji School of Medicine.</w:t>
      </w:r>
    </w:p>
  </w:footnote>
  <w:footnote w:id="35">
    <w:p w:rsidR="008D0C12" w:rsidRPr="00EA550D" w:rsidRDefault="008D0C12" w:rsidP="00DE3586">
      <w:pPr>
        <w:pStyle w:val="FootnoteText"/>
        <w:rPr>
          <w:szCs w:val="16"/>
        </w:rPr>
      </w:pPr>
      <w:r w:rsidRPr="00267733">
        <w:rPr>
          <w:rStyle w:val="FootnoteReference"/>
          <w:rFonts w:ascii="Franklin Gothic Book" w:hAnsi="Franklin Gothic Book"/>
          <w:szCs w:val="16"/>
          <w:vertAlign w:val="superscript"/>
        </w:rPr>
        <w:footnoteRef/>
      </w:r>
      <w:r w:rsidRPr="00737052">
        <w:rPr>
          <w:rStyle w:val="FootnoteReference"/>
          <w:rFonts w:ascii="Franklin Gothic Book" w:hAnsi="Franklin Gothic Book"/>
          <w:szCs w:val="16"/>
          <w:vertAlign w:val="superscript"/>
        </w:rPr>
        <w:t xml:space="preserve"> </w:t>
      </w:r>
      <w:r w:rsidRPr="00EA550D">
        <w:rPr>
          <w:szCs w:val="16"/>
          <w:lang w:val="en-NZ"/>
        </w:rPr>
        <w:t>Centre for Health Information, Policy and Systems Research; Centre for the Prevention of Obesity and Non-Communicable Diseases; and the Pacific Sexual and Reproductive Health Research Centre.</w:t>
      </w:r>
    </w:p>
  </w:footnote>
  <w:footnote w:id="36">
    <w:p w:rsidR="008D0C12" w:rsidRPr="00EA550D" w:rsidRDefault="008D0C12" w:rsidP="00DE3586">
      <w:pPr>
        <w:pStyle w:val="FootnoteText"/>
        <w:rPr>
          <w:szCs w:val="16"/>
        </w:rPr>
      </w:pPr>
      <w:r w:rsidRPr="00267733">
        <w:rPr>
          <w:rStyle w:val="FootnoteReference"/>
          <w:rFonts w:ascii="Franklin Gothic Book" w:hAnsi="Franklin Gothic Book"/>
          <w:szCs w:val="16"/>
          <w:vertAlign w:val="superscript"/>
        </w:rPr>
        <w:footnoteRef/>
      </w:r>
      <w:r w:rsidRPr="00EA550D">
        <w:rPr>
          <w:szCs w:val="16"/>
        </w:rPr>
        <w:t xml:space="preserve"> WHO Pacific Biennium Plan 2012-2014; Activity Completion Report</w:t>
      </w:r>
      <w:r>
        <w:rPr>
          <w:szCs w:val="16"/>
        </w:rPr>
        <w:t>.</w:t>
      </w:r>
    </w:p>
  </w:footnote>
  <w:footnote w:id="37">
    <w:p w:rsidR="008D0C12" w:rsidRPr="00737052" w:rsidRDefault="008D0C12">
      <w:pPr>
        <w:pStyle w:val="FootnoteText"/>
        <w:rPr>
          <w:szCs w:val="16"/>
        </w:rPr>
      </w:pPr>
      <w:r w:rsidRPr="00267733">
        <w:rPr>
          <w:rStyle w:val="FootnoteReference"/>
          <w:rFonts w:ascii="Franklin Gothic Book" w:hAnsi="Franklin Gothic Book"/>
          <w:szCs w:val="16"/>
          <w:vertAlign w:val="superscript"/>
        </w:rPr>
        <w:footnoteRef/>
      </w:r>
      <w:r w:rsidRPr="00737052">
        <w:rPr>
          <w:rStyle w:val="FootnoteReference"/>
          <w:rFonts w:ascii="Franklin Gothic Book" w:hAnsi="Franklin Gothic Book"/>
          <w:szCs w:val="16"/>
          <w:vertAlign w:val="superscript"/>
        </w:rPr>
        <w:t xml:space="preserve"> </w:t>
      </w:r>
      <w:r w:rsidRPr="00737052">
        <w:rPr>
          <w:szCs w:val="16"/>
        </w:rPr>
        <w:t xml:space="preserve">Strengthen political leadership and an enabling environment; </w:t>
      </w:r>
      <w:r>
        <w:rPr>
          <w:szCs w:val="16"/>
        </w:rPr>
        <w:t>r</w:t>
      </w:r>
      <w:r w:rsidRPr="00737052">
        <w:rPr>
          <w:szCs w:val="16"/>
        </w:rPr>
        <w:t xml:space="preserve">ecognition and protection of the human rights of persons with disabilities; </w:t>
      </w:r>
      <w:r>
        <w:rPr>
          <w:szCs w:val="16"/>
        </w:rPr>
        <w:t>s</w:t>
      </w:r>
      <w:r w:rsidRPr="00737052">
        <w:rPr>
          <w:szCs w:val="16"/>
        </w:rPr>
        <w:t xml:space="preserve">trengthen partnerships: coordination and collaboration; </w:t>
      </w:r>
      <w:r>
        <w:rPr>
          <w:szCs w:val="16"/>
        </w:rPr>
        <w:t>d</w:t>
      </w:r>
      <w:r w:rsidRPr="00737052">
        <w:rPr>
          <w:szCs w:val="16"/>
        </w:rPr>
        <w:t xml:space="preserve">isability inclusive development; </w:t>
      </w:r>
      <w:r>
        <w:rPr>
          <w:szCs w:val="16"/>
        </w:rPr>
        <w:t>e</w:t>
      </w:r>
      <w:r w:rsidRPr="00737052">
        <w:rPr>
          <w:szCs w:val="16"/>
        </w:rPr>
        <w:t xml:space="preserve">nhancing the central role of persons with disabilities, and </w:t>
      </w:r>
      <w:r>
        <w:rPr>
          <w:szCs w:val="16"/>
        </w:rPr>
        <w:t>m</w:t>
      </w:r>
      <w:r w:rsidRPr="00737052">
        <w:rPr>
          <w:szCs w:val="16"/>
        </w:rPr>
        <w:t>obilisation of resources.</w:t>
      </w:r>
    </w:p>
  </w:footnote>
  <w:footnote w:id="38">
    <w:p w:rsidR="008D0C12" w:rsidRPr="00214DE5" w:rsidRDefault="008D0C12" w:rsidP="00F235EB">
      <w:pPr>
        <w:pStyle w:val="FootnoteText"/>
        <w:spacing w:line="240" w:lineRule="auto"/>
        <w:jc w:val="both"/>
        <w:rPr>
          <w:szCs w:val="16"/>
          <w:lang w:val="en-US"/>
        </w:rPr>
      </w:pPr>
      <w:r w:rsidRPr="00737052">
        <w:rPr>
          <w:rStyle w:val="FootnoteReference"/>
          <w:rFonts w:ascii="Franklin Gothic Book" w:hAnsi="Franklin Gothic Book"/>
          <w:szCs w:val="16"/>
          <w:vertAlign w:val="superscript"/>
        </w:rPr>
        <w:footnoteRef/>
      </w:r>
      <w:r w:rsidRPr="00737052">
        <w:rPr>
          <w:rStyle w:val="FootnoteReference"/>
          <w:rFonts w:ascii="Franklin Gothic Book" w:hAnsi="Franklin Gothic Book"/>
          <w:szCs w:val="16"/>
          <w:vertAlign w:val="superscript"/>
        </w:rPr>
        <w:t xml:space="preserve"> </w:t>
      </w:r>
      <w:r w:rsidRPr="00737052">
        <w:rPr>
          <w:szCs w:val="16"/>
          <w:lang w:val="en-US"/>
        </w:rPr>
        <w:t xml:space="preserve">All Forum member countries, except FSM, Niue, PNG and Tuvalu, reported against their progress on the Pacific Leaders Gender Equality Declaration in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1A" w:rsidRDefault="00600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1A" w:rsidRDefault="006009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91A" w:rsidRDefault="006009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2" w:rsidRDefault="008D0C12"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12" w:rsidRDefault="008D0C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284ED4"/>
    <w:multiLevelType w:val="hybridMultilevel"/>
    <w:tmpl w:val="C79C6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663158"/>
    <w:multiLevelType w:val="hybridMultilevel"/>
    <w:tmpl w:val="83888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9">
    <w:nsid w:val="23C97D03"/>
    <w:multiLevelType w:val="hybridMultilevel"/>
    <w:tmpl w:val="80F23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2CA31719"/>
    <w:multiLevelType w:val="hybridMultilevel"/>
    <w:tmpl w:val="ABEE5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F7B49EC"/>
    <w:multiLevelType w:val="hybridMultilevel"/>
    <w:tmpl w:val="2630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9CF6BDC"/>
    <w:multiLevelType w:val="hybridMultilevel"/>
    <w:tmpl w:val="4DCC0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F9F017F"/>
    <w:multiLevelType w:val="hybridMultilevel"/>
    <w:tmpl w:val="36A817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615C4776"/>
    <w:multiLevelType w:val="hybridMultilevel"/>
    <w:tmpl w:val="D9C05170"/>
    <w:lvl w:ilvl="0" w:tplc="8CC4C292">
      <w:start w:val="7"/>
      <w:numFmt w:val="bullet"/>
      <w:lvlText w:val="-"/>
      <w:lvlJc w:val="left"/>
      <w:pPr>
        <w:ind w:left="720" w:hanging="360"/>
      </w:pPr>
      <w:rPr>
        <w:rFonts w:ascii="Franklin Gothic Book" w:eastAsia="Times New Roman"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22E59CA"/>
    <w:multiLevelType w:val="hybridMultilevel"/>
    <w:tmpl w:val="D242C3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72E1E3F"/>
    <w:multiLevelType w:val="hybridMultilevel"/>
    <w:tmpl w:val="42B4472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77555700"/>
    <w:multiLevelType w:val="hybridMultilevel"/>
    <w:tmpl w:val="95008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7D217E9"/>
    <w:multiLevelType w:val="hybridMultilevel"/>
    <w:tmpl w:val="D5F817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5"/>
  </w:num>
  <w:num w:numId="4">
    <w:abstractNumId w:val="19"/>
  </w:num>
  <w:num w:numId="5">
    <w:abstractNumId w:val="18"/>
  </w:num>
  <w:num w:numId="6">
    <w:abstractNumId w:val="15"/>
  </w:num>
  <w:num w:numId="7">
    <w:abstractNumId w:val="25"/>
  </w:num>
  <w:num w:numId="8">
    <w:abstractNumId w:val="4"/>
  </w:num>
  <w:num w:numId="9">
    <w:abstractNumId w:val="8"/>
  </w:num>
  <w:num w:numId="10">
    <w:abstractNumId w:val="29"/>
  </w:num>
  <w:num w:numId="11">
    <w:abstractNumId w:val="30"/>
  </w:num>
  <w:num w:numId="12">
    <w:abstractNumId w:val="0"/>
  </w:num>
  <w:num w:numId="13">
    <w:abstractNumId w:val="3"/>
  </w:num>
  <w:num w:numId="14">
    <w:abstractNumId w:val="24"/>
  </w:num>
  <w:num w:numId="15">
    <w:abstractNumId w:val="1"/>
  </w:num>
  <w:num w:numId="16">
    <w:abstractNumId w:val="12"/>
  </w:num>
  <w:num w:numId="17">
    <w:abstractNumId w:val="10"/>
  </w:num>
  <w:num w:numId="18">
    <w:abstractNumId w:val="7"/>
  </w:num>
  <w:num w:numId="19">
    <w:abstractNumId w:val="16"/>
  </w:num>
  <w:num w:numId="20">
    <w:abstractNumId w:val="9"/>
  </w:num>
  <w:num w:numId="21">
    <w:abstractNumId w:val="2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8"/>
  </w:num>
  <w:num w:numId="25">
    <w:abstractNumId w:val="30"/>
  </w:num>
  <w:num w:numId="26">
    <w:abstractNumId w:val="22"/>
  </w:num>
  <w:num w:numId="27">
    <w:abstractNumId w:val="6"/>
  </w:num>
  <w:num w:numId="28">
    <w:abstractNumId w:val="2"/>
  </w:num>
  <w:num w:numId="29">
    <w:abstractNumId w:val="9"/>
  </w:num>
  <w:num w:numId="30">
    <w:abstractNumId w:val="21"/>
  </w:num>
  <w:num w:numId="31">
    <w:abstractNumId w:val="14"/>
  </w:num>
  <w:num w:numId="32">
    <w:abstractNumId w:val="13"/>
  </w:num>
  <w:num w:numId="33">
    <w:abstractNumId w:val="17"/>
  </w:num>
  <w:num w:numId="34">
    <w:abstractNumId w:val="23"/>
  </w:num>
  <w:num w:numId="35">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1B9"/>
    <w:rsid w:val="000004FF"/>
    <w:rsid w:val="00002161"/>
    <w:rsid w:val="0000242A"/>
    <w:rsid w:val="00002578"/>
    <w:rsid w:val="000026E7"/>
    <w:rsid w:val="00002A92"/>
    <w:rsid w:val="00002E28"/>
    <w:rsid w:val="000034D0"/>
    <w:rsid w:val="000039CF"/>
    <w:rsid w:val="00004460"/>
    <w:rsid w:val="00004E18"/>
    <w:rsid w:val="00006A08"/>
    <w:rsid w:val="00006C67"/>
    <w:rsid w:val="00007E94"/>
    <w:rsid w:val="000142A2"/>
    <w:rsid w:val="000143D9"/>
    <w:rsid w:val="00020121"/>
    <w:rsid w:val="00020D87"/>
    <w:rsid w:val="0002122F"/>
    <w:rsid w:val="00021465"/>
    <w:rsid w:val="00021A9E"/>
    <w:rsid w:val="00024FC6"/>
    <w:rsid w:val="00027629"/>
    <w:rsid w:val="00030111"/>
    <w:rsid w:val="00031100"/>
    <w:rsid w:val="00031EB5"/>
    <w:rsid w:val="0003231A"/>
    <w:rsid w:val="00033C69"/>
    <w:rsid w:val="00040AF6"/>
    <w:rsid w:val="000426DF"/>
    <w:rsid w:val="00050BD0"/>
    <w:rsid w:val="000529AD"/>
    <w:rsid w:val="0005506B"/>
    <w:rsid w:val="000550B0"/>
    <w:rsid w:val="00055E78"/>
    <w:rsid w:val="00057589"/>
    <w:rsid w:val="00057D09"/>
    <w:rsid w:val="000601D2"/>
    <w:rsid w:val="000601E7"/>
    <w:rsid w:val="00071B95"/>
    <w:rsid w:val="000734C0"/>
    <w:rsid w:val="0007395B"/>
    <w:rsid w:val="000745E2"/>
    <w:rsid w:val="0007703B"/>
    <w:rsid w:val="000774FD"/>
    <w:rsid w:val="00081F4E"/>
    <w:rsid w:val="000832BE"/>
    <w:rsid w:val="00086A5D"/>
    <w:rsid w:val="00086BCB"/>
    <w:rsid w:val="000905A8"/>
    <w:rsid w:val="00091878"/>
    <w:rsid w:val="00094BF3"/>
    <w:rsid w:val="000957FC"/>
    <w:rsid w:val="000979A0"/>
    <w:rsid w:val="00097B02"/>
    <w:rsid w:val="00097C65"/>
    <w:rsid w:val="000A1618"/>
    <w:rsid w:val="000A4247"/>
    <w:rsid w:val="000B3121"/>
    <w:rsid w:val="000B4471"/>
    <w:rsid w:val="000B53B3"/>
    <w:rsid w:val="000B68F6"/>
    <w:rsid w:val="000B6BE5"/>
    <w:rsid w:val="000B6FEA"/>
    <w:rsid w:val="000B75E8"/>
    <w:rsid w:val="000C2551"/>
    <w:rsid w:val="000C258A"/>
    <w:rsid w:val="000C29BF"/>
    <w:rsid w:val="000C390E"/>
    <w:rsid w:val="000C46F6"/>
    <w:rsid w:val="000C5E40"/>
    <w:rsid w:val="000C6080"/>
    <w:rsid w:val="000C60A8"/>
    <w:rsid w:val="000C7777"/>
    <w:rsid w:val="000D151B"/>
    <w:rsid w:val="000D1993"/>
    <w:rsid w:val="000D2177"/>
    <w:rsid w:val="000D733F"/>
    <w:rsid w:val="000D75D3"/>
    <w:rsid w:val="000D7952"/>
    <w:rsid w:val="000E2CB0"/>
    <w:rsid w:val="000E4573"/>
    <w:rsid w:val="000E594B"/>
    <w:rsid w:val="000E649C"/>
    <w:rsid w:val="000E7297"/>
    <w:rsid w:val="000E7510"/>
    <w:rsid w:val="000E7A8D"/>
    <w:rsid w:val="000F2D94"/>
    <w:rsid w:val="000F4CF7"/>
    <w:rsid w:val="000F6367"/>
    <w:rsid w:val="00100485"/>
    <w:rsid w:val="00100AA2"/>
    <w:rsid w:val="00100EBD"/>
    <w:rsid w:val="001029EA"/>
    <w:rsid w:val="0010334D"/>
    <w:rsid w:val="00106185"/>
    <w:rsid w:val="00106BDC"/>
    <w:rsid w:val="0010729C"/>
    <w:rsid w:val="00110141"/>
    <w:rsid w:val="00112E97"/>
    <w:rsid w:val="001139DE"/>
    <w:rsid w:val="00113F2A"/>
    <w:rsid w:val="00114214"/>
    <w:rsid w:val="001143BB"/>
    <w:rsid w:val="00114581"/>
    <w:rsid w:val="00114751"/>
    <w:rsid w:val="001154CA"/>
    <w:rsid w:val="001163BC"/>
    <w:rsid w:val="001171DE"/>
    <w:rsid w:val="00120976"/>
    <w:rsid w:val="00120A41"/>
    <w:rsid w:val="00120FC7"/>
    <w:rsid w:val="00122038"/>
    <w:rsid w:val="001227C3"/>
    <w:rsid w:val="0012429A"/>
    <w:rsid w:val="001258C6"/>
    <w:rsid w:val="0012793C"/>
    <w:rsid w:val="00131FF0"/>
    <w:rsid w:val="00132003"/>
    <w:rsid w:val="00133585"/>
    <w:rsid w:val="00133AAD"/>
    <w:rsid w:val="00135806"/>
    <w:rsid w:val="00135F88"/>
    <w:rsid w:val="001366B4"/>
    <w:rsid w:val="001375E3"/>
    <w:rsid w:val="00141A30"/>
    <w:rsid w:val="00142879"/>
    <w:rsid w:val="00143053"/>
    <w:rsid w:val="00144001"/>
    <w:rsid w:val="0014411B"/>
    <w:rsid w:val="00144236"/>
    <w:rsid w:val="001448E7"/>
    <w:rsid w:val="00147846"/>
    <w:rsid w:val="0015043E"/>
    <w:rsid w:val="00152DDB"/>
    <w:rsid w:val="00152DFD"/>
    <w:rsid w:val="001544BD"/>
    <w:rsid w:val="00154EF9"/>
    <w:rsid w:val="00156328"/>
    <w:rsid w:val="00157858"/>
    <w:rsid w:val="00157A65"/>
    <w:rsid w:val="001612CE"/>
    <w:rsid w:val="001624FB"/>
    <w:rsid w:val="0016544D"/>
    <w:rsid w:val="001657F1"/>
    <w:rsid w:val="00167331"/>
    <w:rsid w:val="0016740F"/>
    <w:rsid w:val="00171BB2"/>
    <w:rsid w:val="001724A3"/>
    <w:rsid w:val="00173C6E"/>
    <w:rsid w:val="00176A87"/>
    <w:rsid w:val="00180B19"/>
    <w:rsid w:val="00181107"/>
    <w:rsid w:val="0018196F"/>
    <w:rsid w:val="001829BB"/>
    <w:rsid w:val="0018305E"/>
    <w:rsid w:val="0018353A"/>
    <w:rsid w:val="00184DDB"/>
    <w:rsid w:val="001858DA"/>
    <w:rsid w:val="00192498"/>
    <w:rsid w:val="00193AB5"/>
    <w:rsid w:val="001943B6"/>
    <w:rsid w:val="00194806"/>
    <w:rsid w:val="00194B51"/>
    <w:rsid w:val="001A14FA"/>
    <w:rsid w:val="001A374B"/>
    <w:rsid w:val="001A4353"/>
    <w:rsid w:val="001A70D5"/>
    <w:rsid w:val="001B14D7"/>
    <w:rsid w:val="001B1A0C"/>
    <w:rsid w:val="001B2948"/>
    <w:rsid w:val="001B41CD"/>
    <w:rsid w:val="001B714C"/>
    <w:rsid w:val="001C069A"/>
    <w:rsid w:val="001C1EA0"/>
    <w:rsid w:val="001C31B9"/>
    <w:rsid w:val="001C4764"/>
    <w:rsid w:val="001C507E"/>
    <w:rsid w:val="001C52D2"/>
    <w:rsid w:val="001C5C53"/>
    <w:rsid w:val="001C5D89"/>
    <w:rsid w:val="001C700E"/>
    <w:rsid w:val="001C7117"/>
    <w:rsid w:val="001C7323"/>
    <w:rsid w:val="001C745A"/>
    <w:rsid w:val="001C7DDD"/>
    <w:rsid w:val="001D1516"/>
    <w:rsid w:val="001D20FC"/>
    <w:rsid w:val="001D210A"/>
    <w:rsid w:val="001D6059"/>
    <w:rsid w:val="001D6FE8"/>
    <w:rsid w:val="001D7E98"/>
    <w:rsid w:val="001E20FE"/>
    <w:rsid w:val="001E42F0"/>
    <w:rsid w:val="001E4BDE"/>
    <w:rsid w:val="001E6635"/>
    <w:rsid w:val="001F12A2"/>
    <w:rsid w:val="001F1C85"/>
    <w:rsid w:val="001F5CB1"/>
    <w:rsid w:val="001F61A8"/>
    <w:rsid w:val="001F746D"/>
    <w:rsid w:val="001F7480"/>
    <w:rsid w:val="00201174"/>
    <w:rsid w:val="00202880"/>
    <w:rsid w:val="00202E4E"/>
    <w:rsid w:val="00203BCC"/>
    <w:rsid w:val="00205DCC"/>
    <w:rsid w:val="00205E0B"/>
    <w:rsid w:val="00205F2B"/>
    <w:rsid w:val="0020663D"/>
    <w:rsid w:val="002115BD"/>
    <w:rsid w:val="00211710"/>
    <w:rsid w:val="002126BA"/>
    <w:rsid w:val="00212B27"/>
    <w:rsid w:val="0021324C"/>
    <w:rsid w:val="00214DE5"/>
    <w:rsid w:val="00214DF1"/>
    <w:rsid w:val="00215149"/>
    <w:rsid w:val="0021515C"/>
    <w:rsid w:val="002227A9"/>
    <w:rsid w:val="00223909"/>
    <w:rsid w:val="00226DEE"/>
    <w:rsid w:val="00231D45"/>
    <w:rsid w:val="00232498"/>
    <w:rsid w:val="002335A9"/>
    <w:rsid w:val="002343CF"/>
    <w:rsid w:val="00235D29"/>
    <w:rsid w:val="002363D9"/>
    <w:rsid w:val="00236B8C"/>
    <w:rsid w:val="00237C4B"/>
    <w:rsid w:val="00240D59"/>
    <w:rsid w:val="00241696"/>
    <w:rsid w:val="002441D5"/>
    <w:rsid w:val="00246E5F"/>
    <w:rsid w:val="00251749"/>
    <w:rsid w:val="00254568"/>
    <w:rsid w:val="00254C4B"/>
    <w:rsid w:val="002572E6"/>
    <w:rsid w:val="00257C75"/>
    <w:rsid w:val="00261E78"/>
    <w:rsid w:val="00262399"/>
    <w:rsid w:val="0026346C"/>
    <w:rsid w:val="00263F5F"/>
    <w:rsid w:val="00267733"/>
    <w:rsid w:val="00270898"/>
    <w:rsid w:val="00272AF0"/>
    <w:rsid w:val="00272F2D"/>
    <w:rsid w:val="00273C6F"/>
    <w:rsid w:val="00273EFE"/>
    <w:rsid w:val="00275C42"/>
    <w:rsid w:val="00282A10"/>
    <w:rsid w:val="002849B4"/>
    <w:rsid w:val="00286983"/>
    <w:rsid w:val="00286E4C"/>
    <w:rsid w:val="0029079A"/>
    <w:rsid w:val="00290A1E"/>
    <w:rsid w:val="002911A4"/>
    <w:rsid w:val="00291F1C"/>
    <w:rsid w:val="0029773C"/>
    <w:rsid w:val="00297FA7"/>
    <w:rsid w:val="002A15F4"/>
    <w:rsid w:val="002A1935"/>
    <w:rsid w:val="002A1A79"/>
    <w:rsid w:val="002A21D1"/>
    <w:rsid w:val="002A22F7"/>
    <w:rsid w:val="002A3CE4"/>
    <w:rsid w:val="002A4D70"/>
    <w:rsid w:val="002B159C"/>
    <w:rsid w:val="002B1CB1"/>
    <w:rsid w:val="002B1F66"/>
    <w:rsid w:val="002B31B3"/>
    <w:rsid w:val="002B433A"/>
    <w:rsid w:val="002B61A8"/>
    <w:rsid w:val="002B6EBE"/>
    <w:rsid w:val="002B73F1"/>
    <w:rsid w:val="002B79D4"/>
    <w:rsid w:val="002C16BF"/>
    <w:rsid w:val="002C1E00"/>
    <w:rsid w:val="002C2C4F"/>
    <w:rsid w:val="002C639B"/>
    <w:rsid w:val="002D1328"/>
    <w:rsid w:val="002D161A"/>
    <w:rsid w:val="002D246D"/>
    <w:rsid w:val="002D5067"/>
    <w:rsid w:val="002D5D7B"/>
    <w:rsid w:val="002D6914"/>
    <w:rsid w:val="002D6DF0"/>
    <w:rsid w:val="002D7FFA"/>
    <w:rsid w:val="002E55EA"/>
    <w:rsid w:val="002E5604"/>
    <w:rsid w:val="002E62D4"/>
    <w:rsid w:val="002E6D26"/>
    <w:rsid w:val="002F0E34"/>
    <w:rsid w:val="002F1005"/>
    <w:rsid w:val="002F1299"/>
    <w:rsid w:val="002F479A"/>
    <w:rsid w:val="002F54F3"/>
    <w:rsid w:val="002F5A14"/>
    <w:rsid w:val="002F630B"/>
    <w:rsid w:val="002F70B2"/>
    <w:rsid w:val="00303038"/>
    <w:rsid w:val="0030318A"/>
    <w:rsid w:val="00304D1C"/>
    <w:rsid w:val="00306038"/>
    <w:rsid w:val="003060E1"/>
    <w:rsid w:val="00306734"/>
    <w:rsid w:val="00310426"/>
    <w:rsid w:val="00310974"/>
    <w:rsid w:val="00315135"/>
    <w:rsid w:val="00315D13"/>
    <w:rsid w:val="003167E5"/>
    <w:rsid w:val="00316FDC"/>
    <w:rsid w:val="00320FCE"/>
    <w:rsid w:val="003223F8"/>
    <w:rsid w:val="0032292A"/>
    <w:rsid w:val="00322D92"/>
    <w:rsid w:val="0032486D"/>
    <w:rsid w:val="00325C36"/>
    <w:rsid w:val="003260B8"/>
    <w:rsid w:val="003260C0"/>
    <w:rsid w:val="003266E1"/>
    <w:rsid w:val="00326A8F"/>
    <w:rsid w:val="00326B5A"/>
    <w:rsid w:val="003275D0"/>
    <w:rsid w:val="003279FD"/>
    <w:rsid w:val="003305E3"/>
    <w:rsid w:val="003326BE"/>
    <w:rsid w:val="003327F8"/>
    <w:rsid w:val="003351EC"/>
    <w:rsid w:val="00335F19"/>
    <w:rsid w:val="003363C7"/>
    <w:rsid w:val="00337FF7"/>
    <w:rsid w:val="00340AB4"/>
    <w:rsid w:val="00341177"/>
    <w:rsid w:val="00341311"/>
    <w:rsid w:val="00341589"/>
    <w:rsid w:val="00342BF7"/>
    <w:rsid w:val="00343B25"/>
    <w:rsid w:val="003447B8"/>
    <w:rsid w:val="00345B8E"/>
    <w:rsid w:val="00351ACA"/>
    <w:rsid w:val="00352AE5"/>
    <w:rsid w:val="00352E4F"/>
    <w:rsid w:val="00355E53"/>
    <w:rsid w:val="00357648"/>
    <w:rsid w:val="00357AF7"/>
    <w:rsid w:val="00357C9B"/>
    <w:rsid w:val="00360662"/>
    <w:rsid w:val="00361B27"/>
    <w:rsid w:val="00364275"/>
    <w:rsid w:val="00364C3B"/>
    <w:rsid w:val="00371F53"/>
    <w:rsid w:val="00372E1B"/>
    <w:rsid w:val="003743C8"/>
    <w:rsid w:val="00376200"/>
    <w:rsid w:val="00383294"/>
    <w:rsid w:val="00383B67"/>
    <w:rsid w:val="00383F3F"/>
    <w:rsid w:val="00384342"/>
    <w:rsid w:val="003849ED"/>
    <w:rsid w:val="00385A4C"/>
    <w:rsid w:val="00387316"/>
    <w:rsid w:val="00387478"/>
    <w:rsid w:val="00392981"/>
    <w:rsid w:val="003945B1"/>
    <w:rsid w:val="00395CFA"/>
    <w:rsid w:val="003A1F83"/>
    <w:rsid w:val="003A27D2"/>
    <w:rsid w:val="003A2D7B"/>
    <w:rsid w:val="003A453B"/>
    <w:rsid w:val="003A5349"/>
    <w:rsid w:val="003A6C35"/>
    <w:rsid w:val="003A73D4"/>
    <w:rsid w:val="003A74BF"/>
    <w:rsid w:val="003A7D40"/>
    <w:rsid w:val="003B032B"/>
    <w:rsid w:val="003B122C"/>
    <w:rsid w:val="003B2756"/>
    <w:rsid w:val="003C288C"/>
    <w:rsid w:val="003C31EE"/>
    <w:rsid w:val="003C35F9"/>
    <w:rsid w:val="003C5417"/>
    <w:rsid w:val="003C7721"/>
    <w:rsid w:val="003D081D"/>
    <w:rsid w:val="003D2E2F"/>
    <w:rsid w:val="003D3F4D"/>
    <w:rsid w:val="003D44F4"/>
    <w:rsid w:val="003E0E66"/>
    <w:rsid w:val="003E4982"/>
    <w:rsid w:val="003E63B3"/>
    <w:rsid w:val="003E68F4"/>
    <w:rsid w:val="003E7AA9"/>
    <w:rsid w:val="003F17B9"/>
    <w:rsid w:val="003F3349"/>
    <w:rsid w:val="003F5457"/>
    <w:rsid w:val="00400709"/>
    <w:rsid w:val="00403152"/>
    <w:rsid w:val="00403AAA"/>
    <w:rsid w:val="00406000"/>
    <w:rsid w:val="00412707"/>
    <w:rsid w:val="0041341E"/>
    <w:rsid w:val="00413539"/>
    <w:rsid w:val="0041396D"/>
    <w:rsid w:val="00415A92"/>
    <w:rsid w:val="0041730D"/>
    <w:rsid w:val="00420A1D"/>
    <w:rsid w:val="00420E02"/>
    <w:rsid w:val="004217CD"/>
    <w:rsid w:val="004219CB"/>
    <w:rsid w:val="0042205F"/>
    <w:rsid w:val="004228CD"/>
    <w:rsid w:val="00422F3E"/>
    <w:rsid w:val="004230DE"/>
    <w:rsid w:val="0042401A"/>
    <w:rsid w:val="0042527A"/>
    <w:rsid w:val="00425D65"/>
    <w:rsid w:val="00426354"/>
    <w:rsid w:val="004309E9"/>
    <w:rsid w:val="00433E9C"/>
    <w:rsid w:val="004369B4"/>
    <w:rsid w:val="00437C95"/>
    <w:rsid w:val="00441E77"/>
    <w:rsid w:val="00443639"/>
    <w:rsid w:val="00444CCA"/>
    <w:rsid w:val="004450BD"/>
    <w:rsid w:val="004453CE"/>
    <w:rsid w:val="00445A3B"/>
    <w:rsid w:val="00445C4E"/>
    <w:rsid w:val="00446742"/>
    <w:rsid w:val="0044711C"/>
    <w:rsid w:val="004507BE"/>
    <w:rsid w:val="0045475F"/>
    <w:rsid w:val="00462000"/>
    <w:rsid w:val="004643BF"/>
    <w:rsid w:val="00466C98"/>
    <w:rsid w:val="00467C3F"/>
    <w:rsid w:val="00467CE4"/>
    <w:rsid w:val="0047710F"/>
    <w:rsid w:val="00481777"/>
    <w:rsid w:val="004821D6"/>
    <w:rsid w:val="004842A7"/>
    <w:rsid w:val="00490BDE"/>
    <w:rsid w:val="00494504"/>
    <w:rsid w:val="004957EC"/>
    <w:rsid w:val="00496F8D"/>
    <w:rsid w:val="004A4FD7"/>
    <w:rsid w:val="004A568F"/>
    <w:rsid w:val="004A7400"/>
    <w:rsid w:val="004B201A"/>
    <w:rsid w:val="004B41B9"/>
    <w:rsid w:val="004B4A44"/>
    <w:rsid w:val="004B64F3"/>
    <w:rsid w:val="004B7AD3"/>
    <w:rsid w:val="004C33EA"/>
    <w:rsid w:val="004C36CF"/>
    <w:rsid w:val="004C4A3E"/>
    <w:rsid w:val="004C4ED7"/>
    <w:rsid w:val="004C59EA"/>
    <w:rsid w:val="004C65C6"/>
    <w:rsid w:val="004C660D"/>
    <w:rsid w:val="004C7161"/>
    <w:rsid w:val="004C7E92"/>
    <w:rsid w:val="004D0699"/>
    <w:rsid w:val="004D0E7B"/>
    <w:rsid w:val="004D1529"/>
    <w:rsid w:val="004D19CE"/>
    <w:rsid w:val="004D23F6"/>
    <w:rsid w:val="004D2ED0"/>
    <w:rsid w:val="004D4522"/>
    <w:rsid w:val="004D5F55"/>
    <w:rsid w:val="004D7576"/>
    <w:rsid w:val="004E01E9"/>
    <w:rsid w:val="004E03C0"/>
    <w:rsid w:val="004E3E40"/>
    <w:rsid w:val="004E4831"/>
    <w:rsid w:val="004E570D"/>
    <w:rsid w:val="004E617D"/>
    <w:rsid w:val="004E6400"/>
    <w:rsid w:val="004E642E"/>
    <w:rsid w:val="004E6924"/>
    <w:rsid w:val="004E6A61"/>
    <w:rsid w:val="004E6E33"/>
    <w:rsid w:val="004E702A"/>
    <w:rsid w:val="004F0C2D"/>
    <w:rsid w:val="004F3D7E"/>
    <w:rsid w:val="004F4630"/>
    <w:rsid w:val="004F521E"/>
    <w:rsid w:val="004F6FEE"/>
    <w:rsid w:val="00500EB4"/>
    <w:rsid w:val="00501CD2"/>
    <w:rsid w:val="00503974"/>
    <w:rsid w:val="0050439B"/>
    <w:rsid w:val="0050529F"/>
    <w:rsid w:val="00506A51"/>
    <w:rsid w:val="00510974"/>
    <w:rsid w:val="005110C3"/>
    <w:rsid w:val="00514B5E"/>
    <w:rsid w:val="005157C1"/>
    <w:rsid w:val="00515954"/>
    <w:rsid w:val="00515E3D"/>
    <w:rsid w:val="00516493"/>
    <w:rsid w:val="00516A6B"/>
    <w:rsid w:val="00517E14"/>
    <w:rsid w:val="005208AC"/>
    <w:rsid w:val="00521876"/>
    <w:rsid w:val="0052286C"/>
    <w:rsid w:val="00522AB9"/>
    <w:rsid w:val="005265B9"/>
    <w:rsid w:val="005307E8"/>
    <w:rsid w:val="0053175E"/>
    <w:rsid w:val="005321C4"/>
    <w:rsid w:val="00533533"/>
    <w:rsid w:val="00534CCB"/>
    <w:rsid w:val="00535C99"/>
    <w:rsid w:val="00535E24"/>
    <w:rsid w:val="00537E02"/>
    <w:rsid w:val="00542718"/>
    <w:rsid w:val="00543224"/>
    <w:rsid w:val="005440F6"/>
    <w:rsid w:val="00544CCD"/>
    <w:rsid w:val="0054557A"/>
    <w:rsid w:val="00546DD6"/>
    <w:rsid w:val="0055172C"/>
    <w:rsid w:val="00551D4D"/>
    <w:rsid w:val="005522BD"/>
    <w:rsid w:val="0055771D"/>
    <w:rsid w:val="005604F0"/>
    <w:rsid w:val="00562D0D"/>
    <w:rsid w:val="00563377"/>
    <w:rsid w:val="005647D8"/>
    <w:rsid w:val="00565055"/>
    <w:rsid w:val="00565635"/>
    <w:rsid w:val="005673B2"/>
    <w:rsid w:val="00567FCF"/>
    <w:rsid w:val="00570765"/>
    <w:rsid w:val="00571521"/>
    <w:rsid w:val="005732BD"/>
    <w:rsid w:val="005733F9"/>
    <w:rsid w:val="00573E59"/>
    <w:rsid w:val="00575295"/>
    <w:rsid w:val="005754A8"/>
    <w:rsid w:val="00576625"/>
    <w:rsid w:val="005801B9"/>
    <w:rsid w:val="00581C01"/>
    <w:rsid w:val="0058242D"/>
    <w:rsid w:val="00582714"/>
    <w:rsid w:val="00582CAB"/>
    <w:rsid w:val="005845CB"/>
    <w:rsid w:val="0058498A"/>
    <w:rsid w:val="00586350"/>
    <w:rsid w:val="00593C69"/>
    <w:rsid w:val="0059458A"/>
    <w:rsid w:val="0059461A"/>
    <w:rsid w:val="00597520"/>
    <w:rsid w:val="005A18C5"/>
    <w:rsid w:val="005A1B58"/>
    <w:rsid w:val="005A3ED5"/>
    <w:rsid w:val="005A511C"/>
    <w:rsid w:val="005A5243"/>
    <w:rsid w:val="005A55EE"/>
    <w:rsid w:val="005A5FA8"/>
    <w:rsid w:val="005A632E"/>
    <w:rsid w:val="005A7CF6"/>
    <w:rsid w:val="005B2DE6"/>
    <w:rsid w:val="005B42EE"/>
    <w:rsid w:val="005B4F7A"/>
    <w:rsid w:val="005B537E"/>
    <w:rsid w:val="005B7029"/>
    <w:rsid w:val="005B7C71"/>
    <w:rsid w:val="005C2F90"/>
    <w:rsid w:val="005C3E9C"/>
    <w:rsid w:val="005C4615"/>
    <w:rsid w:val="005C4A6B"/>
    <w:rsid w:val="005C5842"/>
    <w:rsid w:val="005C5C1A"/>
    <w:rsid w:val="005C661F"/>
    <w:rsid w:val="005D2188"/>
    <w:rsid w:val="005D2A59"/>
    <w:rsid w:val="005D351A"/>
    <w:rsid w:val="005D5181"/>
    <w:rsid w:val="005E4462"/>
    <w:rsid w:val="005F033D"/>
    <w:rsid w:val="005F0C00"/>
    <w:rsid w:val="005F0C27"/>
    <w:rsid w:val="005F13ED"/>
    <w:rsid w:val="005F15ED"/>
    <w:rsid w:val="005F22B4"/>
    <w:rsid w:val="005F33F2"/>
    <w:rsid w:val="005F460C"/>
    <w:rsid w:val="005F51F6"/>
    <w:rsid w:val="005F6D75"/>
    <w:rsid w:val="005F74D0"/>
    <w:rsid w:val="00600404"/>
    <w:rsid w:val="0060091A"/>
    <w:rsid w:val="0060117A"/>
    <w:rsid w:val="00605B94"/>
    <w:rsid w:val="00611ED3"/>
    <w:rsid w:val="00612E14"/>
    <w:rsid w:val="006158C9"/>
    <w:rsid w:val="00617F30"/>
    <w:rsid w:val="00621261"/>
    <w:rsid w:val="0062598A"/>
    <w:rsid w:val="00625A52"/>
    <w:rsid w:val="0062686B"/>
    <w:rsid w:val="006270AD"/>
    <w:rsid w:val="00631438"/>
    <w:rsid w:val="00633918"/>
    <w:rsid w:val="00633A74"/>
    <w:rsid w:val="00633CA6"/>
    <w:rsid w:val="006351BC"/>
    <w:rsid w:val="00635BF5"/>
    <w:rsid w:val="00635C3F"/>
    <w:rsid w:val="00637549"/>
    <w:rsid w:val="00641A0A"/>
    <w:rsid w:val="00642A6F"/>
    <w:rsid w:val="00642E50"/>
    <w:rsid w:val="00644714"/>
    <w:rsid w:val="00645377"/>
    <w:rsid w:val="00645F9A"/>
    <w:rsid w:val="00646049"/>
    <w:rsid w:val="00647FBA"/>
    <w:rsid w:val="006519D2"/>
    <w:rsid w:val="006521EA"/>
    <w:rsid w:val="0065268F"/>
    <w:rsid w:val="0065391A"/>
    <w:rsid w:val="00655332"/>
    <w:rsid w:val="006558FD"/>
    <w:rsid w:val="0065679C"/>
    <w:rsid w:val="00657108"/>
    <w:rsid w:val="00660AAE"/>
    <w:rsid w:val="00661BE9"/>
    <w:rsid w:val="00663306"/>
    <w:rsid w:val="00663313"/>
    <w:rsid w:val="00663909"/>
    <w:rsid w:val="00663E95"/>
    <w:rsid w:val="00665233"/>
    <w:rsid w:val="006659FF"/>
    <w:rsid w:val="006671BC"/>
    <w:rsid w:val="006679C0"/>
    <w:rsid w:val="0067299B"/>
    <w:rsid w:val="00673287"/>
    <w:rsid w:val="006753F1"/>
    <w:rsid w:val="00680473"/>
    <w:rsid w:val="00680679"/>
    <w:rsid w:val="0068146D"/>
    <w:rsid w:val="00682DB1"/>
    <w:rsid w:val="00683FFB"/>
    <w:rsid w:val="0068768A"/>
    <w:rsid w:val="00690BEA"/>
    <w:rsid w:val="0069408A"/>
    <w:rsid w:val="006942E3"/>
    <w:rsid w:val="00695279"/>
    <w:rsid w:val="00697C69"/>
    <w:rsid w:val="006A01D0"/>
    <w:rsid w:val="006A21F7"/>
    <w:rsid w:val="006A3A97"/>
    <w:rsid w:val="006A5155"/>
    <w:rsid w:val="006B0644"/>
    <w:rsid w:val="006B0F12"/>
    <w:rsid w:val="006B29FB"/>
    <w:rsid w:val="006B2FD9"/>
    <w:rsid w:val="006B33A7"/>
    <w:rsid w:val="006B4151"/>
    <w:rsid w:val="006B5220"/>
    <w:rsid w:val="006C1260"/>
    <w:rsid w:val="006C2232"/>
    <w:rsid w:val="006C3281"/>
    <w:rsid w:val="006C38F2"/>
    <w:rsid w:val="006C518D"/>
    <w:rsid w:val="006C6800"/>
    <w:rsid w:val="006D0BC5"/>
    <w:rsid w:val="006D2CF2"/>
    <w:rsid w:val="006D2E37"/>
    <w:rsid w:val="006D34C3"/>
    <w:rsid w:val="006D3BD6"/>
    <w:rsid w:val="006D737B"/>
    <w:rsid w:val="006E2AFF"/>
    <w:rsid w:val="006E327C"/>
    <w:rsid w:val="006E3887"/>
    <w:rsid w:val="006E7795"/>
    <w:rsid w:val="006E7E9F"/>
    <w:rsid w:val="006E7FA8"/>
    <w:rsid w:val="006F00DB"/>
    <w:rsid w:val="006F2842"/>
    <w:rsid w:val="006F39CF"/>
    <w:rsid w:val="006F4623"/>
    <w:rsid w:val="006F4B40"/>
    <w:rsid w:val="00701FEA"/>
    <w:rsid w:val="007034D2"/>
    <w:rsid w:val="007040D1"/>
    <w:rsid w:val="00705A00"/>
    <w:rsid w:val="007069F7"/>
    <w:rsid w:val="00706DE1"/>
    <w:rsid w:val="00710059"/>
    <w:rsid w:val="00710337"/>
    <w:rsid w:val="007110C9"/>
    <w:rsid w:val="00711DBC"/>
    <w:rsid w:val="00712349"/>
    <w:rsid w:val="00712FCE"/>
    <w:rsid w:val="007131CA"/>
    <w:rsid w:val="00714BA3"/>
    <w:rsid w:val="0071537B"/>
    <w:rsid w:val="007167AE"/>
    <w:rsid w:val="00717FD0"/>
    <w:rsid w:val="00721098"/>
    <w:rsid w:val="007242F3"/>
    <w:rsid w:val="0072495B"/>
    <w:rsid w:val="007264F1"/>
    <w:rsid w:val="007311E0"/>
    <w:rsid w:val="00732082"/>
    <w:rsid w:val="00734225"/>
    <w:rsid w:val="007360D3"/>
    <w:rsid w:val="0073644C"/>
    <w:rsid w:val="00736D2D"/>
    <w:rsid w:val="00737052"/>
    <w:rsid w:val="00737641"/>
    <w:rsid w:val="00737C72"/>
    <w:rsid w:val="00740CB4"/>
    <w:rsid w:val="00742495"/>
    <w:rsid w:val="00744C69"/>
    <w:rsid w:val="00744ECA"/>
    <w:rsid w:val="007452F9"/>
    <w:rsid w:val="0074660C"/>
    <w:rsid w:val="00747A52"/>
    <w:rsid w:val="00747B69"/>
    <w:rsid w:val="00750E77"/>
    <w:rsid w:val="00751449"/>
    <w:rsid w:val="007515D3"/>
    <w:rsid w:val="00755D95"/>
    <w:rsid w:val="00755E69"/>
    <w:rsid w:val="007562DA"/>
    <w:rsid w:val="00756B0E"/>
    <w:rsid w:val="00757BAA"/>
    <w:rsid w:val="00762B9C"/>
    <w:rsid w:val="00764E47"/>
    <w:rsid w:val="00766BCF"/>
    <w:rsid w:val="00767DA5"/>
    <w:rsid w:val="00767F39"/>
    <w:rsid w:val="007705BC"/>
    <w:rsid w:val="007726E1"/>
    <w:rsid w:val="00773004"/>
    <w:rsid w:val="00774F4B"/>
    <w:rsid w:val="007778DE"/>
    <w:rsid w:val="00782732"/>
    <w:rsid w:val="00783F2E"/>
    <w:rsid w:val="00784ED8"/>
    <w:rsid w:val="0079256F"/>
    <w:rsid w:val="0079307B"/>
    <w:rsid w:val="007941CF"/>
    <w:rsid w:val="00796E98"/>
    <w:rsid w:val="00796F48"/>
    <w:rsid w:val="007A1F1F"/>
    <w:rsid w:val="007A2A5E"/>
    <w:rsid w:val="007A31B2"/>
    <w:rsid w:val="007A3C6A"/>
    <w:rsid w:val="007A53C6"/>
    <w:rsid w:val="007A5821"/>
    <w:rsid w:val="007A6B87"/>
    <w:rsid w:val="007B0EBF"/>
    <w:rsid w:val="007B12EF"/>
    <w:rsid w:val="007B3DFB"/>
    <w:rsid w:val="007B51E2"/>
    <w:rsid w:val="007B6F81"/>
    <w:rsid w:val="007B7FFD"/>
    <w:rsid w:val="007C0164"/>
    <w:rsid w:val="007C08B4"/>
    <w:rsid w:val="007C3236"/>
    <w:rsid w:val="007C7650"/>
    <w:rsid w:val="007D00CD"/>
    <w:rsid w:val="007D3C85"/>
    <w:rsid w:val="007D5D8D"/>
    <w:rsid w:val="007D608D"/>
    <w:rsid w:val="007D7A11"/>
    <w:rsid w:val="007E10A5"/>
    <w:rsid w:val="007E2A95"/>
    <w:rsid w:val="007E3D71"/>
    <w:rsid w:val="007E5227"/>
    <w:rsid w:val="007F0036"/>
    <w:rsid w:val="007F2841"/>
    <w:rsid w:val="007F3E30"/>
    <w:rsid w:val="0080096B"/>
    <w:rsid w:val="00800B90"/>
    <w:rsid w:val="008022AF"/>
    <w:rsid w:val="00802A66"/>
    <w:rsid w:val="00803EFB"/>
    <w:rsid w:val="00805ADD"/>
    <w:rsid w:val="00805AE0"/>
    <w:rsid w:val="00807166"/>
    <w:rsid w:val="008103A0"/>
    <w:rsid w:val="00810DE3"/>
    <w:rsid w:val="00812988"/>
    <w:rsid w:val="00812E49"/>
    <w:rsid w:val="00815D9E"/>
    <w:rsid w:val="00821541"/>
    <w:rsid w:val="00821A06"/>
    <w:rsid w:val="008220F3"/>
    <w:rsid w:val="00822273"/>
    <w:rsid w:val="008235DB"/>
    <w:rsid w:val="00826A3F"/>
    <w:rsid w:val="00826FE4"/>
    <w:rsid w:val="0082772C"/>
    <w:rsid w:val="00830647"/>
    <w:rsid w:val="00830E80"/>
    <w:rsid w:val="00832911"/>
    <w:rsid w:val="00833071"/>
    <w:rsid w:val="00833EB7"/>
    <w:rsid w:val="00834E4E"/>
    <w:rsid w:val="0084092F"/>
    <w:rsid w:val="0084302C"/>
    <w:rsid w:val="00844C87"/>
    <w:rsid w:val="00850A87"/>
    <w:rsid w:val="008529A3"/>
    <w:rsid w:val="008532FB"/>
    <w:rsid w:val="008540F0"/>
    <w:rsid w:val="008552C9"/>
    <w:rsid w:val="008568C0"/>
    <w:rsid w:val="00860155"/>
    <w:rsid w:val="008621FA"/>
    <w:rsid w:val="00864874"/>
    <w:rsid w:val="008654BF"/>
    <w:rsid w:val="00871CA1"/>
    <w:rsid w:val="00874985"/>
    <w:rsid w:val="00874F47"/>
    <w:rsid w:val="00876F16"/>
    <w:rsid w:val="00877D87"/>
    <w:rsid w:val="00880255"/>
    <w:rsid w:val="008810FA"/>
    <w:rsid w:val="00881ECE"/>
    <w:rsid w:val="00884878"/>
    <w:rsid w:val="00885B9C"/>
    <w:rsid w:val="00886D18"/>
    <w:rsid w:val="0089094A"/>
    <w:rsid w:val="00892303"/>
    <w:rsid w:val="0089310E"/>
    <w:rsid w:val="00894612"/>
    <w:rsid w:val="00894C1C"/>
    <w:rsid w:val="00894EDC"/>
    <w:rsid w:val="00896927"/>
    <w:rsid w:val="00897E16"/>
    <w:rsid w:val="008A144E"/>
    <w:rsid w:val="008A1CAC"/>
    <w:rsid w:val="008A310A"/>
    <w:rsid w:val="008A6603"/>
    <w:rsid w:val="008B5F65"/>
    <w:rsid w:val="008C0FBD"/>
    <w:rsid w:val="008C32B9"/>
    <w:rsid w:val="008C4903"/>
    <w:rsid w:val="008C5617"/>
    <w:rsid w:val="008C6687"/>
    <w:rsid w:val="008C70BD"/>
    <w:rsid w:val="008C79C7"/>
    <w:rsid w:val="008C7AC8"/>
    <w:rsid w:val="008D0155"/>
    <w:rsid w:val="008D0242"/>
    <w:rsid w:val="008D0C12"/>
    <w:rsid w:val="008D27EF"/>
    <w:rsid w:val="008D28DF"/>
    <w:rsid w:val="008D293B"/>
    <w:rsid w:val="008D2DC8"/>
    <w:rsid w:val="008D34F9"/>
    <w:rsid w:val="008D67F7"/>
    <w:rsid w:val="008D745E"/>
    <w:rsid w:val="008E27F7"/>
    <w:rsid w:val="008E29AB"/>
    <w:rsid w:val="008E2A55"/>
    <w:rsid w:val="008E44A5"/>
    <w:rsid w:val="008E45AC"/>
    <w:rsid w:val="008E4EF2"/>
    <w:rsid w:val="008F06F2"/>
    <w:rsid w:val="008F1E28"/>
    <w:rsid w:val="008F4C4B"/>
    <w:rsid w:val="008F5D80"/>
    <w:rsid w:val="008F7B8C"/>
    <w:rsid w:val="009006D2"/>
    <w:rsid w:val="00900E9B"/>
    <w:rsid w:val="00901C26"/>
    <w:rsid w:val="00903718"/>
    <w:rsid w:val="009056BD"/>
    <w:rsid w:val="00905C38"/>
    <w:rsid w:val="009103F3"/>
    <w:rsid w:val="009126A4"/>
    <w:rsid w:val="0091388D"/>
    <w:rsid w:val="0091562D"/>
    <w:rsid w:val="009163AF"/>
    <w:rsid w:val="00916D52"/>
    <w:rsid w:val="00920562"/>
    <w:rsid w:val="00921743"/>
    <w:rsid w:val="00923D3D"/>
    <w:rsid w:val="00924CCB"/>
    <w:rsid w:val="0092520A"/>
    <w:rsid w:val="00926250"/>
    <w:rsid w:val="0092741A"/>
    <w:rsid w:val="00927978"/>
    <w:rsid w:val="00932FAD"/>
    <w:rsid w:val="00936ECF"/>
    <w:rsid w:val="0093702F"/>
    <w:rsid w:val="00937307"/>
    <w:rsid w:val="0093731A"/>
    <w:rsid w:val="00941C9C"/>
    <w:rsid w:val="0094208C"/>
    <w:rsid w:val="0094296A"/>
    <w:rsid w:val="009445BA"/>
    <w:rsid w:val="0094475B"/>
    <w:rsid w:val="00944B08"/>
    <w:rsid w:val="00945130"/>
    <w:rsid w:val="00945B0A"/>
    <w:rsid w:val="00946F68"/>
    <w:rsid w:val="009472EC"/>
    <w:rsid w:val="009475F3"/>
    <w:rsid w:val="00951562"/>
    <w:rsid w:val="00951651"/>
    <w:rsid w:val="00951E74"/>
    <w:rsid w:val="00953CAB"/>
    <w:rsid w:val="00953E06"/>
    <w:rsid w:val="00954A35"/>
    <w:rsid w:val="00954EF3"/>
    <w:rsid w:val="0095603B"/>
    <w:rsid w:val="00957948"/>
    <w:rsid w:val="00957F54"/>
    <w:rsid w:val="009620E3"/>
    <w:rsid w:val="00966337"/>
    <w:rsid w:val="009668EF"/>
    <w:rsid w:val="0097092E"/>
    <w:rsid w:val="00970B1A"/>
    <w:rsid w:val="009713CF"/>
    <w:rsid w:val="00971B9C"/>
    <w:rsid w:val="009729A9"/>
    <w:rsid w:val="009761F8"/>
    <w:rsid w:val="00976AF1"/>
    <w:rsid w:val="00976FB3"/>
    <w:rsid w:val="0098030D"/>
    <w:rsid w:val="00981E62"/>
    <w:rsid w:val="009901BF"/>
    <w:rsid w:val="0099037D"/>
    <w:rsid w:val="009928E1"/>
    <w:rsid w:val="0099488A"/>
    <w:rsid w:val="00994D57"/>
    <w:rsid w:val="00996460"/>
    <w:rsid w:val="0099677B"/>
    <w:rsid w:val="009A1465"/>
    <w:rsid w:val="009A1E07"/>
    <w:rsid w:val="009A25EB"/>
    <w:rsid w:val="009A290D"/>
    <w:rsid w:val="009A72F2"/>
    <w:rsid w:val="009B0E36"/>
    <w:rsid w:val="009B4E4B"/>
    <w:rsid w:val="009B5190"/>
    <w:rsid w:val="009B5381"/>
    <w:rsid w:val="009B654F"/>
    <w:rsid w:val="009C16DF"/>
    <w:rsid w:val="009C1FDC"/>
    <w:rsid w:val="009C4804"/>
    <w:rsid w:val="009C52A4"/>
    <w:rsid w:val="009D0A0A"/>
    <w:rsid w:val="009D104E"/>
    <w:rsid w:val="009D1FDF"/>
    <w:rsid w:val="009D3524"/>
    <w:rsid w:val="009D5236"/>
    <w:rsid w:val="009D630F"/>
    <w:rsid w:val="009D7533"/>
    <w:rsid w:val="009D783C"/>
    <w:rsid w:val="009D7FD6"/>
    <w:rsid w:val="009E1667"/>
    <w:rsid w:val="009E1CA8"/>
    <w:rsid w:val="009E1FE2"/>
    <w:rsid w:val="009E28E1"/>
    <w:rsid w:val="009E34D2"/>
    <w:rsid w:val="009E38C1"/>
    <w:rsid w:val="009E5B43"/>
    <w:rsid w:val="009E6780"/>
    <w:rsid w:val="009E75C1"/>
    <w:rsid w:val="009E79EC"/>
    <w:rsid w:val="009E7B24"/>
    <w:rsid w:val="009F0D7B"/>
    <w:rsid w:val="009F0E61"/>
    <w:rsid w:val="009F0F61"/>
    <w:rsid w:val="009F27E6"/>
    <w:rsid w:val="009F3B0F"/>
    <w:rsid w:val="009F4D99"/>
    <w:rsid w:val="009F50F0"/>
    <w:rsid w:val="009F6623"/>
    <w:rsid w:val="009F6D59"/>
    <w:rsid w:val="00A00134"/>
    <w:rsid w:val="00A00420"/>
    <w:rsid w:val="00A00E71"/>
    <w:rsid w:val="00A01327"/>
    <w:rsid w:val="00A01597"/>
    <w:rsid w:val="00A018E7"/>
    <w:rsid w:val="00A0325B"/>
    <w:rsid w:val="00A03911"/>
    <w:rsid w:val="00A05140"/>
    <w:rsid w:val="00A06FC9"/>
    <w:rsid w:val="00A10BF5"/>
    <w:rsid w:val="00A10DE1"/>
    <w:rsid w:val="00A11D59"/>
    <w:rsid w:val="00A123C7"/>
    <w:rsid w:val="00A13029"/>
    <w:rsid w:val="00A14E44"/>
    <w:rsid w:val="00A14E66"/>
    <w:rsid w:val="00A17635"/>
    <w:rsid w:val="00A20730"/>
    <w:rsid w:val="00A21CA3"/>
    <w:rsid w:val="00A22538"/>
    <w:rsid w:val="00A233DC"/>
    <w:rsid w:val="00A23A36"/>
    <w:rsid w:val="00A24BB8"/>
    <w:rsid w:val="00A27E2B"/>
    <w:rsid w:val="00A3035F"/>
    <w:rsid w:val="00A31167"/>
    <w:rsid w:val="00A315CC"/>
    <w:rsid w:val="00A333A6"/>
    <w:rsid w:val="00A33B7B"/>
    <w:rsid w:val="00A34039"/>
    <w:rsid w:val="00A3552E"/>
    <w:rsid w:val="00A417FA"/>
    <w:rsid w:val="00A42760"/>
    <w:rsid w:val="00A443C7"/>
    <w:rsid w:val="00A44A28"/>
    <w:rsid w:val="00A458B3"/>
    <w:rsid w:val="00A45B60"/>
    <w:rsid w:val="00A45E73"/>
    <w:rsid w:val="00A5551F"/>
    <w:rsid w:val="00A608F2"/>
    <w:rsid w:val="00A61B0C"/>
    <w:rsid w:val="00A62B70"/>
    <w:rsid w:val="00A62E17"/>
    <w:rsid w:val="00A65CAA"/>
    <w:rsid w:val="00A662CF"/>
    <w:rsid w:val="00A678EA"/>
    <w:rsid w:val="00A70EBD"/>
    <w:rsid w:val="00A71934"/>
    <w:rsid w:val="00A766FD"/>
    <w:rsid w:val="00A80353"/>
    <w:rsid w:val="00A810C5"/>
    <w:rsid w:val="00A81198"/>
    <w:rsid w:val="00A820E7"/>
    <w:rsid w:val="00A82623"/>
    <w:rsid w:val="00A82DC9"/>
    <w:rsid w:val="00A82DF8"/>
    <w:rsid w:val="00A9333E"/>
    <w:rsid w:val="00A94EC5"/>
    <w:rsid w:val="00A9554E"/>
    <w:rsid w:val="00AA31F2"/>
    <w:rsid w:val="00AA406C"/>
    <w:rsid w:val="00AA4F9F"/>
    <w:rsid w:val="00AA5E1B"/>
    <w:rsid w:val="00AA7256"/>
    <w:rsid w:val="00AB0987"/>
    <w:rsid w:val="00AB267E"/>
    <w:rsid w:val="00AB344D"/>
    <w:rsid w:val="00AB3900"/>
    <w:rsid w:val="00AB4A6F"/>
    <w:rsid w:val="00AB7215"/>
    <w:rsid w:val="00AC005D"/>
    <w:rsid w:val="00AC14DE"/>
    <w:rsid w:val="00AC24F2"/>
    <w:rsid w:val="00AC2B59"/>
    <w:rsid w:val="00AC56C2"/>
    <w:rsid w:val="00AC5E19"/>
    <w:rsid w:val="00AC6F49"/>
    <w:rsid w:val="00AD083B"/>
    <w:rsid w:val="00AD2091"/>
    <w:rsid w:val="00AD2723"/>
    <w:rsid w:val="00AD445D"/>
    <w:rsid w:val="00AD593C"/>
    <w:rsid w:val="00AD68D3"/>
    <w:rsid w:val="00AD6F47"/>
    <w:rsid w:val="00AD7DAC"/>
    <w:rsid w:val="00AE2454"/>
    <w:rsid w:val="00AE2781"/>
    <w:rsid w:val="00AE4786"/>
    <w:rsid w:val="00AE5C52"/>
    <w:rsid w:val="00AE6D76"/>
    <w:rsid w:val="00AE6E0A"/>
    <w:rsid w:val="00AF045F"/>
    <w:rsid w:val="00AF0FA2"/>
    <w:rsid w:val="00AF0FDD"/>
    <w:rsid w:val="00AF5A70"/>
    <w:rsid w:val="00AF5C5C"/>
    <w:rsid w:val="00AF615B"/>
    <w:rsid w:val="00B01EFE"/>
    <w:rsid w:val="00B0326D"/>
    <w:rsid w:val="00B03FB1"/>
    <w:rsid w:val="00B04528"/>
    <w:rsid w:val="00B05CAD"/>
    <w:rsid w:val="00B0625E"/>
    <w:rsid w:val="00B15829"/>
    <w:rsid w:val="00B16DB3"/>
    <w:rsid w:val="00B17A9D"/>
    <w:rsid w:val="00B206FA"/>
    <w:rsid w:val="00B21C2F"/>
    <w:rsid w:val="00B249B7"/>
    <w:rsid w:val="00B24AD4"/>
    <w:rsid w:val="00B24F3A"/>
    <w:rsid w:val="00B2764E"/>
    <w:rsid w:val="00B3070C"/>
    <w:rsid w:val="00B30C5F"/>
    <w:rsid w:val="00B30E77"/>
    <w:rsid w:val="00B31AE6"/>
    <w:rsid w:val="00B33F27"/>
    <w:rsid w:val="00B34B88"/>
    <w:rsid w:val="00B37A25"/>
    <w:rsid w:val="00B37D63"/>
    <w:rsid w:val="00B40456"/>
    <w:rsid w:val="00B44032"/>
    <w:rsid w:val="00B451D0"/>
    <w:rsid w:val="00B456CC"/>
    <w:rsid w:val="00B478EF"/>
    <w:rsid w:val="00B51BAD"/>
    <w:rsid w:val="00B526DA"/>
    <w:rsid w:val="00B55BE4"/>
    <w:rsid w:val="00B564A3"/>
    <w:rsid w:val="00B56514"/>
    <w:rsid w:val="00B56551"/>
    <w:rsid w:val="00B57AE9"/>
    <w:rsid w:val="00B57CA2"/>
    <w:rsid w:val="00B638BD"/>
    <w:rsid w:val="00B6506C"/>
    <w:rsid w:val="00B65EB5"/>
    <w:rsid w:val="00B66555"/>
    <w:rsid w:val="00B7016E"/>
    <w:rsid w:val="00B71672"/>
    <w:rsid w:val="00B71F71"/>
    <w:rsid w:val="00B72CEC"/>
    <w:rsid w:val="00B73156"/>
    <w:rsid w:val="00B74929"/>
    <w:rsid w:val="00B7716B"/>
    <w:rsid w:val="00B777E6"/>
    <w:rsid w:val="00B80134"/>
    <w:rsid w:val="00B80707"/>
    <w:rsid w:val="00B80D58"/>
    <w:rsid w:val="00B83210"/>
    <w:rsid w:val="00B835C9"/>
    <w:rsid w:val="00B85DD5"/>
    <w:rsid w:val="00B861D4"/>
    <w:rsid w:val="00B8737A"/>
    <w:rsid w:val="00B87675"/>
    <w:rsid w:val="00B910DF"/>
    <w:rsid w:val="00B922B9"/>
    <w:rsid w:val="00B938C0"/>
    <w:rsid w:val="00B95043"/>
    <w:rsid w:val="00B9749F"/>
    <w:rsid w:val="00BA3026"/>
    <w:rsid w:val="00BA31A1"/>
    <w:rsid w:val="00BA3EFF"/>
    <w:rsid w:val="00BA4972"/>
    <w:rsid w:val="00BA5101"/>
    <w:rsid w:val="00BA5CCE"/>
    <w:rsid w:val="00BA5FE7"/>
    <w:rsid w:val="00BB128C"/>
    <w:rsid w:val="00BB1C24"/>
    <w:rsid w:val="00BB1CDB"/>
    <w:rsid w:val="00BB2580"/>
    <w:rsid w:val="00BB27EC"/>
    <w:rsid w:val="00BB37EE"/>
    <w:rsid w:val="00BB49CE"/>
    <w:rsid w:val="00BB530B"/>
    <w:rsid w:val="00BB58D3"/>
    <w:rsid w:val="00BC179B"/>
    <w:rsid w:val="00BC31B3"/>
    <w:rsid w:val="00BC3B57"/>
    <w:rsid w:val="00BC432E"/>
    <w:rsid w:val="00BC5660"/>
    <w:rsid w:val="00BC5795"/>
    <w:rsid w:val="00BC6774"/>
    <w:rsid w:val="00BC6C8B"/>
    <w:rsid w:val="00BC6EEF"/>
    <w:rsid w:val="00BC7980"/>
    <w:rsid w:val="00BD0614"/>
    <w:rsid w:val="00BD28C5"/>
    <w:rsid w:val="00BD2FEE"/>
    <w:rsid w:val="00BD4D43"/>
    <w:rsid w:val="00BD715F"/>
    <w:rsid w:val="00BD7695"/>
    <w:rsid w:val="00BE0322"/>
    <w:rsid w:val="00BE0D5C"/>
    <w:rsid w:val="00BE0EE1"/>
    <w:rsid w:val="00BE16BD"/>
    <w:rsid w:val="00BE4BDF"/>
    <w:rsid w:val="00BE4D66"/>
    <w:rsid w:val="00BE5980"/>
    <w:rsid w:val="00BE5FED"/>
    <w:rsid w:val="00BE65E4"/>
    <w:rsid w:val="00BE69F7"/>
    <w:rsid w:val="00BE7D81"/>
    <w:rsid w:val="00BF0AA7"/>
    <w:rsid w:val="00BF17AF"/>
    <w:rsid w:val="00BF2D20"/>
    <w:rsid w:val="00BF2F97"/>
    <w:rsid w:val="00C00765"/>
    <w:rsid w:val="00C00E26"/>
    <w:rsid w:val="00C0128E"/>
    <w:rsid w:val="00C01471"/>
    <w:rsid w:val="00C03A2E"/>
    <w:rsid w:val="00C04E74"/>
    <w:rsid w:val="00C05562"/>
    <w:rsid w:val="00C06287"/>
    <w:rsid w:val="00C06430"/>
    <w:rsid w:val="00C06FAF"/>
    <w:rsid w:val="00C0777B"/>
    <w:rsid w:val="00C12309"/>
    <w:rsid w:val="00C13D5A"/>
    <w:rsid w:val="00C20B3D"/>
    <w:rsid w:val="00C20D5E"/>
    <w:rsid w:val="00C23583"/>
    <w:rsid w:val="00C25547"/>
    <w:rsid w:val="00C26815"/>
    <w:rsid w:val="00C2774F"/>
    <w:rsid w:val="00C312CC"/>
    <w:rsid w:val="00C32FDB"/>
    <w:rsid w:val="00C33349"/>
    <w:rsid w:val="00C34205"/>
    <w:rsid w:val="00C352A1"/>
    <w:rsid w:val="00C36C11"/>
    <w:rsid w:val="00C36C67"/>
    <w:rsid w:val="00C3799A"/>
    <w:rsid w:val="00C4066A"/>
    <w:rsid w:val="00C40D0E"/>
    <w:rsid w:val="00C42882"/>
    <w:rsid w:val="00C469FC"/>
    <w:rsid w:val="00C50094"/>
    <w:rsid w:val="00C51CEA"/>
    <w:rsid w:val="00C51DF7"/>
    <w:rsid w:val="00C5255D"/>
    <w:rsid w:val="00C56BAB"/>
    <w:rsid w:val="00C57E14"/>
    <w:rsid w:val="00C602B7"/>
    <w:rsid w:val="00C60D92"/>
    <w:rsid w:val="00C61611"/>
    <w:rsid w:val="00C623BB"/>
    <w:rsid w:val="00C63048"/>
    <w:rsid w:val="00C641B3"/>
    <w:rsid w:val="00C65930"/>
    <w:rsid w:val="00C67124"/>
    <w:rsid w:val="00C67356"/>
    <w:rsid w:val="00C703E5"/>
    <w:rsid w:val="00C740F1"/>
    <w:rsid w:val="00C75AB0"/>
    <w:rsid w:val="00C76978"/>
    <w:rsid w:val="00C8033D"/>
    <w:rsid w:val="00C82AA4"/>
    <w:rsid w:val="00C8305C"/>
    <w:rsid w:val="00C844D6"/>
    <w:rsid w:val="00C848D5"/>
    <w:rsid w:val="00C85ADC"/>
    <w:rsid w:val="00C85FF6"/>
    <w:rsid w:val="00C86BB6"/>
    <w:rsid w:val="00C91269"/>
    <w:rsid w:val="00C9326B"/>
    <w:rsid w:val="00C95691"/>
    <w:rsid w:val="00C96A47"/>
    <w:rsid w:val="00C970CE"/>
    <w:rsid w:val="00CA1A3B"/>
    <w:rsid w:val="00CA1ECD"/>
    <w:rsid w:val="00CA4C7F"/>
    <w:rsid w:val="00CA5826"/>
    <w:rsid w:val="00CA7A13"/>
    <w:rsid w:val="00CB13B7"/>
    <w:rsid w:val="00CB4139"/>
    <w:rsid w:val="00CB4A51"/>
    <w:rsid w:val="00CB6437"/>
    <w:rsid w:val="00CB7087"/>
    <w:rsid w:val="00CB723D"/>
    <w:rsid w:val="00CC41EE"/>
    <w:rsid w:val="00CD061B"/>
    <w:rsid w:val="00CD0BF5"/>
    <w:rsid w:val="00CD0FA4"/>
    <w:rsid w:val="00CD1089"/>
    <w:rsid w:val="00CD1BCD"/>
    <w:rsid w:val="00CD41F8"/>
    <w:rsid w:val="00CD68FA"/>
    <w:rsid w:val="00CD6D61"/>
    <w:rsid w:val="00CD7D66"/>
    <w:rsid w:val="00CD7FFC"/>
    <w:rsid w:val="00CE0CF1"/>
    <w:rsid w:val="00CE2C6E"/>
    <w:rsid w:val="00CE2D75"/>
    <w:rsid w:val="00CE6C66"/>
    <w:rsid w:val="00CE799B"/>
    <w:rsid w:val="00CF046A"/>
    <w:rsid w:val="00CF2AB8"/>
    <w:rsid w:val="00CF30BB"/>
    <w:rsid w:val="00CF321C"/>
    <w:rsid w:val="00CF3E56"/>
    <w:rsid w:val="00CF4FE6"/>
    <w:rsid w:val="00CF556F"/>
    <w:rsid w:val="00CF5974"/>
    <w:rsid w:val="00D0030F"/>
    <w:rsid w:val="00D00745"/>
    <w:rsid w:val="00D0445F"/>
    <w:rsid w:val="00D05DA5"/>
    <w:rsid w:val="00D05F94"/>
    <w:rsid w:val="00D0608D"/>
    <w:rsid w:val="00D061D5"/>
    <w:rsid w:val="00D06E87"/>
    <w:rsid w:val="00D06EFC"/>
    <w:rsid w:val="00D074BF"/>
    <w:rsid w:val="00D07F3C"/>
    <w:rsid w:val="00D1197E"/>
    <w:rsid w:val="00D122E5"/>
    <w:rsid w:val="00D1619E"/>
    <w:rsid w:val="00D17820"/>
    <w:rsid w:val="00D206B3"/>
    <w:rsid w:val="00D2118E"/>
    <w:rsid w:val="00D219C1"/>
    <w:rsid w:val="00D22C33"/>
    <w:rsid w:val="00D27373"/>
    <w:rsid w:val="00D32833"/>
    <w:rsid w:val="00D33DA7"/>
    <w:rsid w:val="00D3476C"/>
    <w:rsid w:val="00D3507E"/>
    <w:rsid w:val="00D354D0"/>
    <w:rsid w:val="00D35B37"/>
    <w:rsid w:val="00D41D9A"/>
    <w:rsid w:val="00D42702"/>
    <w:rsid w:val="00D4378D"/>
    <w:rsid w:val="00D44DFC"/>
    <w:rsid w:val="00D461B0"/>
    <w:rsid w:val="00D472D8"/>
    <w:rsid w:val="00D51593"/>
    <w:rsid w:val="00D5255B"/>
    <w:rsid w:val="00D538F6"/>
    <w:rsid w:val="00D5457D"/>
    <w:rsid w:val="00D54EF5"/>
    <w:rsid w:val="00D5555E"/>
    <w:rsid w:val="00D56FF4"/>
    <w:rsid w:val="00D61E55"/>
    <w:rsid w:val="00D620C8"/>
    <w:rsid w:val="00D6213A"/>
    <w:rsid w:val="00D62212"/>
    <w:rsid w:val="00D62C59"/>
    <w:rsid w:val="00D65835"/>
    <w:rsid w:val="00D70223"/>
    <w:rsid w:val="00D702AC"/>
    <w:rsid w:val="00D73760"/>
    <w:rsid w:val="00D74036"/>
    <w:rsid w:val="00D802BD"/>
    <w:rsid w:val="00D806E2"/>
    <w:rsid w:val="00D808EE"/>
    <w:rsid w:val="00D82C27"/>
    <w:rsid w:val="00D83E2A"/>
    <w:rsid w:val="00D85E5F"/>
    <w:rsid w:val="00D87FE7"/>
    <w:rsid w:val="00D90279"/>
    <w:rsid w:val="00D911A9"/>
    <w:rsid w:val="00D91885"/>
    <w:rsid w:val="00D92427"/>
    <w:rsid w:val="00D9257A"/>
    <w:rsid w:val="00D93663"/>
    <w:rsid w:val="00D94097"/>
    <w:rsid w:val="00D95DDC"/>
    <w:rsid w:val="00D96B60"/>
    <w:rsid w:val="00D973A5"/>
    <w:rsid w:val="00DA0634"/>
    <w:rsid w:val="00DA3E6F"/>
    <w:rsid w:val="00DA40E4"/>
    <w:rsid w:val="00DA61AF"/>
    <w:rsid w:val="00DA62C5"/>
    <w:rsid w:val="00DA76BE"/>
    <w:rsid w:val="00DA7CB8"/>
    <w:rsid w:val="00DA7DA7"/>
    <w:rsid w:val="00DA7F10"/>
    <w:rsid w:val="00DB0871"/>
    <w:rsid w:val="00DB0CB2"/>
    <w:rsid w:val="00DB1A08"/>
    <w:rsid w:val="00DB2986"/>
    <w:rsid w:val="00DC08BC"/>
    <w:rsid w:val="00DC1F63"/>
    <w:rsid w:val="00DC45E2"/>
    <w:rsid w:val="00DC7247"/>
    <w:rsid w:val="00DD1011"/>
    <w:rsid w:val="00DD1814"/>
    <w:rsid w:val="00DD7205"/>
    <w:rsid w:val="00DE221F"/>
    <w:rsid w:val="00DE3586"/>
    <w:rsid w:val="00DE3A2A"/>
    <w:rsid w:val="00DE4A7A"/>
    <w:rsid w:val="00DE55E6"/>
    <w:rsid w:val="00DE56AF"/>
    <w:rsid w:val="00DE5DBB"/>
    <w:rsid w:val="00DF0D9A"/>
    <w:rsid w:val="00DF169D"/>
    <w:rsid w:val="00DF16E6"/>
    <w:rsid w:val="00DF61D0"/>
    <w:rsid w:val="00DF7AE1"/>
    <w:rsid w:val="00E0241F"/>
    <w:rsid w:val="00E04482"/>
    <w:rsid w:val="00E04D37"/>
    <w:rsid w:val="00E05840"/>
    <w:rsid w:val="00E07968"/>
    <w:rsid w:val="00E10BA8"/>
    <w:rsid w:val="00E11B56"/>
    <w:rsid w:val="00E12448"/>
    <w:rsid w:val="00E14683"/>
    <w:rsid w:val="00E14A27"/>
    <w:rsid w:val="00E207DB"/>
    <w:rsid w:val="00E209E3"/>
    <w:rsid w:val="00E21EFB"/>
    <w:rsid w:val="00E2267F"/>
    <w:rsid w:val="00E23155"/>
    <w:rsid w:val="00E235D4"/>
    <w:rsid w:val="00E25FBA"/>
    <w:rsid w:val="00E270B7"/>
    <w:rsid w:val="00E27A5E"/>
    <w:rsid w:val="00E27C9F"/>
    <w:rsid w:val="00E30654"/>
    <w:rsid w:val="00E3138B"/>
    <w:rsid w:val="00E3166D"/>
    <w:rsid w:val="00E31A7C"/>
    <w:rsid w:val="00E33590"/>
    <w:rsid w:val="00E34B78"/>
    <w:rsid w:val="00E359A4"/>
    <w:rsid w:val="00E36554"/>
    <w:rsid w:val="00E36A50"/>
    <w:rsid w:val="00E36B33"/>
    <w:rsid w:val="00E41B22"/>
    <w:rsid w:val="00E43C87"/>
    <w:rsid w:val="00E44BDB"/>
    <w:rsid w:val="00E44F8C"/>
    <w:rsid w:val="00E47037"/>
    <w:rsid w:val="00E528EB"/>
    <w:rsid w:val="00E5370B"/>
    <w:rsid w:val="00E549E0"/>
    <w:rsid w:val="00E55D09"/>
    <w:rsid w:val="00E56811"/>
    <w:rsid w:val="00E56A3E"/>
    <w:rsid w:val="00E56CD8"/>
    <w:rsid w:val="00E6139F"/>
    <w:rsid w:val="00E61E1E"/>
    <w:rsid w:val="00E62387"/>
    <w:rsid w:val="00E62764"/>
    <w:rsid w:val="00E64B3B"/>
    <w:rsid w:val="00E675E3"/>
    <w:rsid w:val="00E67D97"/>
    <w:rsid w:val="00E70618"/>
    <w:rsid w:val="00E70971"/>
    <w:rsid w:val="00E71A05"/>
    <w:rsid w:val="00E72401"/>
    <w:rsid w:val="00E742BC"/>
    <w:rsid w:val="00E76B55"/>
    <w:rsid w:val="00E80AB0"/>
    <w:rsid w:val="00E8199D"/>
    <w:rsid w:val="00E8435E"/>
    <w:rsid w:val="00E90B9D"/>
    <w:rsid w:val="00E923F1"/>
    <w:rsid w:val="00E96A6F"/>
    <w:rsid w:val="00EA0228"/>
    <w:rsid w:val="00EA1B79"/>
    <w:rsid w:val="00EA42B1"/>
    <w:rsid w:val="00EA4BDE"/>
    <w:rsid w:val="00EA550D"/>
    <w:rsid w:val="00EA6B94"/>
    <w:rsid w:val="00EA6D03"/>
    <w:rsid w:val="00EB1740"/>
    <w:rsid w:val="00EB1D3D"/>
    <w:rsid w:val="00EB3D8A"/>
    <w:rsid w:val="00EB4AF9"/>
    <w:rsid w:val="00EB5B09"/>
    <w:rsid w:val="00EB6139"/>
    <w:rsid w:val="00EB711D"/>
    <w:rsid w:val="00EC0476"/>
    <w:rsid w:val="00EC0A97"/>
    <w:rsid w:val="00EC0F2C"/>
    <w:rsid w:val="00EC48CC"/>
    <w:rsid w:val="00EC6412"/>
    <w:rsid w:val="00EC71ED"/>
    <w:rsid w:val="00EC7486"/>
    <w:rsid w:val="00ED04F4"/>
    <w:rsid w:val="00ED1EC2"/>
    <w:rsid w:val="00ED24D2"/>
    <w:rsid w:val="00ED2536"/>
    <w:rsid w:val="00ED27A5"/>
    <w:rsid w:val="00ED609C"/>
    <w:rsid w:val="00ED7B38"/>
    <w:rsid w:val="00EE0057"/>
    <w:rsid w:val="00EE0E84"/>
    <w:rsid w:val="00EE1014"/>
    <w:rsid w:val="00EE120A"/>
    <w:rsid w:val="00EE208F"/>
    <w:rsid w:val="00EE308D"/>
    <w:rsid w:val="00EE44C9"/>
    <w:rsid w:val="00EE467F"/>
    <w:rsid w:val="00EE6FB8"/>
    <w:rsid w:val="00EE76DA"/>
    <w:rsid w:val="00EF087C"/>
    <w:rsid w:val="00EF120C"/>
    <w:rsid w:val="00EF2769"/>
    <w:rsid w:val="00EF366A"/>
    <w:rsid w:val="00EF4DF3"/>
    <w:rsid w:val="00EF7609"/>
    <w:rsid w:val="00F02F28"/>
    <w:rsid w:val="00F0799D"/>
    <w:rsid w:val="00F117C7"/>
    <w:rsid w:val="00F12744"/>
    <w:rsid w:val="00F131B1"/>
    <w:rsid w:val="00F13F24"/>
    <w:rsid w:val="00F1419E"/>
    <w:rsid w:val="00F1472A"/>
    <w:rsid w:val="00F162E6"/>
    <w:rsid w:val="00F17EB4"/>
    <w:rsid w:val="00F209D8"/>
    <w:rsid w:val="00F235EB"/>
    <w:rsid w:val="00F254FA"/>
    <w:rsid w:val="00F258D1"/>
    <w:rsid w:val="00F27ED1"/>
    <w:rsid w:val="00F30CF8"/>
    <w:rsid w:val="00F31315"/>
    <w:rsid w:val="00F31EFA"/>
    <w:rsid w:val="00F37B64"/>
    <w:rsid w:val="00F40408"/>
    <w:rsid w:val="00F40442"/>
    <w:rsid w:val="00F42301"/>
    <w:rsid w:val="00F42B66"/>
    <w:rsid w:val="00F42F5E"/>
    <w:rsid w:val="00F431FA"/>
    <w:rsid w:val="00F43BA3"/>
    <w:rsid w:val="00F44838"/>
    <w:rsid w:val="00F46297"/>
    <w:rsid w:val="00F46ABC"/>
    <w:rsid w:val="00F470B9"/>
    <w:rsid w:val="00F5172B"/>
    <w:rsid w:val="00F53655"/>
    <w:rsid w:val="00F53C1E"/>
    <w:rsid w:val="00F55290"/>
    <w:rsid w:val="00F55956"/>
    <w:rsid w:val="00F55E8F"/>
    <w:rsid w:val="00F56CA9"/>
    <w:rsid w:val="00F6071E"/>
    <w:rsid w:val="00F614AD"/>
    <w:rsid w:val="00F616C5"/>
    <w:rsid w:val="00F62CFC"/>
    <w:rsid w:val="00F639E2"/>
    <w:rsid w:val="00F63BCF"/>
    <w:rsid w:val="00F65284"/>
    <w:rsid w:val="00F66CA6"/>
    <w:rsid w:val="00F711FF"/>
    <w:rsid w:val="00F71512"/>
    <w:rsid w:val="00F71524"/>
    <w:rsid w:val="00F72062"/>
    <w:rsid w:val="00F74363"/>
    <w:rsid w:val="00F74FA5"/>
    <w:rsid w:val="00F7658C"/>
    <w:rsid w:val="00F769FF"/>
    <w:rsid w:val="00F775C5"/>
    <w:rsid w:val="00F77E6A"/>
    <w:rsid w:val="00F81D93"/>
    <w:rsid w:val="00F81F21"/>
    <w:rsid w:val="00F831FB"/>
    <w:rsid w:val="00F84352"/>
    <w:rsid w:val="00F86C62"/>
    <w:rsid w:val="00F87626"/>
    <w:rsid w:val="00F903DC"/>
    <w:rsid w:val="00F907B5"/>
    <w:rsid w:val="00F93164"/>
    <w:rsid w:val="00F93332"/>
    <w:rsid w:val="00F940A3"/>
    <w:rsid w:val="00F9413F"/>
    <w:rsid w:val="00F94A2D"/>
    <w:rsid w:val="00F94D21"/>
    <w:rsid w:val="00F955AB"/>
    <w:rsid w:val="00F96E6D"/>
    <w:rsid w:val="00FA11D0"/>
    <w:rsid w:val="00FA14EB"/>
    <w:rsid w:val="00FA344A"/>
    <w:rsid w:val="00FA39DE"/>
    <w:rsid w:val="00FA406D"/>
    <w:rsid w:val="00FA44DE"/>
    <w:rsid w:val="00FA4570"/>
    <w:rsid w:val="00FA690F"/>
    <w:rsid w:val="00FB2E36"/>
    <w:rsid w:val="00FB361A"/>
    <w:rsid w:val="00FB3748"/>
    <w:rsid w:val="00FB5056"/>
    <w:rsid w:val="00FC015B"/>
    <w:rsid w:val="00FC019D"/>
    <w:rsid w:val="00FC1929"/>
    <w:rsid w:val="00FC19A6"/>
    <w:rsid w:val="00FC3C87"/>
    <w:rsid w:val="00FC47B0"/>
    <w:rsid w:val="00FC4930"/>
    <w:rsid w:val="00FD0CB0"/>
    <w:rsid w:val="00FD1315"/>
    <w:rsid w:val="00FD19F3"/>
    <w:rsid w:val="00FD2EF4"/>
    <w:rsid w:val="00FD3332"/>
    <w:rsid w:val="00FD3E92"/>
    <w:rsid w:val="00FD4262"/>
    <w:rsid w:val="00FD7BD8"/>
    <w:rsid w:val="00FE1536"/>
    <w:rsid w:val="00FE1F9B"/>
    <w:rsid w:val="00FE23E1"/>
    <w:rsid w:val="00FE25EE"/>
    <w:rsid w:val="00FE4491"/>
    <w:rsid w:val="00FE534C"/>
    <w:rsid w:val="00FE5718"/>
    <w:rsid w:val="00FE68CD"/>
    <w:rsid w:val="00FF061A"/>
    <w:rsid w:val="00FF2137"/>
    <w:rsid w:val="00FF2D07"/>
    <w:rsid w:val="00FF3DA4"/>
    <w:rsid w:val="00FF49AD"/>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footnote reference" w:uiPriority="0" w:qFormat="1"/>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25C36"/>
    <w:pPr>
      <w:spacing w:after="0" w:line="240" w:lineRule="auto"/>
    </w:pPr>
    <w:rPr>
      <w:rFonts w:ascii="Arial" w:eastAsia="Times New Roman" w:hAnsi="Arial" w:cs="Times New Roman"/>
      <w:sz w:val="16"/>
      <w:szCs w:val="24"/>
      <w:lang w:eastAsia="en-US"/>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uiPriority w:val="9"/>
    <w:qFormat/>
    <w:rsid w:val="009E79EC"/>
    <w:pPr>
      <w:numPr>
        <w:ilvl w:val="3"/>
        <w:numId w:val="1"/>
      </w:numPr>
      <w:spacing w:before="320" w:after="0"/>
      <w:outlineLvl w:val="3"/>
    </w:pPr>
    <w:rPr>
      <w:b w:val="0"/>
    </w:rPr>
  </w:style>
  <w:style w:type="paragraph" w:styleId="Heading5">
    <w:name w:val="heading 5"/>
    <w:basedOn w:val="BodyText"/>
    <w:next w:val="BodyText"/>
    <w:link w:val="Heading5Char"/>
    <w:uiPriority w:val="9"/>
    <w:qFormat/>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uiPriority w:val="9"/>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uiPriority w:val="9"/>
    <w:rsid w:val="009E79EC"/>
    <w:rPr>
      <w:rFonts w:ascii="Helvetica" w:eastAsia="Times New Roman" w:hAnsi="Helvetica" w:cs="Times New Roman"/>
      <w:b/>
      <w:color w:val="A8A5A8"/>
      <w:szCs w:val="24"/>
      <w:lang w:eastAsia="en-US"/>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56328"/>
    <w:pPr>
      <w:keepNext/>
      <w:spacing w:before="80" w:after="80" w:line="280" w:lineRule="atLeast"/>
    </w:pPr>
    <w:rPr>
      <w:rFonts w:ascii="Franklin Gothic Book"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uiPriority w:val="99"/>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iPriority w:val="99"/>
    <w:semiHidden/>
    <w:unhideWhenUsed/>
    <w:rsid w:val="009E79EC"/>
    <w:rPr>
      <w:rFonts w:ascii="Franklin Gothic Book" w:hAnsi="Franklin Gothic Book" w:cs="Tahoma"/>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uiPriority w:val="99"/>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56328"/>
    <w:rPr>
      <w:rFonts w:ascii="Franklin Gothic Book" w:eastAsia="Times New Roman" w:hAnsi="Franklin Gothic Book" w:cs="Arial"/>
      <w:b/>
      <w:sz w:val="16"/>
      <w:szCs w:val="19"/>
      <w:lang w:eastAsia="en-US"/>
    </w:r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ECG) Footnote Reference,Ref,de nota al pie,FnR-ANZDEC,Fußnotenzeichen DISS,Footnote Ref in FtNote,SUPERS,BVI fnr,Normal + Font:9 Point,Superscript 3 Point Times,Footnote text,FNRefe"/>
    <w:qFormat/>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cs="Arial"/>
      <w:szCs w:val="22"/>
    </w:rPr>
  </w:style>
  <w:style w:type="character" w:customStyle="1" w:styleId="List-bullet-1Char">
    <w:name w:val="List-bullet-1 Char"/>
    <w:link w:val="List-bullet-1"/>
    <w:rsid w:val="00FD7BD8"/>
    <w:rPr>
      <w:rFonts w:ascii="Arial" w:eastAsia="Times New Roman" w:hAnsi="Arial" w:cs="Arial"/>
      <w:sz w:val="16"/>
      <w:lang w:eastAsia="en-US"/>
    </w:rPr>
  </w:style>
  <w:style w:type="paragraph" w:styleId="ListParagraph">
    <w:name w:val="List Paragraph"/>
    <w:aliases w:val="List Paragraph1,Recommendation,List Paragraph11,List Paragraph2,Bullets,Main numbered paragraph,Numbered 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FiguresChar">
    <w:name w:val="Figures Char"/>
    <w:basedOn w:val="DefaultParagraphFont"/>
    <w:link w:val="Figures"/>
    <w:locked/>
    <w:rsid w:val="00C25547"/>
    <w:rPr>
      <w:rFonts w:ascii="Cambria" w:hAnsi="Cambria" w:cs="MetaSerifOT-Book"/>
      <w:b/>
      <w:bCs/>
      <w:color w:val="000000"/>
      <w:sz w:val="20"/>
    </w:rPr>
  </w:style>
  <w:style w:type="paragraph" w:customStyle="1" w:styleId="Figures">
    <w:name w:val="Figures"/>
    <w:basedOn w:val="Normal"/>
    <w:link w:val="FiguresChar"/>
    <w:qFormat/>
    <w:rsid w:val="00C25547"/>
    <w:pPr>
      <w:spacing w:after="200"/>
      <w:jc w:val="center"/>
    </w:pPr>
    <w:rPr>
      <w:rFonts w:ascii="Cambria" w:eastAsiaTheme="minorHAnsi" w:hAnsi="Cambria" w:cs="MetaSerifOT-Book"/>
      <w:b/>
      <w:bCs/>
      <w:color w:val="000000"/>
      <w:szCs w:val="22"/>
    </w:rPr>
  </w:style>
  <w:style w:type="character" w:customStyle="1" w:styleId="ListParagraphChar">
    <w:name w:val="List Paragraph Char"/>
    <w:aliases w:val="List Paragraph1 Char,Recommendation Char,List Paragraph11 Char,List Paragraph2 Char,Bullets Char,Main numbered paragraph Char,Numbered List Paragraph Char"/>
    <w:basedOn w:val="DefaultParagraphFont"/>
    <w:link w:val="ListParagraph"/>
    <w:uiPriority w:val="34"/>
    <w:locked/>
    <w:rsid w:val="00B85DD5"/>
    <w:rPr>
      <w:rFonts w:ascii="Times New Roman" w:eastAsia="Times New Roman" w:hAnsi="Times New Roman" w:cs="Times New Roman"/>
      <w:szCs w:val="24"/>
      <w:lang w:eastAsia="en-US"/>
    </w:rPr>
  </w:style>
  <w:style w:type="character" w:styleId="Emphasis">
    <w:name w:val="Emphasis"/>
    <w:basedOn w:val="DefaultParagraphFont"/>
    <w:uiPriority w:val="20"/>
    <w:qFormat/>
    <w:rsid w:val="00364C3B"/>
    <w:rPr>
      <w:i/>
      <w:iCs/>
    </w:rPr>
  </w:style>
  <w:style w:type="character" w:customStyle="1" w:styleId="st">
    <w:name w:val="st"/>
    <w:basedOn w:val="DefaultParagraphFont"/>
    <w:rsid w:val="001C52D2"/>
  </w:style>
  <w:style w:type="character" w:customStyle="1" w:styleId="BulletChar">
    <w:name w:val="Bullet Char"/>
    <w:aliases w:val="b Char,b + line Char Char"/>
    <w:link w:val="Bullet"/>
    <w:locked/>
    <w:rsid w:val="00325C36"/>
    <w:rPr>
      <w:rFonts w:ascii="Palatino" w:hAnsi="Palatino"/>
      <w:color w:val="000000"/>
    </w:rPr>
  </w:style>
  <w:style w:type="paragraph" w:customStyle="1" w:styleId="Bullet">
    <w:name w:val="Bullet"/>
    <w:aliases w:val="b,b + line"/>
    <w:basedOn w:val="Normal"/>
    <w:link w:val="BulletChar"/>
    <w:rsid w:val="00325C36"/>
    <w:pPr>
      <w:tabs>
        <w:tab w:val="num" w:pos="520"/>
      </w:tabs>
      <w:spacing w:after="240" w:line="320" w:lineRule="exact"/>
      <w:ind w:left="520" w:hanging="520"/>
    </w:pPr>
    <w:rPr>
      <w:rFonts w:ascii="Palatino" w:eastAsiaTheme="minorHAnsi" w:hAnsi="Palatino" w:cstheme="minorBidi"/>
      <w:color w:val="000000"/>
      <w:sz w:val="22"/>
      <w:szCs w:val="22"/>
      <w:lang w:eastAsia="en-AU"/>
    </w:rPr>
  </w:style>
  <w:style w:type="paragraph" w:customStyle="1" w:styleId="Dash">
    <w:name w:val="Dash"/>
    <w:basedOn w:val="Normal"/>
    <w:rsid w:val="00325C36"/>
    <w:pPr>
      <w:tabs>
        <w:tab w:val="num" w:pos="1040"/>
      </w:tabs>
      <w:spacing w:after="240" w:line="320" w:lineRule="exact"/>
      <w:ind w:left="1040" w:hanging="520"/>
    </w:pPr>
    <w:rPr>
      <w:rFonts w:ascii="Palatino" w:hAnsi="Palatino"/>
      <w:color w:val="000000"/>
      <w:sz w:val="22"/>
      <w:szCs w:val="22"/>
      <w:lang w:eastAsia="en-AU"/>
    </w:rPr>
  </w:style>
  <w:style w:type="paragraph" w:customStyle="1" w:styleId="DoubleDot">
    <w:name w:val="Double Dot"/>
    <w:basedOn w:val="Normal"/>
    <w:rsid w:val="00325C36"/>
    <w:pPr>
      <w:tabs>
        <w:tab w:val="num" w:pos="1560"/>
      </w:tabs>
      <w:spacing w:after="240" w:line="320" w:lineRule="exact"/>
      <w:ind w:left="1560" w:hanging="520"/>
    </w:pPr>
    <w:rPr>
      <w:rFonts w:ascii="Palatino" w:hAnsi="Palatino"/>
      <w:color w:val="000000"/>
      <w:sz w:val="22"/>
      <w:szCs w:val="22"/>
      <w:lang w:eastAsia="en-AU"/>
    </w:rPr>
  </w:style>
  <w:style w:type="paragraph" w:customStyle="1" w:styleId="Default">
    <w:name w:val="Default"/>
    <w:rsid w:val="00E72401"/>
    <w:pPr>
      <w:autoSpaceDE w:val="0"/>
      <w:autoSpaceDN w:val="0"/>
      <w:adjustRightInd w:val="0"/>
      <w:spacing w:after="0" w:line="240" w:lineRule="auto"/>
    </w:pPr>
    <w:rPr>
      <w:rFonts w:ascii="Times New Roman" w:hAnsi="Times New Roman" w:cs="Times New Roman"/>
      <w:color w:val="000000"/>
      <w:sz w:val="24"/>
      <w:szCs w:val="24"/>
      <w:lang w:val="en-NZ" w:eastAsia="en-US"/>
    </w:rPr>
  </w:style>
  <w:style w:type="paragraph" w:customStyle="1" w:styleId="ecxmsonormal">
    <w:name w:val="ecxmsonormal"/>
    <w:basedOn w:val="Normal"/>
    <w:rsid w:val="00605B94"/>
    <w:pPr>
      <w:spacing w:after="324"/>
    </w:pPr>
    <w:rPr>
      <w:rFonts w:ascii="Times New Roman" w:hAnsi="Times New Roman"/>
      <w:sz w:val="24"/>
      <w:lang w:val="en-NZ" w:eastAsia="en-NZ"/>
    </w:rPr>
  </w:style>
  <w:style w:type="paragraph" w:styleId="NoSpacing">
    <w:name w:val="No Spacing"/>
    <w:link w:val="NoSpacingChar"/>
    <w:uiPriority w:val="1"/>
    <w:qFormat/>
    <w:rsid w:val="00AD083B"/>
    <w:pPr>
      <w:spacing w:before="40" w:after="0" w:line="240" w:lineRule="auto"/>
    </w:pPr>
    <w:rPr>
      <w:rFonts w:ascii="Cambria" w:eastAsia="Cambria" w:hAnsi="Cambria" w:cs="Times New Roman"/>
      <w:color w:val="595959"/>
      <w:sz w:val="20"/>
      <w:szCs w:val="20"/>
      <w:lang w:val="en-US" w:eastAsia="ja-JP"/>
    </w:rPr>
  </w:style>
  <w:style w:type="character" w:customStyle="1" w:styleId="NoSpacingChar">
    <w:name w:val="No Spacing Char"/>
    <w:basedOn w:val="DefaultParagraphFont"/>
    <w:link w:val="NoSpacing"/>
    <w:uiPriority w:val="1"/>
    <w:rsid w:val="00AD083B"/>
    <w:rPr>
      <w:rFonts w:ascii="Cambria" w:eastAsia="Cambria" w:hAnsi="Cambria" w:cs="Times New Roman"/>
      <w:color w:val="595959"/>
      <w:sz w:val="20"/>
      <w:szCs w:val="20"/>
      <w:lang w:val="en-US" w:eastAsia="ja-JP"/>
    </w:rPr>
  </w:style>
  <w:style w:type="paragraph" w:customStyle="1" w:styleId="ecxmsolistparagraph">
    <w:name w:val="ecxmsolistparagraph"/>
    <w:basedOn w:val="Normal"/>
    <w:rsid w:val="00DF0D9A"/>
    <w:pPr>
      <w:spacing w:after="324"/>
    </w:pPr>
    <w:rPr>
      <w:rFonts w:ascii="Times New Roman" w:hAnsi="Times New Roman"/>
      <w:sz w:val="24"/>
      <w:lang w:val="en-NZ" w:eastAsia="en-NZ"/>
    </w:rPr>
  </w:style>
  <w:style w:type="character" w:customStyle="1" w:styleId="MetaSerifitals">
    <w:name w:val="MetaSerif itals"/>
    <w:rsid w:val="00EA0228"/>
  </w:style>
  <w:style w:type="character" w:customStyle="1" w:styleId="st1">
    <w:name w:val="st1"/>
    <w:basedOn w:val="DefaultParagraphFont"/>
    <w:rsid w:val="003C5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footer" w:uiPriority="0"/>
    <w:lsdException w:name="caption" w:qFormat="1"/>
    <w:lsdException w:name="table of figures" w:uiPriority="0"/>
    <w:lsdException w:name="footnote reference" w:uiPriority="0" w:qFormat="1"/>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FollowedHyperlink" w:uiPriority="0"/>
    <w:lsdException w:name="Strong" w:semiHidden="0" w:uiPriority="22" w:unhideWhenUsed="0"/>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325C36"/>
    <w:pPr>
      <w:spacing w:after="0" w:line="240" w:lineRule="auto"/>
    </w:pPr>
    <w:rPr>
      <w:rFonts w:ascii="Arial" w:eastAsia="Times New Roman" w:hAnsi="Arial" w:cs="Times New Roman"/>
      <w:sz w:val="16"/>
      <w:szCs w:val="24"/>
      <w:lang w:eastAsia="en-US"/>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uiPriority w:val="9"/>
    <w:qFormat/>
    <w:rsid w:val="009E79EC"/>
    <w:pPr>
      <w:numPr>
        <w:ilvl w:val="3"/>
        <w:numId w:val="1"/>
      </w:numPr>
      <w:spacing w:before="320" w:after="0"/>
      <w:outlineLvl w:val="3"/>
    </w:pPr>
    <w:rPr>
      <w:b w:val="0"/>
    </w:rPr>
  </w:style>
  <w:style w:type="paragraph" w:styleId="Heading5">
    <w:name w:val="heading 5"/>
    <w:basedOn w:val="BodyText"/>
    <w:next w:val="BodyText"/>
    <w:link w:val="Heading5Char"/>
    <w:uiPriority w:val="9"/>
    <w:qFormat/>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uiPriority w:val="9"/>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uiPriority w:val="9"/>
    <w:rsid w:val="009E79EC"/>
    <w:rPr>
      <w:rFonts w:ascii="Helvetica" w:eastAsia="Times New Roman" w:hAnsi="Helvetica" w:cs="Times New Roman"/>
      <w:b/>
      <w:color w:val="A8A5A8"/>
      <w:szCs w:val="24"/>
      <w:lang w:eastAsia="en-US"/>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56328"/>
    <w:pPr>
      <w:keepNext/>
      <w:spacing w:before="80" w:after="80" w:line="280" w:lineRule="atLeast"/>
    </w:pPr>
    <w:rPr>
      <w:rFonts w:ascii="Franklin Gothic Book" w:hAnsi="Franklin Gothic Book" w:cs="Arial"/>
      <w:b/>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uiPriority w:val="99"/>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07395B"/>
    <w:pPr>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F93332"/>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uiPriority w:val="99"/>
    <w:semiHidden/>
    <w:unhideWhenUsed/>
    <w:rsid w:val="009E79EC"/>
    <w:rPr>
      <w:rFonts w:ascii="Franklin Gothic Book" w:hAnsi="Franklin Gothic Book" w:cs="Tahoma"/>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semiHidden/>
    <w:rsid w:val="009E79EC"/>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uiPriority w:val="99"/>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ind w:left="284" w:hanging="284"/>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uiPriority w:val="99"/>
    <w:semiHidden/>
    <w:rsid w:val="009E79EC"/>
    <w:pPr>
      <w:spacing w:line="240" w:lineRule="atLeast"/>
    </w:pPr>
    <w:rPr>
      <w:sz w:val="18"/>
      <w:szCs w:val="18"/>
    </w:rPr>
  </w:style>
  <w:style w:type="character" w:customStyle="1" w:styleId="CommentTextChar">
    <w:name w:val="Comment Text Char"/>
    <w:basedOn w:val="DefaultParagraphFont"/>
    <w:link w:val="CommentText"/>
    <w:uiPriority w:val="99"/>
    <w:semiHidden/>
    <w:rsid w:val="009E79EC"/>
    <w:rPr>
      <w:rFonts w:ascii="Franklin Gothic Book" w:eastAsia="Times New Roman" w:hAnsi="Franklin Gothic Book" w:cs="Times New Roman"/>
      <w:sz w:val="18"/>
      <w:szCs w:val="18"/>
    </w:rPr>
  </w:style>
  <w:style w:type="character" w:styleId="Hyperlink">
    <w:name w:val="Hyperlink"/>
    <w:uiPriority w:val="99"/>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hAnsi="Franklin Gothic Book"/>
      <w:color w:val="A8A5A8"/>
      <w:sz w:val="14"/>
      <w:szCs w:val="14"/>
    </w:rPr>
  </w:style>
  <w:style w:type="table" w:styleId="TableGrid">
    <w:name w:val="Table Grid"/>
    <w:basedOn w:val="TableNormal"/>
    <w:uiPriority w:val="59"/>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56328"/>
    <w:rPr>
      <w:rFonts w:ascii="Franklin Gothic Book" w:eastAsia="Times New Roman" w:hAnsi="Franklin Gothic Book" w:cs="Arial"/>
      <w:b/>
      <w:sz w:val="16"/>
      <w:szCs w:val="19"/>
      <w:lang w:eastAsia="en-US"/>
    </w:rPr>
  </w:style>
  <w:style w:type="paragraph" w:styleId="FootnoteText">
    <w:name w:val="footnote text"/>
    <w:aliases w:val="single space,Nbpage Moens,Fußnote,Footnote Text Char Char Char Char,Footnote Text Char Char,ft,fn,FOOTNOTES,Footnote Text Char1 Char,Footnote Text Char Char Char Char Char Char Char Char Char Char,(NECG) Footnote Text Char Char Char,f,A"/>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aliases w:val="single space Char,Nbpage Moens Char,Fußnote Char,Footnote Text Char Char Char Char Char,Footnote Text Char Char Char,ft Char,fn Char,FOOTNOTES Char,Footnote Text Char1 Char Char,(NECG) Footnote Text Char Char Char Char,f Char,A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fr,16 Point,Superscript 6 Point,(NECG) Footnote Reference,Ref,de nota al pie,FnR-ANZDEC,Fußnotenzeichen DISS,Footnote Ref in FtNote,SUPERS,BVI fnr,Normal + Font:9 Point,Superscript 3 Point Times,Footnote text,FNRefe"/>
    <w:qFormat/>
    <w:rsid w:val="003B2756"/>
    <w:rPr>
      <w:rFonts w:ascii="Times New Roman" w:hAnsi="Times New Roman"/>
      <w:w w:val="100"/>
      <w:position w:val="6"/>
      <w:sz w:val="16"/>
      <w:szCs w:val="12"/>
      <w:vertAlign w:val="baseline"/>
    </w:rPr>
  </w:style>
  <w:style w:type="paragraph" w:styleId="NormalWeb">
    <w:name w:val="Normal (Web)"/>
    <w:basedOn w:val="Normal"/>
    <w:uiPriority w:val="99"/>
    <w:unhideWhenUsed/>
    <w:rsid w:val="00AB0987"/>
    <w:pPr>
      <w:spacing w:before="100" w:beforeAutospacing="1" w:after="100" w:afterAutospacing="1"/>
    </w:pPr>
    <w:rPr>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cs="Arial"/>
      <w:szCs w:val="22"/>
    </w:rPr>
  </w:style>
  <w:style w:type="character" w:customStyle="1" w:styleId="List-bullet-1Char">
    <w:name w:val="List-bullet-1 Char"/>
    <w:link w:val="List-bullet-1"/>
    <w:rsid w:val="00FD7BD8"/>
    <w:rPr>
      <w:rFonts w:ascii="Arial" w:eastAsia="Times New Roman" w:hAnsi="Arial" w:cs="Arial"/>
      <w:sz w:val="16"/>
      <w:lang w:eastAsia="en-US"/>
    </w:rPr>
  </w:style>
  <w:style w:type="paragraph" w:styleId="ListParagraph">
    <w:name w:val="List Paragraph"/>
    <w:aliases w:val="List Paragraph1,Recommendation,List Paragraph11,List Paragraph2,Bullets,Main numbered paragraph,Numbered List Paragraph"/>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character" w:customStyle="1" w:styleId="FiguresChar">
    <w:name w:val="Figures Char"/>
    <w:basedOn w:val="DefaultParagraphFont"/>
    <w:link w:val="Figures"/>
    <w:locked/>
    <w:rsid w:val="00C25547"/>
    <w:rPr>
      <w:rFonts w:ascii="Cambria" w:hAnsi="Cambria" w:cs="MetaSerifOT-Book"/>
      <w:b/>
      <w:bCs/>
      <w:color w:val="000000"/>
      <w:sz w:val="20"/>
    </w:rPr>
  </w:style>
  <w:style w:type="paragraph" w:customStyle="1" w:styleId="Figures">
    <w:name w:val="Figures"/>
    <w:basedOn w:val="Normal"/>
    <w:link w:val="FiguresChar"/>
    <w:qFormat/>
    <w:rsid w:val="00C25547"/>
    <w:pPr>
      <w:spacing w:after="200"/>
      <w:jc w:val="center"/>
    </w:pPr>
    <w:rPr>
      <w:rFonts w:ascii="Cambria" w:eastAsiaTheme="minorHAnsi" w:hAnsi="Cambria" w:cs="MetaSerifOT-Book"/>
      <w:b/>
      <w:bCs/>
      <w:color w:val="000000"/>
      <w:szCs w:val="22"/>
    </w:rPr>
  </w:style>
  <w:style w:type="character" w:customStyle="1" w:styleId="ListParagraphChar">
    <w:name w:val="List Paragraph Char"/>
    <w:aliases w:val="List Paragraph1 Char,Recommendation Char,List Paragraph11 Char,List Paragraph2 Char,Bullets Char,Main numbered paragraph Char,Numbered List Paragraph Char"/>
    <w:basedOn w:val="DefaultParagraphFont"/>
    <w:link w:val="ListParagraph"/>
    <w:uiPriority w:val="34"/>
    <w:locked/>
    <w:rsid w:val="00B85DD5"/>
    <w:rPr>
      <w:rFonts w:ascii="Times New Roman" w:eastAsia="Times New Roman" w:hAnsi="Times New Roman" w:cs="Times New Roman"/>
      <w:szCs w:val="24"/>
      <w:lang w:eastAsia="en-US"/>
    </w:rPr>
  </w:style>
  <w:style w:type="character" w:styleId="Emphasis">
    <w:name w:val="Emphasis"/>
    <w:basedOn w:val="DefaultParagraphFont"/>
    <w:uiPriority w:val="20"/>
    <w:qFormat/>
    <w:rsid w:val="00364C3B"/>
    <w:rPr>
      <w:i/>
      <w:iCs/>
    </w:rPr>
  </w:style>
  <w:style w:type="character" w:customStyle="1" w:styleId="st">
    <w:name w:val="st"/>
    <w:basedOn w:val="DefaultParagraphFont"/>
    <w:rsid w:val="001C52D2"/>
  </w:style>
  <w:style w:type="character" w:customStyle="1" w:styleId="BulletChar">
    <w:name w:val="Bullet Char"/>
    <w:aliases w:val="b Char,b + line Char Char"/>
    <w:link w:val="Bullet"/>
    <w:locked/>
    <w:rsid w:val="00325C36"/>
    <w:rPr>
      <w:rFonts w:ascii="Palatino" w:hAnsi="Palatino"/>
      <w:color w:val="000000"/>
    </w:rPr>
  </w:style>
  <w:style w:type="paragraph" w:customStyle="1" w:styleId="Bullet">
    <w:name w:val="Bullet"/>
    <w:aliases w:val="b,b + line"/>
    <w:basedOn w:val="Normal"/>
    <w:link w:val="BulletChar"/>
    <w:rsid w:val="00325C36"/>
    <w:pPr>
      <w:tabs>
        <w:tab w:val="num" w:pos="520"/>
      </w:tabs>
      <w:spacing w:after="240" w:line="320" w:lineRule="exact"/>
      <w:ind w:left="520" w:hanging="520"/>
    </w:pPr>
    <w:rPr>
      <w:rFonts w:ascii="Palatino" w:eastAsiaTheme="minorHAnsi" w:hAnsi="Palatino" w:cstheme="minorBidi"/>
      <w:color w:val="000000"/>
      <w:sz w:val="22"/>
      <w:szCs w:val="22"/>
      <w:lang w:eastAsia="en-AU"/>
    </w:rPr>
  </w:style>
  <w:style w:type="paragraph" w:customStyle="1" w:styleId="Dash">
    <w:name w:val="Dash"/>
    <w:basedOn w:val="Normal"/>
    <w:rsid w:val="00325C36"/>
    <w:pPr>
      <w:tabs>
        <w:tab w:val="num" w:pos="1040"/>
      </w:tabs>
      <w:spacing w:after="240" w:line="320" w:lineRule="exact"/>
      <w:ind w:left="1040" w:hanging="520"/>
    </w:pPr>
    <w:rPr>
      <w:rFonts w:ascii="Palatino" w:hAnsi="Palatino"/>
      <w:color w:val="000000"/>
      <w:sz w:val="22"/>
      <w:szCs w:val="22"/>
      <w:lang w:eastAsia="en-AU"/>
    </w:rPr>
  </w:style>
  <w:style w:type="paragraph" w:customStyle="1" w:styleId="DoubleDot">
    <w:name w:val="Double Dot"/>
    <w:basedOn w:val="Normal"/>
    <w:rsid w:val="00325C36"/>
    <w:pPr>
      <w:tabs>
        <w:tab w:val="num" w:pos="1560"/>
      </w:tabs>
      <w:spacing w:after="240" w:line="320" w:lineRule="exact"/>
      <w:ind w:left="1560" w:hanging="520"/>
    </w:pPr>
    <w:rPr>
      <w:rFonts w:ascii="Palatino" w:hAnsi="Palatino"/>
      <w:color w:val="000000"/>
      <w:sz w:val="22"/>
      <w:szCs w:val="22"/>
      <w:lang w:eastAsia="en-AU"/>
    </w:rPr>
  </w:style>
  <w:style w:type="paragraph" w:customStyle="1" w:styleId="Default">
    <w:name w:val="Default"/>
    <w:rsid w:val="00E72401"/>
    <w:pPr>
      <w:autoSpaceDE w:val="0"/>
      <w:autoSpaceDN w:val="0"/>
      <w:adjustRightInd w:val="0"/>
      <w:spacing w:after="0" w:line="240" w:lineRule="auto"/>
    </w:pPr>
    <w:rPr>
      <w:rFonts w:ascii="Times New Roman" w:hAnsi="Times New Roman" w:cs="Times New Roman"/>
      <w:color w:val="000000"/>
      <w:sz w:val="24"/>
      <w:szCs w:val="24"/>
      <w:lang w:val="en-NZ" w:eastAsia="en-US"/>
    </w:rPr>
  </w:style>
  <w:style w:type="paragraph" w:customStyle="1" w:styleId="ecxmsonormal">
    <w:name w:val="ecxmsonormal"/>
    <w:basedOn w:val="Normal"/>
    <w:rsid w:val="00605B94"/>
    <w:pPr>
      <w:spacing w:after="324"/>
    </w:pPr>
    <w:rPr>
      <w:rFonts w:ascii="Times New Roman" w:hAnsi="Times New Roman"/>
      <w:sz w:val="24"/>
      <w:lang w:val="en-NZ" w:eastAsia="en-NZ"/>
    </w:rPr>
  </w:style>
  <w:style w:type="paragraph" w:styleId="NoSpacing">
    <w:name w:val="No Spacing"/>
    <w:link w:val="NoSpacingChar"/>
    <w:uiPriority w:val="1"/>
    <w:qFormat/>
    <w:rsid w:val="00AD083B"/>
    <w:pPr>
      <w:spacing w:before="40" w:after="0" w:line="240" w:lineRule="auto"/>
    </w:pPr>
    <w:rPr>
      <w:rFonts w:ascii="Cambria" w:eastAsia="Cambria" w:hAnsi="Cambria" w:cs="Times New Roman"/>
      <w:color w:val="595959"/>
      <w:sz w:val="20"/>
      <w:szCs w:val="20"/>
      <w:lang w:val="en-US" w:eastAsia="ja-JP"/>
    </w:rPr>
  </w:style>
  <w:style w:type="character" w:customStyle="1" w:styleId="NoSpacingChar">
    <w:name w:val="No Spacing Char"/>
    <w:basedOn w:val="DefaultParagraphFont"/>
    <w:link w:val="NoSpacing"/>
    <w:uiPriority w:val="1"/>
    <w:rsid w:val="00AD083B"/>
    <w:rPr>
      <w:rFonts w:ascii="Cambria" w:eastAsia="Cambria" w:hAnsi="Cambria" w:cs="Times New Roman"/>
      <w:color w:val="595959"/>
      <w:sz w:val="20"/>
      <w:szCs w:val="20"/>
      <w:lang w:val="en-US" w:eastAsia="ja-JP"/>
    </w:rPr>
  </w:style>
  <w:style w:type="paragraph" w:customStyle="1" w:styleId="ecxmsolistparagraph">
    <w:name w:val="ecxmsolistparagraph"/>
    <w:basedOn w:val="Normal"/>
    <w:rsid w:val="00DF0D9A"/>
    <w:pPr>
      <w:spacing w:after="324"/>
    </w:pPr>
    <w:rPr>
      <w:rFonts w:ascii="Times New Roman" w:hAnsi="Times New Roman"/>
      <w:sz w:val="24"/>
      <w:lang w:val="en-NZ" w:eastAsia="en-NZ"/>
    </w:rPr>
  </w:style>
  <w:style w:type="character" w:customStyle="1" w:styleId="MetaSerifitals">
    <w:name w:val="MetaSerif itals"/>
    <w:rsid w:val="00EA0228"/>
  </w:style>
  <w:style w:type="character" w:customStyle="1" w:styleId="st1">
    <w:name w:val="st1"/>
    <w:basedOn w:val="DefaultParagraphFont"/>
    <w:rsid w:val="003C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4041">
      <w:bodyDiv w:val="1"/>
      <w:marLeft w:val="0"/>
      <w:marRight w:val="0"/>
      <w:marTop w:val="0"/>
      <w:marBottom w:val="0"/>
      <w:divBdr>
        <w:top w:val="none" w:sz="0" w:space="0" w:color="auto"/>
        <w:left w:val="none" w:sz="0" w:space="0" w:color="auto"/>
        <w:bottom w:val="none" w:sz="0" w:space="0" w:color="auto"/>
        <w:right w:val="none" w:sz="0" w:space="0" w:color="auto"/>
      </w:divBdr>
    </w:div>
    <w:div w:id="52390050">
      <w:bodyDiv w:val="1"/>
      <w:marLeft w:val="0"/>
      <w:marRight w:val="0"/>
      <w:marTop w:val="0"/>
      <w:marBottom w:val="0"/>
      <w:divBdr>
        <w:top w:val="none" w:sz="0" w:space="0" w:color="auto"/>
        <w:left w:val="none" w:sz="0" w:space="0" w:color="auto"/>
        <w:bottom w:val="none" w:sz="0" w:space="0" w:color="auto"/>
        <w:right w:val="none" w:sz="0" w:space="0" w:color="auto"/>
      </w:divBdr>
    </w:div>
    <w:div w:id="88887733">
      <w:bodyDiv w:val="1"/>
      <w:marLeft w:val="0"/>
      <w:marRight w:val="0"/>
      <w:marTop w:val="0"/>
      <w:marBottom w:val="0"/>
      <w:divBdr>
        <w:top w:val="none" w:sz="0" w:space="0" w:color="auto"/>
        <w:left w:val="none" w:sz="0" w:space="0" w:color="auto"/>
        <w:bottom w:val="none" w:sz="0" w:space="0" w:color="auto"/>
        <w:right w:val="none" w:sz="0" w:space="0" w:color="auto"/>
      </w:divBdr>
    </w:div>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83901650">
      <w:bodyDiv w:val="1"/>
      <w:marLeft w:val="0"/>
      <w:marRight w:val="0"/>
      <w:marTop w:val="0"/>
      <w:marBottom w:val="0"/>
      <w:divBdr>
        <w:top w:val="none" w:sz="0" w:space="0" w:color="auto"/>
        <w:left w:val="none" w:sz="0" w:space="0" w:color="auto"/>
        <w:bottom w:val="none" w:sz="0" w:space="0" w:color="auto"/>
        <w:right w:val="none" w:sz="0" w:space="0" w:color="auto"/>
      </w:divBdr>
    </w:div>
    <w:div w:id="189150102">
      <w:bodyDiv w:val="1"/>
      <w:marLeft w:val="0"/>
      <w:marRight w:val="0"/>
      <w:marTop w:val="0"/>
      <w:marBottom w:val="0"/>
      <w:divBdr>
        <w:top w:val="none" w:sz="0" w:space="0" w:color="auto"/>
        <w:left w:val="none" w:sz="0" w:space="0" w:color="auto"/>
        <w:bottom w:val="none" w:sz="0" w:space="0" w:color="auto"/>
        <w:right w:val="none" w:sz="0" w:space="0" w:color="auto"/>
      </w:divBdr>
    </w:div>
    <w:div w:id="274673070">
      <w:bodyDiv w:val="1"/>
      <w:marLeft w:val="0"/>
      <w:marRight w:val="0"/>
      <w:marTop w:val="0"/>
      <w:marBottom w:val="0"/>
      <w:divBdr>
        <w:top w:val="none" w:sz="0" w:space="0" w:color="auto"/>
        <w:left w:val="none" w:sz="0" w:space="0" w:color="auto"/>
        <w:bottom w:val="none" w:sz="0" w:space="0" w:color="auto"/>
        <w:right w:val="none" w:sz="0" w:space="0" w:color="auto"/>
      </w:divBdr>
    </w:div>
    <w:div w:id="307515476">
      <w:bodyDiv w:val="1"/>
      <w:marLeft w:val="0"/>
      <w:marRight w:val="0"/>
      <w:marTop w:val="0"/>
      <w:marBottom w:val="0"/>
      <w:divBdr>
        <w:top w:val="none" w:sz="0" w:space="0" w:color="auto"/>
        <w:left w:val="none" w:sz="0" w:space="0" w:color="auto"/>
        <w:bottom w:val="none" w:sz="0" w:space="0" w:color="auto"/>
        <w:right w:val="none" w:sz="0" w:space="0" w:color="auto"/>
      </w:divBdr>
    </w:div>
    <w:div w:id="359357099">
      <w:bodyDiv w:val="1"/>
      <w:marLeft w:val="0"/>
      <w:marRight w:val="0"/>
      <w:marTop w:val="0"/>
      <w:marBottom w:val="0"/>
      <w:divBdr>
        <w:top w:val="none" w:sz="0" w:space="0" w:color="auto"/>
        <w:left w:val="none" w:sz="0" w:space="0" w:color="auto"/>
        <w:bottom w:val="none" w:sz="0" w:space="0" w:color="auto"/>
        <w:right w:val="none" w:sz="0" w:space="0" w:color="auto"/>
      </w:divBdr>
    </w:div>
    <w:div w:id="371460435">
      <w:bodyDiv w:val="1"/>
      <w:marLeft w:val="0"/>
      <w:marRight w:val="0"/>
      <w:marTop w:val="0"/>
      <w:marBottom w:val="0"/>
      <w:divBdr>
        <w:top w:val="none" w:sz="0" w:space="0" w:color="auto"/>
        <w:left w:val="none" w:sz="0" w:space="0" w:color="auto"/>
        <w:bottom w:val="none" w:sz="0" w:space="0" w:color="auto"/>
        <w:right w:val="none" w:sz="0" w:space="0" w:color="auto"/>
      </w:divBdr>
    </w:div>
    <w:div w:id="390427901">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419326749">
      <w:bodyDiv w:val="1"/>
      <w:marLeft w:val="0"/>
      <w:marRight w:val="0"/>
      <w:marTop w:val="0"/>
      <w:marBottom w:val="0"/>
      <w:divBdr>
        <w:top w:val="none" w:sz="0" w:space="0" w:color="auto"/>
        <w:left w:val="none" w:sz="0" w:space="0" w:color="auto"/>
        <w:bottom w:val="none" w:sz="0" w:space="0" w:color="auto"/>
        <w:right w:val="none" w:sz="0" w:space="0" w:color="auto"/>
      </w:divBdr>
    </w:div>
    <w:div w:id="422379981">
      <w:bodyDiv w:val="1"/>
      <w:marLeft w:val="0"/>
      <w:marRight w:val="0"/>
      <w:marTop w:val="0"/>
      <w:marBottom w:val="0"/>
      <w:divBdr>
        <w:top w:val="none" w:sz="0" w:space="0" w:color="auto"/>
        <w:left w:val="none" w:sz="0" w:space="0" w:color="auto"/>
        <w:bottom w:val="none" w:sz="0" w:space="0" w:color="auto"/>
        <w:right w:val="none" w:sz="0" w:space="0" w:color="auto"/>
      </w:divBdr>
    </w:div>
    <w:div w:id="481700390">
      <w:bodyDiv w:val="1"/>
      <w:marLeft w:val="0"/>
      <w:marRight w:val="0"/>
      <w:marTop w:val="0"/>
      <w:marBottom w:val="0"/>
      <w:divBdr>
        <w:top w:val="none" w:sz="0" w:space="0" w:color="auto"/>
        <w:left w:val="none" w:sz="0" w:space="0" w:color="auto"/>
        <w:bottom w:val="none" w:sz="0" w:space="0" w:color="auto"/>
        <w:right w:val="none" w:sz="0" w:space="0" w:color="auto"/>
      </w:divBdr>
      <w:divsChild>
        <w:div w:id="457648035">
          <w:marLeft w:val="0"/>
          <w:marRight w:val="0"/>
          <w:marTop w:val="0"/>
          <w:marBottom w:val="0"/>
          <w:divBdr>
            <w:top w:val="none" w:sz="0" w:space="0" w:color="auto"/>
            <w:left w:val="none" w:sz="0" w:space="0" w:color="auto"/>
            <w:bottom w:val="none" w:sz="0" w:space="0" w:color="auto"/>
            <w:right w:val="none" w:sz="0" w:space="0" w:color="auto"/>
          </w:divBdr>
          <w:divsChild>
            <w:div w:id="48960344">
              <w:marLeft w:val="0"/>
              <w:marRight w:val="0"/>
              <w:marTop w:val="0"/>
              <w:marBottom w:val="0"/>
              <w:divBdr>
                <w:top w:val="none" w:sz="0" w:space="0" w:color="auto"/>
                <w:left w:val="none" w:sz="0" w:space="0" w:color="auto"/>
                <w:bottom w:val="none" w:sz="0" w:space="0" w:color="auto"/>
                <w:right w:val="none" w:sz="0" w:space="0" w:color="auto"/>
              </w:divBdr>
              <w:divsChild>
                <w:div w:id="1013873376">
                  <w:marLeft w:val="0"/>
                  <w:marRight w:val="0"/>
                  <w:marTop w:val="100"/>
                  <w:marBottom w:val="100"/>
                  <w:divBdr>
                    <w:top w:val="none" w:sz="0" w:space="0" w:color="auto"/>
                    <w:left w:val="none" w:sz="0" w:space="0" w:color="auto"/>
                    <w:bottom w:val="none" w:sz="0" w:space="0" w:color="auto"/>
                    <w:right w:val="none" w:sz="0" w:space="0" w:color="auto"/>
                  </w:divBdr>
                  <w:divsChild>
                    <w:div w:id="789666253">
                      <w:marLeft w:val="0"/>
                      <w:marRight w:val="0"/>
                      <w:marTop w:val="0"/>
                      <w:marBottom w:val="0"/>
                      <w:divBdr>
                        <w:top w:val="none" w:sz="0" w:space="0" w:color="auto"/>
                        <w:left w:val="none" w:sz="0" w:space="0" w:color="auto"/>
                        <w:bottom w:val="none" w:sz="0" w:space="0" w:color="auto"/>
                        <w:right w:val="none" w:sz="0" w:space="0" w:color="auto"/>
                      </w:divBdr>
                      <w:divsChild>
                        <w:div w:id="7684405">
                          <w:marLeft w:val="0"/>
                          <w:marRight w:val="0"/>
                          <w:marTop w:val="0"/>
                          <w:marBottom w:val="0"/>
                          <w:divBdr>
                            <w:top w:val="none" w:sz="0" w:space="0" w:color="auto"/>
                            <w:left w:val="none" w:sz="0" w:space="0" w:color="auto"/>
                            <w:bottom w:val="none" w:sz="0" w:space="0" w:color="auto"/>
                            <w:right w:val="none" w:sz="0" w:space="0" w:color="auto"/>
                          </w:divBdr>
                          <w:divsChild>
                            <w:div w:id="274362713">
                              <w:marLeft w:val="0"/>
                              <w:marRight w:val="0"/>
                              <w:marTop w:val="0"/>
                              <w:marBottom w:val="0"/>
                              <w:divBdr>
                                <w:top w:val="none" w:sz="0" w:space="0" w:color="auto"/>
                                <w:left w:val="none" w:sz="0" w:space="0" w:color="auto"/>
                                <w:bottom w:val="none" w:sz="0" w:space="0" w:color="auto"/>
                                <w:right w:val="none" w:sz="0" w:space="0" w:color="auto"/>
                              </w:divBdr>
                              <w:divsChild>
                                <w:div w:id="60757307">
                                  <w:marLeft w:val="0"/>
                                  <w:marRight w:val="0"/>
                                  <w:marTop w:val="0"/>
                                  <w:marBottom w:val="0"/>
                                  <w:divBdr>
                                    <w:top w:val="none" w:sz="0" w:space="0" w:color="auto"/>
                                    <w:left w:val="none" w:sz="0" w:space="0" w:color="auto"/>
                                    <w:bottom w:val="none" w:sz="0" w:space="0" w:color="auto"/>
                                    <w:right w:val="none" w:sz="0" w:space="0" w:color="auto"/>
                                  </w:divBdr>
                                  <w:divsChild>
                                    <w:div w:id="1563834829">
                                      <w:marLeft w:val="0"/>
                                      <w:marRight w:val="0"/>
                                      <w:marTop w:val="0"/>
                                      <w:marBottom w:val="0"/>
                                      <w:divBdr>
                                        <w:top w:val="none" w:sz="0" w:space="0" w:color="auto"/>
                                        <w:left w:val="none" w:sz="0" w:space="0" w:color="auto"/>
                                        <w:bottom w:val="none" w:sz="0" w:space="0" w:color="auto"/>
                                        <w:right w:val="none" w:sz="0" w:space="0" w:color="auto"/>
                                      </w:divBdr>
                                      <w:divsChild>
                                        <w:div w:id="1158184941">
                                          <w:marLeft w:val="0"/>
                                          <w:marRight w:val="0"/>
                                          <w:marTop w:val="0"/>
                                          <w:marBottom w:val="0"/>
                                          <w:divBdr>
                                            <w:top w:val="none" w:sz="0" w:space="0" w:color="auto"/>
                                            <w:left w:val="none" w:sz="0" w:space="0" w:color="auto"/>
                                            <w:bottom w:val="none" w:sz="0" w:space="0" w:color="auto"/>
                                            <w:right w:val="none" w:sz="0" w:space="0" w:color="auto"/>
                                          </w:divBdr>
                                          <w:divsChild>
                                            <w:div w:id="361441555">
                                              <w:marLeft w:val="0"/>
                                              <w:marRight w:val="0"/>
                                              <w:marTop w:val="0"/>
                                              <w:marBottom w:val="0"/>
                                              <w:divBdr>
                                                <w:top w:val="none" w:sz="0" w:space="0" w:color="auto"/>
                                                <w:left w:val="none" w:sz="0" w:space="0" w:color="auto"/>
                                                <w:bottom w:val="none" w:sz="0" w:space="0" w:color="auto"/>
                                                <w:right w:val="none" w:sz="0" w:space="0" w:color="auto"/>
                                              </w:divBdr>
                                              <w:divsChild>
                                                <w:div w:id="2053113080">
                                                  <w:marLeft w:val="0"/>
                                                  <w:marRight w:val="300"/>
                                                  <w:marTop w:val="0"/>
                                                  <w:marBottom w:val="0"/>
                                                  <w:divBdr>
                                                    <w:top w:val="none" w:sz="0" w:space="0" w:color="auto"/>
                                                    <w:left w:val="none" w:sz="0" w:space="0" w:color="auto"/>
                                                    <w:bottom w:val="none" w:sz="0" w:space="0" w:color="auto"/>
                                                    <w:right w:val="none" w:sz="0" w:space="0" w:color="auto"/>
                                                  </w:divBdr>
                                                  <w:divsChild>
                                                    <w:div w:id="1856504291">
                                                      <w:marLeft w:val="0"/>
                                                      <w:marRight w:val="0"/>
                                                      <w:marTop w:val="0"/>
                                                      <w:marBottom w:val="0"/>
                                                      <w:divBdr>
                                                        <w:top w:val="none" w:sz="0" w:space="0" w:color="auto"/>
                                                        <w:left w:val="none" w:sz="0" w:space="0" w:color="auto"/>
                                                        <w:bottom w:val="none" w:sz="0" w:space="0" w:color="auto"/>
                                                        <w:right w:val="none" w:sz="0" w:space="0" w:color="auto"/>
                                                      </w:divBdr>
                                                      <w:divsChild>
                                                        <w:div w:id="1121613648">
                                                          <w:marLeft w:val="0"/>
                                                          <w:marRight w:val="0"/>
                                                          <w:marTop w:val="0"/>
                                                          <w:marBottom w:val="300"/>
                                                          <w:divBdr>
                                                            <w:top w:val="single" w:sz="6" w:space="0" w:color="CCCCCC"/>
                                                            <w:left w:val="none" w:sz="0" w:space="0" w:color="auto"/>
                                                            <w:bottom w:val="none" w:sz="0" w:space="0" w:color="auto"/>
                                                            <w:right w:val="none" w:sz="0" w:space="0" w:color="auto"/>
                                                          </w:divBdr>
                                                          <w:divsChild>
                                                            <w:div w:id="690685394">
                                                              <w:marLeft w:val="0"/>
                                                              <w:marRight w:val="0"/>
                                                              <w:marTop w:val="0"/>
                                                              <w:marBottom w:val="0"/>
                                                              <w:divBdr>
                                                                <w:top w:val="none" w:sz="0" w:space="0" w:color="auto"/>
                                                                <w:left w:val="none" w:sz="0" w:space="0" w:color="auto"/>
                                                                <w:bottom w:val="none" w:sz="0" w:space="0" w:color="auto"/>
                                                                <w:right w:val="none" w:sz="0" w:space="0" w:color="auto"/>
                                                              </w:divBdr>
                                                              <w:divsChild>
                                                                <w:div w:id="640768981">
                                                                  <w:marLeft w:val="0"/>
                                                                  <w:marRight w:val="0"/>
                                                                  <w:marTop w:val="0"/>
                                                                  <w:marBottom w:val="0"/>
                                                                  <w:divBdr>
                                                                    <w:top w:val="none" w:sz="0" w:space="0" w:color="auto"/>
                                                                    <w:left w:val="none" w:sz="0" w:space="0" w:color="auto"/>
                                                                    <w:bottom w:val="none" w:sz="0" w:space="0" w:color="auto"/>
                                                                    <w:right w:val="none" w:sz="0" w:space="0" w:color="auto"/>
                                                                  </w:divBdr>
                                                                  <w:divsChild>
                                                                    <w:div w:id="1436825298">
                                                                      <w:marLeft w:val="0"/>
                                                                      <w:marRight w:val="0"/>
                                                                      <w:marTop w:val="0"/>
                                                                      <w:marBottom w:val="0"/>
                                                                      <w:divBdr>
                                                                        <w:top w:val="none" w:sz="0" w:space="0" w:color="auto"/>
                                                                        <w:left w:val="none" w:sz="0" w:space="0" w:color="auto"/>
                                                                        <w:bottom w:val="none" w:sz="0" w:space="0" w:color="auto"/>
                                                                        <w:right w:val="none" w:sz="0" w:space="0" w:color="auto"/>
                                                                      </w:divBdr>
                                                                      <w:divsChild>
                                                                        <w:div w:id="34494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226873">
      <w:bodyDiv w:val="1"/>
      <w:marLeft w:val="0"/>
      <w:marRight w:val="0"/>
      <w:marTop w:val="0"/>
      <w:marBottom w:val="0"/>
      <w:divBdr>
        <w:top w:val="none" w:sz="0" w:space="0" w:color="auto"/>
        <w:left w:val="none" w:sz="0" w:space="0" w:color="auto"/>
        <w:bottom w:val="none" w:sz="0" w:space="0" w:color="auto"/>
        <w:right w:val="none" w:sz="0" w:space="0" w:color="auto"/>
      </w:divBdr>
    </w:div>
    <w:div w:id="589781057">
      <w:bodyDiv w:val="1"/>
      <w:marLeft w:val="0"/>
      <w:marRight w:val="0"/>
      <w:marTop w:val="0"/>
      <w:marBottom w:val="0"/>
      <w:divBdr>
        <w:top w:val="none" w:sz="0" w:space="0" w:color="auto"/>
        <w:left w:val="none" w:sz="0" w:space="0" w:color="auto"/>
        <w:bottom w:val="none" w:sz="0" w:space="0" w:color="auto"/>
        <w:right w:val="none" w:sz="0" w:space="0" w:color="auto"/>
      </w:divBdr>
    </w:div>
    <w:div w:id="600719816">
      <w:bodyDiv w:val="1"/>
      <w:marLeft w:val="0"/>
      <w:marRight w:val="0"/>
      <w:marTop w:val="0"/>
      <w:marBottom w:val="0"/>
      <w:divBdr>
        <w:top w:val="none" w:sz="0" w:space="0" w:color="auto"/>
        <w:left w:val="none" w:sz="0" w:space="0" w:color="auto"/>
        <w:bottom w:val="none" w:sz="0" w:space="0" w:color="auto"/>
        <w:right w:val="none" w:sz="0" w:space="0" w:color="auto"/>
      </w:divBdr>
    </w:div>
    <w:div w:id="697194674">
      <w:bodyDiv w:val="1"/>
      <w:marLeft w:val="0"/>
      <w:marRight w:val="0"/>
      <w:marTop w:val="0"/>
      <w:marBottom w:val="0"/>
      <w:divBdr>
        <w:top w:val="none" w:sz="0" w:space="0" w:color="auto"/>
        <w:left w:val="none" w:sz="0" w:space="0" w:color="auto"/>
        <w:bottom w:val="none" w:sz="0" w:space="0" w:color="auto"/>
        <w:right w:val="none" w:sz="0" w:space="0" w:color="auto"/>
      </w:divBdr>
    </w:div>
    <w:div w:id="711883655">
      <w:bodyDiv w:val="1"/>
      <w:marLeft w:val="0"/>
      <w:marRight w:val="0"/>
      <w:marTop w:val="0"/>
      <w:marBottom w:val="0"/>
      <w:divBdr>
        <w:top w:val="none" w:sz="0" w:space="0" w:color="auto"/>
        <w:left w:val="none" w:sz="0" w:space="0" w:color="auto"/>
        <w:bottom w:val="none" w:sz="0" w:space="0" w:color="auto"/>
        <w:right w:val="none" w:sz="0" w:space="0" w:color="auto"/>
      </w:divBdr>
    </w:div>
    <w:div w:id="780538661">
      <w:bodyDiv w:val="1"/>
      <w:marLeft w:val="0"/>
      <w:marRight w:val="0"/>
      <w:marTop w:val="0"/>
      <w:marBottom w:val="0"/>
      <w:divBdr>
        <w:top w:val="none" w:sz="0" w:space="0" w:color="auto"/>
        <w:left w:val="none" w:sz="0" w:space="0" w:color="auto"/>
        <w:bottom w:val="none" w:sz="0" w:space="0" w:color="auto"/>
        <w:right w:val="none" w:sz="0" w:space="0" w:color="auto"/>
      </w:divBdr>
      <w:divsChild>
        <w:div w:id="1244291197">
          <w:marLeft w:val="0"/>
          <w:marRight w:val="0"/>
          <w:marTop w:val="0"/>
          <w:marBottom w:val="0"/>
          <w:divBdr>
            <w:top w:val="none" w:sz="0" w:space="0" w:color="auto"/>
            <w:left w:val="none" w:sz="0" w:space="0" w:color="auto"/>
            <w:bottom w:val="none" w:sz="0" w:space="0" w:color="auto"/>
            <w:right w:val="none" w:sz="0" w:space="0" w:color="auto"/>
          </w:divBdr>
          <w:divsChild>
            <w:div w:id="48654315">
              <w:marLeft w:val="0"/>
              <w:marRight w:val="0"/>
              <w:marTop w:val="0"/>
              <w:marBottom w:val="0"/>
              <w:divBdr>
                <w:top w:val="none" w:sz="0" w:space="0" w:color="auto"/>
                <w:left w:val="none" w:sz="0" w:space="0" w:color="auto"/>
                <w:bottom w:val="none" w:sz="0" w:space="0" w:color="auto"/>
                <w:right w:val="none" w:sz="0" w:space="0" w:color="auto"/>
              </w:divBdr>
              <w:divsChild>
                <w:div w:id="1053193881">
                  <w:marLeft w:val="0"/>
                  <w:marRight w:val="0"/>
                  <w:marTop w:val="100"/>
                  <w:marBottom w:val="100"/>
                  <w:divBdr>
                    <w:top w:val="none" w:sz="0" w:space="0" w:color="auto"/>
                    <w:left w:val="none" w:sz="0" w:space="0" w:color="auto"/>
                    <w:bottom w:val="none" w:sz="0" w:space="0" w:color="auto"/>
                    <w:right w:val="none" w:sz="0" w:space="0" w:color="auto"/>
                  </w:divBdr>
                  <w:divsChild>
                    <w:div w:id="1890729750">
                      <w:marLeft w:val="0"/>
                      <w:marRight w:val="0"/>
                      <w:marTop w:val="0"/>
                      <w:marBottom w:val="0"/>
                      <w:divBdr>
                        <w:top w:val="none" w:sz="0" w:space="0" w:color="auto"/>
                        <w:left w:val="none" w:sz="0" w:space="0" w:color="auto"/>
                        <w:bottom w:val="none" w:sz="0" w:space="0" w:color="auto"/>
                        <w:right w:val="none" w:sz="0" w:space="0" w:color="auto"/>
                      </w:divBdr>
                      <w:divsChild>
                        <w:div w:id="337584360">
                          <w:marLeft w:val="0"/>
                          <w:marRight w:val="0"/>
                          <w:marTop w:val="0"/>
                          <w:marBottom w:val="0"/>
                          <w:divBdr>
                            <w:top w:val="none" w:sz="0" w:space="0" w:color="auto"/>
                            <w:left w:val="none" w:sz="0" w:space="0" w:color="auto"/>
                            <w:bottom w:val="none" w:sz="0" w:space="0" w:color="auto"/>
                            <w:right w:val="none" w:sz="0" w:space="0" w:color="auto"/>
                          </w:divBdr>
                          <w:divsChild>
                            <w:div w:id="208225812">
                              <w:marLeft w:val="0"/>
                              <w:marRight w:val="0"/>
                              <w:marTop w:val="0"/>
                              <w:marBottom w:val="0"/>
                              <w:divBdr>
                                <w:top w:val="none" w:sz="0" w:space="0" w:color="auto"/>
                                <w:left w:val="none" w:sz="0" w:space="0" w:color="auto"/>
                                <w:bottom w:val="none" w:sz="0" w:space="0" w:color="auto"/>
                                <w:right w:val="none" w:sz="0" w:space="0" w:color="auto"/>
                              </w:divBdr>
                              <w:divsChild>
                                <w:div w:id="809320146">
                                  <w:marLeft w:val="0"/>
                                  <w:marRight w:val="0"/>
                                  <w:marTop w:val="0"/>
                                  <w:marBottom w:val="0"/>
                                  <w:divBdr>
                                    <w:top w:val="none" w:sz="0" w:space="0" w:color="auto"/>
                                    <w:left w:val="none" w:sz="0" w:space="0" w:color="auto"/>
                                    <w:bottom w:val="none" w:sz="0" w:space="0" w:color="auto"/>
                                    <w:right w:val="none" w:sz="0" w:space="0" w:color="auto"/>
                                  </w:divBdr>
                                  <w:divsChild>
                                    <w:div w:id="1340616411">
                                      <w:marLeft w:val="0"/>
                                      <w:marRight w:val="0"/>
                                      <w:marTop w:val="0"/>
                                      <w:marBottom w:val="0"/>
                                      <w:divBdr>
                                        <w:top w:val="none" w:sz="0" w:space="0" w:color="auto"/>
                                        <w:left w:val="none" w:sz="0" w:space="0" w:color="auto"/>
                                        <w:bottom w:val="none" w:sz="0" w:space="0" w:color="auto"/>
                                        <w:right w:val="none" w:sz="0" w:space="0" w:color="auto"/>
                                      </w:divBdr>
                                      <w:divsChild>
                                        <w:div w:id="1906790724">
                                          <w:marLeft w:val="0"/>
                                          <w:marRight w:val="0"/>
                                          <w:marTop w:val="0"/>
                                          <w:marBottom w:val="0"/>
                                          <w:divBdr>
                                            <w:top w:val="none" w:sz="0" w:space="0" w:color="auto"/>
                                            <w:left w:val="none" w:sz="0" w:space="0" w:color="auto"/>
                                            <w:bottom w:val="none" w:sz="0" w:space="0" w:color="auto"/>
                                            <w:right w:val="none" w:sz="0" w:space="0" w:color="auto"/>
                                          </w:divBdr>
                                          <w:divsChild>
                                            <w:div w:id="184902746">
                                              <w:marLeft w:val="0"/>
                                              <w:marRight w:val="0"/>
                                              <w:marTop w:val="0"/>
                                              <w:marBottom w:val="0"/>
                                              <w:divBdr>
                                                <w:top w:val="none" w:sz="0" w:space="0" w:color="auto"/>
                                                <w:left w:val="none" w:sz="0" w:space="0" w:color="auto"/>
                                                <w:bottom w:val="none" w:sz="0" w:space="0" w:color="auto"/>
                                                <w:right w:val="none" w:sz="0" w:space="0" w:color="auto"/>
                                              </w:divBdr>
                                              <w:divsChild>
                                                <w:div w:id="1332559980">
                                                  <w:marLeft w:val="0"/>
                                                  <w:marRight w:val="300"/>
                                                  <w:marTop w:val="0"/>
                                                  <w:marBottom w:val="0"/>
                                                  <w:divBdr>
                                                    <w:top w:val="none" w:sz="0" w:space="0" w:color="auto"/>
                                                    <w:left w:val="none" w:sz="0" w:space="0" w:color="auto"/>
                                                    <w:bottom w:val="none" w:sz="0" w:space="0" w:color="auto"/>
                                                    <w:right w:val="none" w:sz="0" w:space="0" w:color="auto"/>
                                                  </w:divBdr>
                                                  <w:divsChild>
                                                    <w:div w:id="767893104">
                                                      <w:marLeft w:val="0"/>
                                                      <w:marRight w:val="0"/>
                                                      <w:marTop w:val="0"/>
                                                      <w:marBottom w:val="0"/>
                                                      <w:divBdr>
                                                        <w:top w:val="none" w:sz="0" w:space="0" w:color="auto"/>
                                                        <w:left w:val="none" w:sz="0" w:space="0" w:color="auto"/>
                                                        <w:bottom w:val="none" w:sz="0" w:space="0" w:color="auto"/>
                                                        <w:right w:val="none" w:sz="0" w:space="0" w:color="auto"/>
                                                      </w:divBdr>
                                                      <w:divsChild>
                                                        <w:div w:id="1137651980">
                                                          <w:marLeft w:val="0"/>
                                                          <w:marRight w:val="0"/>
                                                          <w:marTop w:val="0"/>
                                                          <w:marBottom w:val="300"/>
                                                          <w:divBdr>
                                                            <w:top w:val="single" w:sz="6" w:space="0" w:color="CCCCCC"/>
                                                            <w:left w:val="none" w:sz="0" w:space="0" w:color="auto"/>
                                                            <w:bottom w:val="none" w:sz="0" w:space="0" w:color="auto"/>
                                                            <w:right w:val="none" w:sz="0" w:space="0" w:color="auto"/>
                                                          </w:divBdr>
                                                          <w:divsChild>
                                                            <w:div w:id="1327519001">
                                                              <w:marLeft w:val="0"/>
                                                              <w:marRight w:val="0"/>
                                                              <w:marTop w:val="0"/>
                                                              <w:marBottom w:val="0"/>
                                                              <w:divBdr>
                                                                <w:top w:val="none" w:sz="0" w:space="0" w:color="auto"/>
                                                                <w:left w:val="none" w:sz="0" w:space="0" w:color="auto"/>
                                                                <w:bottom w:val="none" w:sz="0" w:space="0" w:color="auto"/>
                                                                <w:right w:val="none" w:sz="0" w:space="0" w:color="auto"/>
                                                              </w:divBdr>
                                                              <w:divsChild>
                                                                <w:div w:id="2049063001">
                                                                  <w:marLeft w:val="0"/>
                                                                  <w:marRight w:val="0"/>
                                                                  <w:marTop w:val="0"/>
                                                                  <w:marBottom w:val="0"/>
                                                                  <w:divBdr>
                                                                    <w:top w:val="none" w:sz="0" w:space="0" w:color="auto"/>
                                                                    <w:left w:val="none" w:sz="0" w:space="0" w:color="auto"/>
                                                                    <w:bottom w:val="none" w:sz="0" w:space="0" w:color="auto"/>
                                                                    <w:right w:val="none" w:sz="0" w:space="0" w:color="auto"/>
                                                                  </w:divBdr>
                                                                  <w:divsChild>
                                                                    <w:div w:id="499321296">
                                                                      <w:marLeft w:val="0"/>
                                                                      <w:marRight w:val="0"/>
                                                                      <w:marTop w:val="0"/>
                                                                      <w:marBottom w:val="0"/>
                                                                      <w:divBdr>
                                                                        <w:top w:val="none" w:sz="0" w:space="0" w:color="auto"/>
                                                                        <w:left w:val="none" w:sz="0" w:space="0" w:color="auto"/>
                                                                        <w:bottom w:val="none" w:sz="0" w:space="0" w:color="auto"/>
                                                                        <w:right w:val="none" w:sz="0" w:space="0" w:color="auto"/>
                                                                      </w:divBdr>
                                                                      <w:divsChild>
                                                                        <w:div w:id="18987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32456252">
      <w:bodyDiv w:val="1"/>
      <w:marLeft w:val="0"/>
      <w:marRight w:val="0"/>
      <w:marTop w:val="0"/>
      <w:marBottom w:val="0"/>
      <w:divBdr>
        <w:top w:val="none" w:sz="0" w:space="0" w:color="auto"/>
        <w:left w:val="none" w:sz="0" w:space="0" w:color="auto"/>
        <w:bottom w:val="none" w:sz="0" w:space="0" w:color="auto"/>
        <w:right w:val="none" w:sz="0" w:space="0" w:color="auto"/>
      </w:divBdr>
    </w:div>
    <w:div w:id="835026734">
      <w:bodyDiv w:val="1"/>
      <w:marLeft w:val="0"/>
      <w:marRight w:val="0"/>
      <w:marTop w:val="0"/>
      <w:marBottom w:val="0"/>
      <w:divBdr>
        <w:top w:val="none" w:sz="0" w:space="0" w:color="auto"/>
        <w:left w:val="none" w:sz="0" w:space="0" w:color="auto"/>
        <w:bottom w:val="none" w:sz="0" w:space="0" w:color="auto"/>
        <w:right w:val="none" w:sz="0" w:space="0" w:color="auto"/>
      </w:divBdr>
    </w:div>
    <w:div w:id="841898022">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870187135">
      <w:bodyDiv w:val="1"/>
      <w:marLeft w:val="0"/>
      <w:marRight w:val="0"/>
      <w:marTop w:val="0"/>
      <w:marBottom w:val="0"/>
      <w:divBdr>
        <w:top w:val="none" w:sz="0" w:space="0" w:color="auto"/>
        <w:left w:val="none" w:sz="0" w:space="0" w:color="auto"/>
        <w:bottom w:val="none" w:sz="0" w:space="0" w:color="auto"/>
        <w:right w:val="none" w:sz="0" w:space="0" w:color="auto"/>
      </w:divBdr>
      <w:divsChild>
        <w:div w:id="247619388">
          <w:marLeft w:val="0"/>
          <w:marRight w:val="0"/>
          <w:marTop w:val="0"/>
          <w:marBottom w:val="0"/>
          <w:divBdr>
            <w:top w:val="none" w:sz="0" w:space="0" w:color="auto"/>
            <w:left w:val="none" w:sz="0" w:space="0" w:color="auto"/>
            <w:bottom w:val="none" w:sz="0" w:space="0" w:color="auto"/>
            <w:right w:val="none" w:sz="0" w:space="0" w:color="auto"/>
          </w:divBdr>
          <w:divsChild>
            <w:div w:id="288365994">
              <w:marLeft w:val="0"/>
              <w:marRight w:val="0"/>
              <w:marTop w:val="0"/>
              <w:marBottom w:val="0"/>
              <w:divBdr>
                <w:top w:val="none" w:sz="0" w:space="0" w:color="auto"/>
                <w:left w:val="none" w:sz="0" w:space="0" w:color="auto"/>
                <w:bottom w:val="none" w:sz="0" w:space="0" w:color="auto"/>
                <w:right w:val="none" w:sz="0" w:space="0" w:color="auto"/>
              </w:divBdr>
              <w:divsChild>
                <w:div w:id="232131078">
                  <w:marLeft w:val="0"/>
                  <w:marRight w:val="0"/>
                  <w:marTop w:val="100"/>
                  <w:marBottom w:val="100"/>
                  <w:divBdr>
                    <w:top w:val="none" w:sz="0" w:space="0" w:color="auto"/>
                    <w:left w:val="none" w:sz="0" w:space="0" w:color="auto"/>
                    <w:bottom w:val="none" w:sz="0" w:space="0" w:color="auto"/>
                    <w:right w:val="none" w:sz="0" w:space="0" w:color="auto"/>
                  </w:divBdr>
                  <w:divsChild>
                    <w:div w:id="295910848">
                      <w:marLeft w:val="0"/>
                      <w:marRight w:val="0"/>
                      <w:marTop w:val="0"/>
                      <w:marBottom w:val="0"/>
                      <w:divBdr>
                        <w:top w:val="none" w:sz="0" w:space="0" w:color="auto"/>
                        <w:left w:val="none" w:sz="0" w:space="0" w:color="auto"/>
                        <w:bottom w:val="none" w:sz="0" w:space="0" w:color="auto"/>
                        <w:right w:val="none" w:sz="0" w:space="0" w:color="auto"/>
                      </w:divBdr>
                      <w:divsChild>
                        <w:div w:id="545526289">
                          <w:marLeft w:val="0"/>
                          <w:marRight w:val="0"/>
                          <w:marTop w:val="0"/>
                          <w:marBottom w:val="0"/>
                          <w:divBdr>
                            <w:top w:val="none" w:sz="0" w:space="0" w:color="auto"/>
                            <w:left w:val="none" w:sz="0" w:space="0" w:color="auto"/>
                            <w:bottom w:val="none" w:sz="0" w:space="0" w:color="auto"/>
                            <w:right w:val="none" w:sz="0" w:space="0" w:color="auto"/>
                          </w:divBdr>
                          <w:divsChild>
                            <w:div w:id="97528435">
                              <w:marLeft w:val="0"/>
                              <w:marRight w:val="0"/>
                              <w:marTop w:val="0"/>
                              <w:marBottom w:val="0"/>
                              <w:divBdr>
                                <w:top w:val="none" w:sz="0" w:space="0" w:color="auto"/>
                                <w:left w:val="none" w:sz="0" w:space="0" w:color="auto"/>
                                <w:bottom w:val="none" w:sz="0" w:space="0" w:color="auto"/>
                                <w:right w:val="none" w:sz="0" w:space="0" w:color="auto"/>
                              </w:divBdr>
                              <w:divsChild>
                                <w:div w:id="2088066635">
                                  <w:marLeft w:val="0"/>
                                  <w:marRight w:val="0"/>
                                  <w:marTop w:val="0"/>
                                  <w:marBottom w:val="0"/>
                                  <w:divBdr>
                                    <w:top w:val="none" w:sz="0" w:space="0" w:color="auto"/>
                                    <w:left w:val="none" w:sz="0" w:space="0" w:color="auto"/>
                                    <w:bottom w:val="none" w:sz="0" w:space="0" w:color="auto"/>
                                    <w:right w:val="none" w:sz="0" w:space="0" w:color="auto"/>
                                  </w:divBdr>
                                  <w:divsChild>
                                    <w:div w:id="678853267">
                                      <w:marLeft w:val="0"/>
                                      <w:marRight w:val="0"/>
                                      <w:marTop w:val="0"/>
                                      <w:marBottom w:val="0"/>
                                      <w:divBdr>
                                        <w:top w:val="none" w:sz="0" w:space="0" w:color="auto"/>
                                        <w:left w:val="none" w:sz="0" w:space="0" w:color="auto"/>
                                        <w:bottom w:val="none" w:sz="0" w:space="0" w:color="auto"/>
                                        <w:right w:val="none" w:sz="0" w:space="0" w:color="auto"/>
                                      </w:divBdr>
                                      <w:divsChild>
                                        <w:div w:id="1888107081">
                                          <w:marLeft w:val="0"/>
                                          <w:marRight w:val="0"/>
                                          <w:marTop w:val="0"/>
                                          <w:marBottom w:val="0"/>
                                          <w:divBdr>
                                            <w:top w:val="none" w:sz="0" w:space="0" w:color="auto"/>
                                            <w:left w:val="none" w:sz="0" w:space="0" w:color="auto"/>
                                            <w:bottom w:val="none" w:sz="0" w:space="0" w:color="auto"/>
                                            <w:right w:val="none" w:sz="0" w:space="0" w:color="auto"/>
                                          </w:divBdr>
                                          <w:divsChild>
                                            <w:div w:id="541213787">
                                              <w:marLeft w:val="0"/>
                                              <w:marRight w:val="0"/>
                                              <w:marTop w:val="0"/>
                                              <w:marBottom w:val="0"/>
                                              <w:divBdr>
                                                <w:top w:val="none" w:sz="0" w:space="0" w:color="auto"/>
                                                <w:left w:val="none" w:sz="0" w:space="0" w:color="auto"/>
                                                <w:bottom w:val="none" w:sz="0" w:space="0" w:color="auto"/>
                                                <w:right w:val="none" w:sz="0" w:space="0" w:color="auto"/>
                                              </w:divBdr>
                                              <w:divsChild>
                                                <w:div w:id="19162453">
                                                  <w:marLeft w:val="0"/>
                                                  <w:marRight w:val="300"/>
                                                  <w:marTop w:val="0"/>
                                                  <w:marBottom w:val="0"/>
                                                  <w:divBdr>
                                                    <w:top w:val="none" w:sz="0" w:space="0" w:color="auto"/>
                                                    <w:left w:val="none" w:sz="0" w:space="0" w:color="auto"/>
                                                    <w:bottom w:val="none" w:sz="0" w:space="0" w:color="auto"/>
                                                    <w:right w:val="none" w:sz="0" w:space="0" w:color="auto"/>
                                                  </w:divBdr>
                                                  <w:divsChild>
                                                    <w:div w:id="2066247377">
                                                      <w:marLeft w:val="0"/>
                                                      <w:marRight w:val="0"/>
                                                      <w:marTop w:val="0"/>
                                                      <w:marBottom w:val="0"/>
                                                      <w:divBdr>
                                                        <w:top w:val="none" w:sz="0" w:space="0" w:color="auto"/>
                                                        <w:left w:val="none" w:sz="0" w:space="0" w:color="auto"/>
                                                        <w:bottom w:val="none" w:sz="0" w:space="0" w:color="auto"/>
                                                        <w:right w:val="none" w:sz="0" w:space="0" w:color="auto"/>
                                                      </w:divBdr>
                                                      <w:divsChild>
                                                        <w:div w:id="1783114134">
                                                          <w:marLeft w:val="0"/>
                                                          <w:marRight w:val="0"/>
                                                          <w:marTop w:val="0"/>
                                                          <w:marBottom w:val="300"/>
                                                          <w:divBdr>
                                                            <w:top w:val="single" w:sz="6" w:space="0" w:color="CCCCCC"/>
                                                            <w:left w:val="none" w:sz="0" w:space="0" w:color="auto"/>
                                                            <w:bottom w:val="none" w:sz="0" w:space="0" w:color="auto"/>
                                                            <w:right w:val="none" w:sz="0" w:space="0" w:color="auto"/>
                                                          </w:divBdr>
                                                          <w:divsChild>
                                                            <w:div w:id="1742020776">
                                                              <w:marLeft w:val="0"/>
                                                              <w:marRight w:val="0"/>
                                                              <w:marTop w:val="0"/>
                                                              <w:marBottom w:val="0"/>
                                                              <w:divBdr>
                                                                <w:top w:val="none" w:sz="0" w:space="0" w:color="auto"/>
                                                                <w:left w:val="none" w:sz="0" w:space="0" w:color="auto"/>
                                                                <w:bottom w:val="none" w:sz="0" w:space="0" w:color="auto"/>
                                                                <w:right w:val="none" w:sz="0" w:space="0" w:color="auto"/>
                                                              </w:divBdr>
                                                              <w:divsChild>
                                                                <w:div w:id="1212578714">
                                                                  <w:marLeft w:val="0"/>
                                                                  <w:marRight w:val="0"/>
                                                                  <w:marTop w:val="0"/>
                                                                  <w:marBottom w:val="0"/>
                                                                  <w:divBdr>
                                                                    <w:top w:val="none" w:sz="0" w:space="0" w:color="auto"/>
                                                                    <w:left w:val="none" w:sz="0" w:space="0" w:color="auto"/>
                                                                    <w:bottom w:val="none" w:sz="0" w:space="0" w:color="auto"/>
                                                                    <w:right w:val="none" w:sz="0" w:space="0" w:color="auto"/>
                                                                  </w:divBdr>
                                                                  <w:divsChild>
                                                                    <w:div w:id="1860004780">
                                                                      <w:marLeft w:val="0"/>
                                                                      <w:marRight w:val="0"/>
                                                                      <w:marTop w:val="0"/>
                                                                      <w:marBottom w:val="0"/>
                                                                      <w:divBdr>
                                                                        <w:top w:val="none" w:sz="0" w:space="0" w:color="auto"/>
                                                                        <w:left w:val="none" w:sz="0" w:space="0" w:color="auto"/>
                                                                        <w:bottom w:val="none" w:sz="0" w:space="0" w:color="auto"/>
                                                                        <w:right w:val="none" w:sz="0" w:space="0" w:color="auto"/>
                                                                      </w:divBdr>
                                                                      <w:divsChild>
                                                                        <w:div w:id="6994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389444">
      <w:bodyDiv w:val="1"/>
      <w:marLeft w:val="0"/>
      <w:marRight w:val="0"/>
      <w:marTop w:val="0"/>
      <w:marBottom w:val="0"/>
      <w:divBdr>
        <w:top w:val="none" w:sz="0" w:space="0" w:color="auto"/>
        <w:left w:val="none" w:sz="0" w:space="0" w:color="auto"/>
        <w:bottom w:val="none" w:sz="0" w:space="0" w:color="auto"/>
        <w:right w:val="none" w:sz="0" w:space="0" w:color="auto"/>
      </w:divBdr>
    </w:div>
    <w:div w:id="891044090">
      <w:bodyDiv w:val="1"/>
      <w:marLeft w:val="0"/>
      <w:marRight w:val="0"/>
      <w:marTop w:val="0"/>
      <w:marBottom w:val="0"/>
      <w:divBdr>
        <w:top w:val="none" w:sz="0" w:space="0" w:color="auto"/>
        <w:left w:val="none" w:sz="0" w:space="0" w:color="auto"/>
        <w:bottom w:val="none" w:sz="0" w:space="0" w:color="auto"/>
        <w:right w:val="none" w:sz="0" w:space="0" w:color="auto"/>
      </w:divBdr>
      <w:divsChild>
        <w:div w:id="538203327">
          <w:marLeft w:val="0"/>
          <w:marRight w:val="0"/>
          <w:marTop w:val="0"/>
          <w:marBottom w:val="0"/>
          <w:divBdr>
            <w:top w:val="none" w:sz="0" w:space="0" w:color="auto"/>
            <w:left w:val="none" w:sz="0" w:space="0" w:color="auto"/>
            <w:bottom w:val="none" w:sz="0" w:space="0" w:color="auto"/>
            <w:right w:val="none" w:sz="0" w:space="0" w:color="auto"/>
          </w:divBdr>
          <w:divsChild>
            <w:div w:id="627246128">
              <w:marLeft w:val="0"/>
              <w:marRight w:val="0"/>
              <w:marTop w:val="0"/>
              <w:marBottom w:val="0"/>
              <w:divBdr>
                <w:top w:val="none" w:sz="0" w:space="0" w:color="auto"/>
                <w:left w:val="none" w:sz="0" w:space="0" w:color="auto"/>
                <w:bottom w:val="none" w:sz="0" w:space="0" w:color="auto"/>
                <w:right w:val="none" w:sz="0" w:space="0" w:color="auto"/>
              </w:divBdr>
              <w:divsChild>
                <w:div w:id="1028339333">
                  <w:marLeft w:val="0"/>
                  <w:marRight w:val="0"/>
                  <w:marTop w:val="0"/>
                  <w:marBottom w:val="0"/>
                  <w:divBdr>
                    <w:top w:val="none" w:sz="0" w:space="0" w:color="auto"/>
                    <w:left w:val="none" w:sz="0" w:space="0" w:color="auto"/>
                    <w:bottom w:val="none" w:sz="0" w:space="0" w:color="auto"/>
                    <w:right w:val="none" w:sz="0" w:space="0" w:color="auto"/>
                  </w:divBdr>
                  <w:divsChild>
                    <w:div w:id="1890845925">
                      <w:marLeft w:val="0"/>
                      <w:marRight w:val="0"/>
                      <w:marTop w:val="0"/>
                      <w:marBottom w:val="0"/>
                      <w:divBdr>
                        <w:top w:val="none" w:sz="0" w:space="0" w:color="auto"/>
                        <w:left w:val="none" w:sz="0" w:space="0" w:color="auto"/>
                        <w:bottom w:val="none" w:sz="0" w:space="0" w:color="auto"/>
                        <w:right w:val="none" w:sz="0" w:space="0" w:color="auto"/>
                      </w:divBdr>
                      <w:divsChild>
                        <w:div w:id="2071341348">
                          <w:marLeft w:val="0"/>
                          <w:marRight w:val="0"/>
                          <w:marTop w:val="0"/>
                          <w:marBottom w:val="0"/>
                          <w:divBdr>
                            <w:top w:val="none" w:sz="0" w:space="0" w:color="auto"/>
                            <w:left w:val="none" w:sz="0" w:space="0" w:color="auto"/>
                            <w:bottom w:val="none" w:sz="0" w:space="0" w:color="auto"/>
                            <w:right w:val="none" w:sz="0" w:space="0" w:color="auto"/>
                          </w:divBdr>
                          <w:divsChild>
                            <w:div w:id="1133980975">
                              <w:marLeft w:val="0"/>
                              <w:marRight w:val="0"/>
                              <w:marTop w:val="0"/>
                              <w:marBottom w:val="0"/>
                              <w:divBdr>
                                <w:top w:val="none" w:sz="0" w:space="0" w:color="auto"/>
                                <w:left w:val="none" w:sz="0" w:space="0" w:color="auto"/>
                                <w:bottom w:val="none" w:sz="0" w:space="0" w:color="auto"/>
                                <w:right w:val="none" w:sz="0" w:space="0" w:color="auto"/>
                              </w:divBdr>
                              <w:divsChild>
                                <w:div w:id="1704013549">
                                  <w:marLeft w:val="0"/>
                                  <w:marRight w:val="0"/>
                                  <w:marTop w:val="0"/>
                                  <w:marBottom w:val="0"/>
                                  <w:divBdr>
                                    <w:top w:val="none" w:sz="0" w:space="0" w:color="auto"/>
                                    <w:left w:val="none" w:sz="0" w:space="0" w:color="auto"/>
                                    <w:bottom w:val="none" w:sz="0" w:space="0" w:color="auto"/>
                                    <w:right w:val="none" w:sz="0" w:space="0" w:color="auto"/>
                                  </w:divBdr>
                                  <w:divsChild>
                                    <w:div w:id="1044329295">
                                      <w:marLeft w:val="0"/>
                                      <w:marRight w:val="0"/>
                                      <w:marTop w:val="0"/>
                                      <w:marBottom w:val="0"/>
                                      <w:divBdr>
                                        <w:top w:val="none" w:sz="0" w:space="0" w:color="auto"/>
                                        <w:left w:val="none" w:sz="0" w:space="0" w:color="auto"/>
                                        <w:bottom w:val="none" w:sz="0" w:space="0" w:color="auto"/>
                                        <w:right w:val="none" w:sz="0" w:space="0" w:color="auto"/>
                                      </w:divBdr>
                                      <w:divsChild>
                                        <w:div w:id="1284458039">
                                          <w:marLeft w:val="0"/>
                                          <w:marRight w:val="0"/>
                                          <w:marTop w:val="0"/>
                                          <w:marBottom w:val="0"/>
                                          <w:divBdr>
                                            <w:top w:val="none" w:sz="0" w:space="0" w:color="auto"/>
                                            <w:left w:val="none" w:sz="0" w:space="0" w:color="auto"/>
                                            <w:bottom w:val="none" w:sz="0" w:space="0" w:color="auto"/>
                                            <w:right w:val="none" w:sz="0" w:space="0" w:color="auto"/>
                                          </w:divBdr>
                                          <w:divsChild>
                                            <w:div w:id="78762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768142">
      <w:bodyDiv w:val="1"/>
      <w:marLeft w:val="0"/>
      <w:marRight w:val="0"/>
      <w:marTop w:val="0"/>
      <w:marBottom w:val="0"/>
      <w:divBdr>
        <w:top w:val="none" w:sz="0" w:space="0" w:color="auto"/>
        <w:left w:val="none" w:sz="0" w:space="0" w:color="auto"/>
        <w:bottom w:val="none" w:sz="0" w:space="0" w:color="auto"/>
        <w:right w:val="none" w:sz="0" w:space="0" w:color="auto"/>
      </w:divBdr>
    </w:div>
    <w:div w:id="953754292">
      <w:bodyDiv w:val="1"/>
      <w:marLeft w:val="0"/>
      <w:marRight w:val="0"/>
      <w:marTop w:val="0"/>
      <w:marBottom w:val="0"/>
      <w:divBdr>
        <w:top w:val="none" w:sz="0" w:space="0" w:color="auto"/>
        <w:left w:val="none" w:sz="0" w:space="0" w:color="auto"/>
        <w:bottom w:val="none" w:sz="0" w:space="0" w:color="auto"/>
        <w:right w:val="none" w:sz="0" w:space="0" w:color="auto"/>
      </w:divBdr>
    </w:div>
    <w:div w:id="978416240">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190023381">
      <w:bodyDiv w:val="1"/>
      <w:marLeft w:val="0"/>
      <w:marRight w:val="0"/>
      <w:marTop w:val="0"/>
      <w:marBottom w:val="0"/>
      <w:divBdr>
        <w:top w:val="none" w:sz="0" w:space="0" w:color="auto"/>
        <w:left w:val="none" w:sz="0" w:space="0" w:color="auto"/>
        <w:bottom w:val="none" w:sz="0" w:space="0" w:color="auto"/>
        <w:right w:val="none" w:sz="0" w:space="0" w:color="auto"/>
      </w:divBdr>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26910856">
      <w:bodyDiv w:val="1"/>
      <w:marLeft w:val="0"/>
      <w:marRight w:val="0"/>
      <w:marTop w:val="0"/>
      <w:marBottom w:val="0"/>
      <w:divBdr>
        <w:top w:val="none" w:sz="0" w:space="0" w:color="auto"/>
        <w:left w:val="none" w:sz="0" w:space="0" w:color="auto"/>
        <w:bottom w:val="none" w:sz="0" w:space="0" w:color="auto"/>
        <w:right w:val="none" w:sz="0" w:space="0" w:color="auto"/>
      </w:divBdr>
    </w:div>
    <w:div w:id="1265843032">
      <w:bodyDiv w:val="1"/>
      <w:marLeft w:val="0"/>
      <w:marRight w:val="0"/>
      <w:marTop w:val="0"/>
      <w:marBottom w:val="0"/>
      <w:divBdr>
        <w:top w:val="none" w:sz="0" w:space="0" w:color="auto"/>
        <w:left w:val="none" w:sz="0" w:space="0" w:color="auto"/>
        <w:bottom w:val="none" w:sz="0" w:space="0" w:color="auto"/>
        <w:right w:val="none" w:sz="0" w:space="0" w:color="auto"/>
      </w:divBdr>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53265987">
      <w:bodyDiv w:val="1"/>
      <w:marLeft w:val="0"/>
      <w:marRight w:val="0"/>
      <w:marTop w:val="0"/>
      <w:marBottom w:val="0"/>
      <w:divBdr>
        <w:top w:val="none" w:sz="0" w:space="0" w:color="auto"/>
        <w:left w:val="none" w:sz="0" w:space="0" w:color="auto"/>
        <w:bottom w:val="none" w:sz="0" w:space="0" w:color="auto"/>
        <w:right w:val="none" w:sz="0" w:space="0" w:color="auto"/>
      </w:divBdr>
    </w:div>
    <w:div w:id="1365641432">
      <w:bodyDiv w:val="1"/>
      <w:marLeft w:val="0"/>
      <w:marRight w:val="0"/>
      <w:marTop w:val="0"/>
      <w:marBottom w:val="0"/>
      <w:divBdr>
        <w:top w:val="none" w:sz="0" w:space="0" w:color="auto"/>
        <w:left w:val="none" w:sz="0" w:space="0" w:color="auto"/>
        <w:bottom w:val="none" w:sz="0" w:space="0" w:color="auto"/>
        <w:right w:val="none" w:sz="0" w:space="0" w:color="auto"/>
      </w:divBdr>
      <w:divsChild>
        <w:div w:id="1942835601">
          <w:marLeft w:val="0"/>
          <w:marRight w:val="0"/>
          <w:marTop w:val="0"/>
          <w:marBottom w:val="0"/>
          <w:divBdr>
            <w:top w:val="none" w:sz="0" w:space="0" w:color="auto"/>
            <w:left w:val="none" w:sz="0" w:space="0" w:color="auto"/>
            <w:bottom w:val="none" w:sz="0" w:space="0" w:color="auto"/>
            <w:right w:val="none" w:sz="0" w:space="0" w:color="auto"/>
          </w:divBdr>
          <w:divsChild>
            <w:div w:id="509829390">
              <w:marLeft w:val="0"/>
              <w:marRight w:val="0"/>
              <w:marTop w:val="0"/>
              <w:marBottom w:val="0"/>
              <w:divBdr>
                <w:top w:val="none" w:sz="0" w:space="0" w:color="auto"/>
                <w:left w:val="none" w:sz="0" w:space="0" w:color="auto"/>
                <w:bottom w:val="none" w:sz="0" w:space="0" w:color="auto"/>
                <w:right w:val="none" w:sz="0" w:space="0" w:color="auto"/>
              </w:divBdr>
              <w:divsChild>
                <w:div w:id="1971092066">
                  <w:marLeft w:val="0"/>
                  <w:marRight w:val="0"/>
                  <w:marTop w:val="0"/>
                  <w:marBottom w:val="0"/>
                  <w:divBdr>
                    <w:top w:val="none" w:sz="0" w:space="0" w:color="auto"/>
                    <w:left w:val="none" w:sz="0" w:space="0" w:color="auto"/>
                    <w:bottom w:val="none" w:sz="0" w:space="0" w:color="auto"/>
                    <w:right w:val="none" w:sz="0" w:space="0" w:color="auto"/>
                  </w:divBdr>
                  <w:divsChild>
                    <w:div w:id="177934253">
                      <w:marLeft w:val="0"/>
                      <w:marRight w:val="0"/>
                      <w:marTop w:val="0"/>
                      <w:marBottom w:val="0"/>
                      <w:divBdr>
                        <w:top w:val="none" w:sz="0" w:space="0" w:color="auto"/>
                        <w:left w:val="none" w:sz="0" w:space="0" w:color="auto"/>
                        <w:bottom w:val="none" w:sz="0" w:space="0" w:color="auto"/>
                        <w:right w:val="none" w:sz="0" w:space="0" w:color="auto"/>
                      </w:divBdr>
                      <w:divsChild>
                        <w:div w:id="830943869">
                          <w:marLeft w:val="0"/>
                          <w:marRight w:val="0"/>
                          <w:marTop w:val="0"/>
                          <w:marBottom w:val="0"/>
                          <w:divBdr>
                            <w:top w:val="none" w:sz="0" w:space="0" w:color="auto"/>
                            <w:left w:val="none" w:sz="0" w:space="0" w:color="auto"/>
                            <w:bottom w:val="none" w:sz="0" w:space="0" w:color="auto"/>
                            <w:right w:val="none" w:sz="0" w:space="0" w:color="auto"/>
                          </w:divBdr>
                          <w:divsChild>
                            <w:div w:id="2093159700">
                              <w:marLeft w:val="0"/>
                              <w:marRight w:val="0"/>
                              <w:marTop w:val="0"/>
                              <w:marBottom w:val="0"/>
                              <w:divBdr>
                                <w:top w:val="none" w:sz="0" w:space="0" w:color="auto"/>
                                <w:left w:val="none" w:sz="0" w:space="0" w:color="auto"/>
                                <w:bottom w:val="none" w:sz="0" w:space="0" w:color="auto"/>
                                <w:right w:val="none" w:sz="0" w:space="0" w:color="auto"/>
                              </w:divBdr>
                              <w:divsChild>
                                <w:div w:id="1003124954">
                                  <w:marLeft w:val="0"/>
                                  <w:marRight w:val="0"/>
                                  <w:marTop w:val="0"/>
                                  <w:marBottom w:val="0"/>
                                  <w:divBdr>
                                    <w:top w:val="none" w:sz="0" w:space="0" w:color="auto"/>
                                    <w:left w:val="none" w:sz="0" w:space="0" w:color="auto"/>
                                    <w:bottom w:val="none" w:sz="0" w:space="0" w:color="auto"/>
                                    <w:right w:val="none" w:sz="0" w:space="0" w:color="auto"/>
                                  </w:divBdr>
                                  <w:divsChild>
                                    <w:div w:id="1264655233">
                                      <w:marLeft w:val="0"/>
                                      <w:marRight w:val="0"/>
                                      <w:marTop w:val="0"/>
                                      <w:marBottom w:val="0"/>
                                      <w:divBdr>
                                        <w:top w:val="none" w:sz="0" w:space="0" w:color="auto"/>
                                        <w:left w:val="none" w:sz="0" w:space="0" w:color="auto"/>
                                        <w:bottom w:val="none" w:sz="0" w:space="0" w:color="auto"/>
                                        <w:right w:val="none" w:sz="0" w:space="0" w:color="auto"/>
                                      </w:divBdr>
                                      <w:divsChild>
                                        <w:div w:id="1382559786">
                                          <w:marLeft w:val="0"/>
                                          <w:marRight w:val="0"/>
                                          <w:marTop w:val="0"/>
                                          <w:marBottom w:val="0"/>
                                          <w:divBdr>
                                            <w:top w:val="none" w:sz="0" w:space="0" w:color="auto"/>
                                            <w:left w:val="none" w:sz="0" w:space="0" w:color="auto"/>
                                            <w:bottom w:val="none" w:sz="0" w:space="0" w:color="auto"/>
                                            <w:right w:val="none" w:sz="0" w:space="0" w:color="auto"/>
                                          </w:divBdr>
                                          <w:divsChild>
                                            <w:div w:id="594359582">
                                              <w:marLeft w:val="0"/>
                                              <w:marRight w:val="0"/>
                                              <w:marTop w:val="0"/>
                                              <w:marBottom w:val="0"/>
                                              <w:divBdr>
                                                <w:top w:val="none" w:sz="0" w:space="0" w:color="auto"/>
                                                <w:left w:val="none" w:sz="0" w:space="0" w:color="auto"/>
                                                <w:bottom w:val="none" w:sz="0" w:space="0" w:color="auto"/>
                                                <w:right w:val="none" w:sz="0" w:space="0" w:color="auto"/>
                                              </w:divBdr>
                                              <w:divsChild>
                                                <w:div w:id="1272856208">
                                                  <w:marLeft w:val="0"/>
                                                  <w:marRight w:val="0"/>
                                                  <w:marTop w:val="0"/>
                                                  <w:marBottom w:val="0"/>
                                                  <w:divBdr>
                                                    <w:top w:val="none" w:sz="0" w:space="0" w:color="auto"/>
                                                    <w:left w:val="none" w:sz="0" w:space="0" w:color="auto"/>
                                                    <w:bottom w:val="none" w:sz="0" w:space="0" w:color="auto"/>
                                                    <w:right w:val="none" w:sz="0" w:space="0" w:color="auto"/>
                                                  </w:divBdr>
                                                  <w:divsChild>
                                                    <w:div w:id="1298532818">
                                                      <w:marLeft w:val="0"/>
                                                      <w:marRight w:val="0"/>
                                                      <w:marTop w:val="0"/>
                                                      <w:marBottom w:val="0"/>
                                                      <w:divBdr>
                                                        <w:top w:val="none" w:sz="0" w:space="0" w:color="auto"/>
                                                        <w:left w:val="none" w:sz="0" w:space="0" w:color="auto"/>
                                                        <w:bottom w:val="none" w:sz="0" w:space="0" w:color="auto"/>
                                                        <w:right w:val="none" w:sz="0" w:space="0" w:color="auto"/>
                                                      </w:divBdr>
                                                      <w:divsChild>
                                                        <w:div w:id="132992508">
                                                          <w:marLeft w:val="0"/>
                                                          <w:marRight w:val="105"/>
                                                          <w:marTop w:val="0"/>
                                                          <w:marBottom w:val="15"/>
                                                          <w:divBdr>
                                                            <w:top w:val="none" w:sz="0" w:space="0" w:color="auto"/>
                                                            <w:left w:val="none" w:sz="0" w:space="0" w:color="auto"/>
                                                            <w:bottom w:val="none" w:sz="0" w:space="0" w:color="auto"/>
                                                            <w:right w:val="none" w:sz="0" w:space="0" w:color="auto"/>
                                                          </w:divBdr>
                                                          <w:divsChild>
                                                            <w:div w:id="127356866">
                                                              <w:marLeft w:val="0"/>
                                                              <w:marRight w:val="0"/>
                                                              <w:marTop w:val="0"/>
                                                              <w:marBottom w:val="0"/>
                                                              <w:divBdr>
                                                                <w:top w:val="none" w:sz="0" w:space="0" w:color="auto"/>
                                                                <w:left w:val="none" w:sz="0" w:space="0" w:color="auto"/>
                                                                <w:bottom w:val="none" w:sz="0" w:space="0" w:color="auto"/>
                                                                <w:right w:val="none" w:sz="0" w:space="0" w:color="auto"/>
                                                              </w:divBdr>
                                                            </w:div>
                                                            <w:div w:id="17737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09478">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449741394">
      <w:bodyDiv w:val="1"/>
      <w:marLeft w:val="0"/>
      <w:marRight w:val="0"/>
      <w:marTop w:val="0"/>
      <w:marBottom w:val="0"/>
      <w:divBdr>
        <w:top w:val="none" w:sz="0" w:space="0" w:color="auto"/>
        <w:left w:val="none" w:sz="0" w:space="0" w:color="auto"/>
        <w:bottom w:val="none" w:sz="0" w:space="0" w:color="auto"/>
        <w:right w:val="none" w:sz="0" w:space="0" w:color="auto"/>
      </w:divBdr>
    </w:div>
    <w:div w:id="1456025985">
      <w:bodyDiv w:val="1"/>
      <w:marLeft w:val="0"/>
      <w:marRight w:val="0"/>
      <w:marTop w:val="0"/>
      <w:marBottom w:val="0"/>
      <w:divBdr>
        <w:top w:val="none" w:sz="0" w:space="0" w:color="auto"/>
        <w:left w:val="none" w:sz="0" w:space="0" w:color="auto"/>
        <w:bottom w:val="none" w:sz="0" w:space="0" w:color="auto"/>
        <w:right w:val="none" w:sz="0" w:space="0" w:color="auto"/>
      </w:divBdr>
    </w:div>
    <w:div w:id="1503201667">
      <w:bodyDiv w:val="1"/>
      <w:marLeft w:val="0"/>
      <w:marRight w:val="0"/>
      <w:marTop w:val="0"/>
      <w:marBottom w:val="0"/>
      <w:divBdr>
        <w:top w:val="none" w:sz="0" w:space="0" w:color="auto"/>
        <w:left w:val="none" w:sz="0" w:space="0" w:color="auto"/>
        <w:bottom w:val="none" w:sz="0" w:space="0" w:color="auto"/>
        <w:right w:val="none" w:sz="0" w:space="0" w:color="auto"/>
      </w:divBdr>
    </w:div>
    <w:div w:id="1514031469">
      <w:bodyDiv w:val="1"/>
      <w:marLeft w:val="0"/>
      <w:marRight w:val="0"/>
      <w:marTop w:val="0"/>
      <w:marBottom w:val="0"/>
      <w:divBdr>
        <w:top w:val="none" w:sz="0" w:space="0" w:color="auto"/>
        <w:left w:val="none" w:sz="0" w:space="0" w:color="auto"/>
        <w:bottom w:val="none" w:sz="0" w:space="0" w:color="auto"/>
        <w:right w:val="none" w:sz="0" w:space="0" w:color="auto"/>
      </w:divBdr>
    </w:div>
    <w:div w:id="1574973898">
      <w:bodyDiv w:val="1"/>
      <w:marLeft w:val="0"/>
      <w:marRight w:val="0"/>
      <w:marTop w:val="0"/>
      <w:marBottom w:val="0"/>
      <w:divBdr>
        <w:top w:val="none" w:sz="0" w:space="0" w:color="auto"/>
        <w:left w:val="none" w:sz="0" w:space="0" w:color="auto"/>
        <w:bottom w:val="none" w:sz="0" w:space="0" w:color="auto"/>
        <w:right w:val="none" w:sz="0" w:space="0" w:color="auto"/>
      </w:divBdr>
    </w:div>
    <w:div w:id="1646857046">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5601290">
      <w:bodyDiv w:val="1"/>
      <w:marLeft w:val="0"/>
      <w:marRight w:val="0"/>
      <w:marTop w:val="0"/>
      <w:marBottom w:val="0"/>
      <w:divBdr>
        <w:top w:val="none" w:sz="0" w:space="0" w:color="auto"/>
        <w:left w:val="none" w:sz="0" w:space="0" w:color="auto"/>
        <w:bottom w:val="none" w:sz="0" w:space="0" w:color="auto"/>
        <w:right w:val="none" w:sz="0" w:space="0" w:color="auto"/>
      </w:divBdr>
    </w:div>
    <w:div w:id="1670862164">
      <w:bodyDiv w:val="1"/>
      <w:marLeft w:val="0"/>
      <w:marRight w:val="0"/>
      <w:marTop w:val="0"/>
      <w:marBottom w:val="0"/>
      <w:divBdr>
        <w:top w:val="none" w:sz="0" w:space="0" w:color="auto"/>
        <w:left w:val="none" w:sz="0" w:space="0" w:color="auto"/>
        <w:bottom w:val="none" w:sz="0" w:space="0" w:color="auto"/>
        <w:right w:val="none" w:sz="0" w:space="0" w:color="auto"/>
      </w:divBdr>
    </w:div>
    <w:div w:id="1696811704">
      <w:bodyDiv w:val="1"/>
      <w:marLeft w:val="0"/>
      <w:marRight w:val="0"/>
      <w:marTop w:val="0"/>
      <w:marBottom w:val="0"/>
      <w:divBdr>
        <w:top w:val="none" w:sz="0" w:space="0" w:color="auto"/>
        <w:left w:val="none" w:sz="0" w:space="0" w:color="auto"/>
        <w:bottom w:val="none" w:sz="0" w:space="0" w:color="auto"/>
        <w:right w:val="none" w:sz="0" w:space="0" w:color="auto"/>
      </w:divBdr>
    </w:div>
    <w:div w:id="1701786075">
      <w:bodyDiv w:val="1"/>
      <w:marLeft w:val="0"/>
      <w:marRight w:val="0"/>
      <w:marTop w:val="0"/>
      <w:marBottom w:val="0"/>
      <w:divBdr>
        <w:top w:val="none" w:sz="0" w:space="0" w:color="auto"/>
        <w:left w:val="none" w:sz="0" w:space="0" w:color="auto"/>
        <w:bottom w:val="none" w:sz="0" w:space="0" w:color="auto"/>
        <w:right w:val="none" w:sz="0" w:space="0" w:color="auto"/>
      </w:divBdr>
    </w:div>
    <w:div w:id="1721974256">
      <w:bodyDiv w:val="1"/>
      <w:marLeft w:val="0"/>
      <w:marRight w:val="0"/>
      <w:marTop w:val="0"/>
      <w:marBottom w:val="0"/>
      <w:divBdr>
        <w:top w:val="none" w:sz="0" w:space="0" w:color="auto"/>
        <w:left w:val="none" w:sz="0" w:space="0" w:color="auto"/>
        <w:bottom w:val="none" w:sz="0" w:space="0" w:color="auto"/>
        <w:right w:val="none" w:sz="0" w:space="0" w:color="auto"/>
      </w:divBdr>
    </w:div>
    <w:div w:id="1795099103">
      <w:bodyDiv w:val="1"/>
      <w:marLeft w:val="0"/>
      <w:marRight w:val="0"/>
      <w:marTop w:val="0"/>
      <w:marBottom w:val="0"/>
      <w:divBdr>
        <w:top w:val="none" w:sz="0" w:space="0" w:color="auto"/>
        <w:left w:val="none" w:sz="0" w:space="0" w:color="auto"/>
        <w:bottom w:val="none" w:sz="0" w:space="0" w:color="auto"/>
        <w:right w:val="none" w:sz="0" w:space="0" w:color="auto"/>
      </w:divBdr>
    </w:div>
    <w:div w:id="1865825429">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98220981">
      <w:bodyDiv w:val="1"/>
      <w:marLeft w:val="0"/>
      <w:marRight w:val="0"/>
      <w:marTop w:val="0"/>
      <w:marBottom w:val="0"/>
      <w:divBdr>
        <w:top w:val="none" w:sz="0" w:space="0" w:color="auto"/>
        <w:left w:val="none" w:sz="0" w:space="0" w:color="auto"/>
        <w:bottom w:val="none" w:sz="0" w:space="0" w:color="auto"/>
        <w:right w:val="none" w:sz="0" w:space="0" w:color="auto"/>
      </w:divBdr>
    </w:div>
    <w:div w:id="2047755474">
      <w:bodyDiv w:val="1"/>
      <w:marLeft w:val="0"/>
      <w:marRight w:val="0"/>
      <w:marTop w:val="0"/>
      <w:marBottom w:val="0"/>
      <w:divBdr>
        <w:top w:val="none" w:sz="0" w:space="0" w:color="auto"/>
        <w:left w:val="none" w:sz="0" w:space="0" w:color="auto"/>
        <w:bottom w:val="none" w:sz="0" w:space="0" w:color="auto"/>
        <w:right w:val="none" w:sz="0" w:space="0" w:color="auto"/>
      </w:divBdr>
    </w:div>
    <w:div w:id="2071999819">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516247">
      <w:bodyDiv w:val="1"/>
      <w:marLeft w:val="0"/>
      <w:marRight w:val="0"/>
      <w:marTop w:val="0"/>
      <w:marBottom w:val="0"/>
      <w:divBdr>
        <w:top w:val="none" w:sz="0" w:space="0" w:color="auto"/>
        <w:left w:val="none" w:sz="0" w:space="0" w:color="auto"/>
        <w:bottom w:val="none" w:sz="0" w:space="0" w:color="auto"/>
        <w:right w:val="none" w:sz="0" w:space="0" w:color="auto"/>
      </w:divBdr>
    </w:div>
    <w:div w:id="2085957082">
      <w:bodyDiv w:val="1"/>
      <w:marLeft w:val="0"/>
      <w:marRight w:val="0"/>
      <w:marTop w:val="0"/>
      <w:marBottom w:val="0"/>
      <w:divBdr>
        <w:top w:val="none" w:sz="0" w:space="0" w:color="auto"/>
        <w:left w:val="none" w:sz="0" w:space="0" w:color="auto"/>
        <w:bottom w:val="none" w:sz="0" w:space="0" w:color="auto"/>
        <w:right w:val="none" w:sz="0" w:space="0" w:color="auto"/>
      </w:divBdr>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ipu.org/iss-e/women.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www.pacwip.org/women-mps/national-women-mps/" TargetMode="External"/><Relationship Id="rId2" Type="http://schemas.openxmlformats.org/officeDocument/2006/relationships/hyperlink" Target="http://www.ipu.org/wmn-e/world.htm" TargetMode="External"/><Relationship Id="rId1" Type="http://schemas.openxmlformats.org/officeDocument/2006/relationships/hyperlink" Target="http://www.pacificplanreview.org/pacific-plan/"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27FDF1-82AB-4C56-8B87-1BDB70EE981E}"/>
</file>

<file path=customXml/itemProps2.xml><?xml version="1.0" encoding="utf-8"?>
<ds:datastoreItem xmlns:ds="http://schemas.openxmlformats.org/officeDocument/2006/customXml" ds:itemID="{82F40A21-3DAF-4A23-958F-606D63D52B02}"/>
</file>

<file path=customXml/itemProps3.xml><?xml version="1.0" encoding="utf-8"?>
<ds:datastoreItem xmlns:ds="http://schemas.openxmlformats.org/officeDocument/2006/customXml" ds:itemID="{C948EA4C-124A-4A59-8BA6-E7DD59970C15}"/>
</file>

<file path=customXml/itemProps4.xml><?xml version="1.0" encoding="utf-8"?>
<ds:datastoreItem xmlns:ds="http://schemas.openxmlformats.org/officeDocument/2006/customXml" ds:itemID="{AEA3BE11-5AF1-46A0-8728-05E801A16F83}"/>
</file>

<file path=docProps/app.xml><?xml version="1.0" encoding="utf-8"?>
<Properties xmlns="http://schemas.openxmlformats.org/officeDocument/2006/extended-properties" xmlns:vt="http://schemas.openxmlformats.org/officeDocument/2006/docPropsVTypes">
  <Template>BE98ABE4</Template>
  <TotalTime>0</TotalTime>
  <Pages>29</Pages>
  <Words>10869</Words>
  <Characters>61954</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2014-10-29T00:10:00Z</dcterms:created>
  <dcterms:modified xsi:type="dcterms:W3CDTF">2014-10-29T00:10:00Z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908500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