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436B29" w:rsidP="006E631D">
      <w:pPr>
        <w:pStyle w:val="Heading2"/>
        <w:spacing w:before="0" w:line="276" w:lineRule="auto"/>
        <w:rPr>
          <w:sz w:val="28"/>
        </w:rPr>
      </w:pPr>
      <w:bookmarkStart w:id="0" w:name="_GoBack"/>
      <w:bookmarkEnd w:id="0"/>
      <w:r>
        <w:rPr>
          <w:sz w:val="28"/>
        </w:rPr>
        <w:t>Annex N</w:t>
      </w:r>
      <w:r w:rsidR="00D80DA6">
        <w:rPr>
          <w:sz w:val="28"/>
        </w:rPr>
        <w:t xml:space="preserve"> </w:t>
      </w:r>
    </w:p>
    <w:p w:rsidR="00D80DA6" w:rsidRDefault="00D80DA6" w:rsidP="006E631D">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44636D" w:rsidP="006E631D">
      <w:pPr>
        <w:pStyle w:val="Heading2"/>
        <w:spacing w:before="0" w:line="276" w:lineRule="auto"/>
        <w:rPr>
          <w:sz w:val="28"/>
        </w:rPr>
      </w:pPr>
      <w:r>
        <w:rPr>
          <w:sz w:val="28"/>
        </w:rPr>
        <w:t>Tuvalu</w:t>
      </w:r>
      <w:r w:rsidR="00D80DA6" w:rsidRPr="00D80DA6">
        <w:rPr>
          <w:sz w:val="28"/>
        </w:rPr>
        <w:t xml:space="preserve"> </w:t>
      </w:r>
      <w:r w:rsidR="00436B29">
        <w:rPr>
          <w:sz w:val="28"/>
        </w:rPr>
        <w:t>Regional</w:t>
      </w:r>
      <w:r w:rsidR="00D80DA6" w:rsidRPr="00D80DA6">
        <w:rPr>
          <w:sz w:val="28"/>
        </w:rPr>
        <w:t xml:space="preserve"> Program - 2013</w:t>
      </w:r>
      <w:r w:rsidR="00D80DA6" w:rsidRPr="00D80DA6">
        <w:rPr>
          <w:sz w:val="28"/>
        </w:rPr>
        <w:tab/>
      </w:r>
      <w:r w:rsidR="00D80DA6" w:rsidRPr="00D80DA6">
        <w:rPr>
          <w:sz w:val="28"/>
        </w:rPr>
        <w:tab/>
      </w:r>
    </w:p>
    <w:p w:rsidR="00D80DA6" w:rsidRDefault="00D80DA6" w:rsidP="006E631D">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180B19" w:rsidRDefault="00D80DA6" w:rsidP="006E631D">
            <w:pPr>
              <w:pStyle w:val="TableHeading1"/>
              <w:spacing w:before="0" w:after="120" w:line="276" w:lineRule="auto"/>
            </w:pPr>
          </w:p>
        </w:tc>
        <w:tc>
          <w:tcPr>
            <w:tcW w:w="1534" w:type="dxa"/>
          </w:tcPr>
          <w:p w:rsidR="00D80DA6" w:rsidRPr="00180B19" w:rsidRDefault="00D80DA6" w:rsidP="006E631D">
            <w:pPr>
              <w:pStyle w:val="TableHeading1"/>
              <w:spacing w:before="0" w:after="120" w:line="276" w:lineRule="auto"/>
            </w:pPr>
            <w:r>
              <w:t xml:space="preserve">2013/14 </w:t>
            </w:r>
            <w:r>
              <w:br/>
              <w:t>(Actual)</w:t>
            </w:r>
          </w:p>
        </w:tc>
        <w:tc>
          <w:tcPr>
            <w:tcW w:w="1552" w:type="dxa"/>
          </w:tcPr>
          <w:p w:rsidR="00D80DA6" w:rsidRPr="00180B19" w:rsidRDefault="00D80DA6" w:rsidP="006E631D">
            <w:pPr>
              <w:pStyle w:val="TableHeading1"/>
              <w:spacing w:before="0" w:after="120" w:line="276" w:lineRule="auto"/>
            </w:pPr>
            <w:r>
              <w:t>2014/15</w:t>
            </w:r>
            <w:r>
              <w:br/>
              <w:t xml:space="preserve"> (Plan)</w:t>
            </w:r>
          </w:p>
        </w:tc>
      </w:tr>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2B1D75" w:rsidRDefault="0044636D" w:rsidP="006E631D">
            <w:pPr>
              <w:pStyle w:val="TableTextEntries"/>
              <w:spacing w:before="0" w:after="120" w:line="276" w:lineRule="auto"/>
            </w:pPr>
            <w:r>
              <w:t>Tuvalu</w:t>
            </w:r>
          </w:p>
        </w:tc>
        <w:tc>
          <w:tcPr>
            <w:tcW w:w="1534" w:type="dxa"/>
          </w:tcPr>
          <w:p w:rsidR="00D80DA6" w:rsidRPr="00C57923" w:rsidRDefault="0044636D" w:rsidP="006E631D">
            <w:pPr>
              <w:pStyle w:val="TableTextEntries"/>
              <w:spacing w:before="0" w:after="120" w:line="276" w:lineRule="auto"/>
            </w:pPr>
            <w:r w:rsidRPr="0044636D">
              <w:t>A$3,263,847</w:t>
            </w:r>
          </w:p>
        </w:tc>
        <w:tc>
          <w:tcPr>
            <w:tcW w:w="1552" w:type="dxa"/>
          </w:tcPr>
          <w:p w:rsidR="00D80DA6" w:rsidRPr="00C57923" w:rsidRDefault="0044636D" w:rsidP="006E631D">
            <w:pPr>
              <w:pStyle w:val="TableTextEntries"/>
              <w:spacing w:before="0" w:after="120" w:line="276" w:lineRule="auto"/>
            </w:pPr>
            <w:r w:rsidRPr="0044636D">
              <w:t>A$3,292,316</w:t>
            </w:r>
          </w:p>
        </w:tc>
      </w:tr>
    </w:tbl>
    <w:p w:rsidR="002B1D75" w:rsidRDefault="002B1D75" w:rsidP="006E631D">
      <w:pPr>
        <w:pStyle w:val="ListBullet"/>
        <w:numPr>
          <w:ilvl w:val="0"/>
          <w:numId w:val="0"/>
        </w:numPr>
        <w:spacing w:line="276" w:lineRule="auto"/>
      </w:pPr>
    </w:p>
    <w:p w:rsidR="00D80DA6" w:rsidRPr="00AC6F49" w:rsidRDefault="002B1D75" w:rsidP="006E631D">
      <w:pPr>
        <w:pStyle w:val="ListBullet"/>
        <w:numPr>
          <w:ilvl w:val="0"/>
          <w:numId w:val="0"/>
        </w:numPr>
        <w:spacing w:line="276" w:lineRule="auto"/>
      </w:pPr>
      <w:r w:rsidRPr="002B1D75">
        <w:t>This Annex outlines the country-level results of selected investments of the Pacific R</w:t>
      </w:r>
      <w:r w:rsidR="00B97250">
        <w:t xml:space="preserve">egional Aid Program for </w:t>
      </w:r>
      <w:r w:rsidR="0044636D">
        <w:t>Tuvalu</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6E631D">
      <w:pPr>
        <w:pStyle w:val="Heading2"/>
        <w:spacing w:before="0" w:line="276" w:lineRule="auto"/>
        <w:rPr>
          <w:rStyle w:val="BodyTextChar"/>
        </w:rPr>
      </w:pPr>
      <w:r w:rsidRPr="002B1D75">
        <w:rPr>
          <w:sz w:val="28"/>
        </w:rPr>
        <w:t xml:space="preserve">Contributions to </w:t>
      </w:r>
      <w:r w:rsidR="0044636D">
        <w:rPr>
          <w:sz w:val="28"/>
        </w:rPr>
        <w:t>Tuvalu</w:t>
      </w:r>
      <w:r w:rsidRPr="002B1D75">
        <w:rPr>
          <w:sz w:val="28"/>
        </w:rPr>
        <w:t xml:space="preserve"> Country Program Outcomes</w:t>
      </w:r>
      <w:r w:rsidR="00D80DA6" w:rsidRPr="009E38C1">
        <w:rPr>
          <w:sz w:val="28"/>
        </w:rPr>
        <w:t xml:space="preserve"> </w:t>
      </w:r>
      <w:r w:rsidR="00D80DA6" w:rsidRPr="009E38C1">
        <w:rPr>
          <w:sz w:val="28"/>
        </w:rPr>
        <w:tab/>
      </w:r>
      <w:r w:rsidR="00D80DA6">
        <w:rPr>
          <w:sz w:val="32"/>
          <w:szCs w:val="32"/>
        </w:rPr>
        <w:tab/>
      </w:r>
      <w:r w:rsidR="00D80DA6">
        <w:rPr>
          <w:rStyle w:val="BodyTextChar"/>
        </w:rPr>
        <w:tab/>
      </w:r>
    </w:p>
    <w:p w:rsidR="00D80DA6" w:rsidRPr="002B1D75" w:rsidRDefault="0044636D" w:rsidP="006E631D">
      <w:pPr>
        <w:pStyle w:val="Heading3"/>
        <w:spacing w:before="0" w:line="276" w:lineRule="auto"/>
        <w:rPr>
          <w:rStyle w:val="BodyTextChar"/>
          <w:rFonts w:ascii="Helvetica" w:hAnsi="Helvetica" w:cs="Arial"/>
          <w:sz w:val="22"/>
          <w:szCs w:val="22"/>
          <w:lang w:eastAsia="zh-CN"/>
        </w:rPr>
      </w:pPr>
      <w:r w:rsidRPr="0044636D">
        <w:t xml:space="preserve">Outcome 1 – </w:t>
      </w:r>
      <w:r w:rsidR="005D047C">
        <w:t>G</w:t>
      </w:r>
      <w:r w:rsidR="005D047C" w:rsidRPr="0044636D">
        <w:t xml:space="preserve">ood </w:t>
      </w:r>
      <w:r w:rsidRPr="0044636D">
        <w:t>governance, economic growth and stability</w:t>
      </w:r>
      <w:r w:rsidR="00D80DA6">
        <w:rPr>
          <w:rStyle w:val="BodyTextChar"/>
        </w:rPr>
        <w:tab/>
      </w:r>
    </w:p>
    <w:p w:rsidR="00B97250" w:rsidRPr="00B97250" w:rsidRDefault="00B97250" w:rsidP="006E631D">
      <w:pPr>
        <w:pStyle w:val="Heading3"/>
        <w:spacing w:before="0" w:line="276" w:lineRule="auto"/>
        <w:rPr>
          <w:rFonts w:ascii="Franklin Gothic Book" w:hAnsi="Franklin Gothic Book" w:cs="Times New Roman"/>
          <w:b w:val="0"/>
          <w:color w:val="auto"/>
          <w:kern w:val="0"/>
          <w:sz w:val="21"/>
          <w:szCs w:val="24"/>
          <w:lang w:eastAsia="en-AU"/>
        </w:rPr>
      </w:pPr>
      <w:r w:rsidRPr="00B97250">
        <w:rPr>
          <w:rFonts w:ascii="Franklin Gothic Book" w:hAnsi="Franklin Gothic Book" w:cs="Times New Roman"/>
          <w:b w:val="0"/>
          <w:color w:val="auto"/>
          <w:kern w:val="0"/>
          <w:sz w:val="21"/>
          <w:szCs w:val="24"/>
          <w:lang w:eastAsia="en-AU"/>
        </w:rPr>
        <w:t>Examples of contributions to this objective from the DFAT Pacific Regional Program include:</w:t>
      </w:r>
    </w:p>
    <w:p w:rsidR="0044636D" w:rsidRPr="0044636D" w:rsidRDefault="0044636D" w:rsidP="0044636D">
      <w:pPr>
        <w:pStyle w:val="ListBullet"/>
        <w:tabs>
          <w:tab w:val="clear" w:pos="284"/>
        </w:tabs>
        <w:spacing w:line="276" w:lineRule="auto"/>
      </w:pPr>
      <w:r w:rsidRPr="0044636D">
        <w:t>The Pacific Financial Technical Assistance Centre (PFTAC) provided support to Tuvalu in developing a Public Financial Management (PFM) Roadmap, which lays out the Government of Tuvalu’s plan for improving public financial management, including the resourcing required to achieve its PFM targets. PFTAC has also supported an in-country advisor to support day-to-day revenue administration in Tuvalu.</w:t>
      </w:r>
    </w:p>
    <w:p w:rsidR="0044636D" w:rsidRPr="0044636D" w:rsidRDefault="0044636D" w:rsidP="0044636D">
      <w:pPr>
        <w:pStyle w:val="ListBullet"/>
        <w:tabs>
          <w:tab w:val="clear" w:pos="284"/>
        </w:tabs>
        <w:spacing w:line="276" w:lineRule="auto"/>
      </w:pPr>
      <w:r w:rsidRPr="0044636D">
        <w:t>The government of Tuvalu has received advisory services from the Pacific Islands Centre for Public Administration (PICPA) on key issues relating to administrative governance.</w:t>
      </w:r>
    </w:p>
    <w:p w:rsidR="0044636D" w:rsidRPr="0044636D" w:rsidRDefault="0044636D" w:rsidP="0044636D">
      <w:pPr>
        <w:pStyle w:val="ListBullet"/>
        <w:tabs>
          <w:tab w:val="clear" w:pos="284"/>
        </w:tabs>
        <w:spacing w:line="276" w:lineRule="auto"/>
      </w:pPr>
      <w:r w:rsidRPr="0044636D">
        <w:t>Through its Sub-Regional Audit Support Program, the Pacific Association of Supreme Audit Institutions (PASAI) is building the skills of officers in the audit office through cooperative financial audits and in-country visits to enable high-quality, timely auditing of Tuvalu’s national accounts.</w:t>
      </w:r>
    </w:p>
    <w:p w:rsidR="0044636D" w:rsidRDefault="0044636D" w:rsidP="006E631D">
      <w:pPr>
        <w:spacing w:after="120" w:line="276" w:lineRule="auto"/>
        <w:rPr>
          <w:rFonts w:ascii="Helvetica" w:eastAsia="Times New Roman" w:hAnsi="Helvetica" w:cs="Arial"/>
          <w:b/>
          <w:color w:val="124486"/>
          <w:kern w:val="28"/>
          <w:sz w:val="22"/>
          <w:szCs w:val="22"/>
          <w:lang w:eastAsia="zh-CN"/>
        </w:rPr>
      </w:pPr>
      <w:r w:rsidRPr="0044636D">
        <w:rPr>
          <w:rFonts w:ascii="Helvetica" w:eastAsia="Times New Roman" w:hAnsi="Helvetica" w:cs="Arial"/>
          <w:b/>
          <w:color w:val="124486"/>
          <w:kern w:val="28"/>
          <w:sz w:val="22"/>
          <w:szCs w:val="22"/>
          <w:lang w:eastAsia="zh-CN"/>
        </w:rPr>
        <w:t xml:space="preserve">Outcome 2 – </w:t>
      </w:r>
      <w:r w:rsidR="005D047C">
        <w:rPr>
          <w:rFonts w:ascii="Helvetica" w:eastAsia="Times New Roman" w:hAnsi="Helvetica" w:cs="Arial"/>
          <w:b/>
          <w:color w:val="124486"/>
          <w:kern w:val="28"/>
          <w:sz w:val="22"/>
          <w:szCs w:val="22"/>
          <w:lang w:eastAsia="zh-CN"/>
        </w:rPr>
        <w:t>E</w:t>
      </w:r>
      <w:r w:rsidR="005D047C" w:rsidRPr="0044636D">
        <w:rPr>
          <w:rFonts w:ascii="Helvetica" w:eastAsia="Times New Roman" w:hAnsi="Helvetica" w:cs="Arial"/>
          <w:b/>
          <w:color w:val="124486"/>
          <w:kern w:val="28"/>
          <w:sz w:val="22"/>
          <w:szCs w:val="22"/>
          <w:lang w:eastAsia="zh-CN"/>
        </w:rPr>
        <w:t xml:space="preserve">ducation </w:t>
      </w:r>
      <w:r w:rsidRPr="0044636D">
        <w:rPr>
          <w:rFonts w:ascii="Helvetica" w:eastAsia="Times New Roman" w:hAnsi="Helvetica" w:cs="Arial"/>
          <w:b/>
          <w:color w:val="124486"/>
          <w:kern w:val="28"/>
          <w:sz w:val="22"/>
          <w:szCs w:val="22"/>
          <w:lang w:eastAsia="zh-CN"/>
        </w:rPr>
        <w:t>and human resources</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44636D" w:rsidRPr="0044636D" w:rsidRDefault="0044636D" w:rsidP="0044636D">
      <w:pPr>
        <w:pStyle w:val="ListBullet"/>
        <w:tabs>
          <w:tab w:val="clear" w:pos="284"/>
        </w:tabs>
        <w:spacing w:line="276" w:lineRule="auto"/>
      </w:pPr>
      <w:r w:rsidRPr="0044636D">
        <w:t>Pacific Regional core funding to the Australia Pacific Technical Col</w:t>
      </w:r>
      <w:r w:rsidR="00732EA0">
        <w:t>lege (APTC) in 2013 supported 28</w:t>
      </w:r>
      <w:r w:rsidRPr="0044636D">
        <w:t xml:space="preserve"> enrolments</w:t>
      </w:r>
      <w:r w:rsidR="00732EA0">
        <w:t xml:space="preserve"> (39</w:t>
      </w:r>
      <w:r w:rsidR="006D2B17">
        <w:t xml:space="preserve"> </w:t>
      </w:r>
      <w:r w:rsidR="005D047C">
        <w:t>per cent</w:t>
      </w:r>
      <w:r w:rsidR="00732EA0">
        <w:t xml:space="preserve"> women), and 6</w:t>
      </w:r>
      <w:r w:rsidRPr="0044636D">
        <w:t xml:space="preserve"> graduates</w:t>
      </w:r>
      <w:r w:rsidR="00732EA0">
        <w:t xml:space="preserve"> (83</w:t>
      </w:r>
      <w:r w:rsidR="006D2B17">
        <w:t xml:space="preserve"> </w:t>
      </w:r>
      <w:r w:rsidR="005D047C">
        <w:t>per cent</w:t>
      </w:r>
      <w:r w:rsidR="00732EA0">
        <w:t xml:space="preserve"> women)</w:t>
      </w:r>
      <w:r w:rsidRPr="0044636D">
        <w:t>, from Tuvalu.</w:t>
      </w:r>
    </w:p>
    <w:p w:rsidR="0044636D" w:rsidRPr="0044636D" w:rsidRDefault="0044636D" w:rsidP="0044636D">
      <w:pPr>
        <w:pStyle w:val="ListBullet"/>
        <w:tabs>
          <w:tab w:val="clear" w:pos="284"/>
        </w:tabs>
        <w:spacing w:line="276" w:lineRule="auto"/>
      </w:pPr>
      <w:r w:rsidRPr="0044636D">
        <w:t xml:space="preserve">Pacific Regional core funding to University of the South Pacific (USP) supported </w:t>
      </w:r>
      <w:r w:rsidR="00635836">
        <w:t>225</w:t>
      </w:r>
      <w:r w:rsidR="005D047C">
        <w:t>.0</w:t>
      </w:r>
      <w:r w:rsidRPr="0044636D">
        <w:t xml:space="preserve"> equivalent full-time students</w:t>
      </w:r>
      <w:r w:rsidR="005D047C">
        <w:t xml:space="preserve"> (EFTS)</w:t>
      </w:r>
      <w:r w:rsidRPr="0044636D">
        <w:t xml:space="preserve"> from Tuvalu in 2013.</w:t>
      </w:r>
    </w:p>
    <w:p w:rsidR="0044636D" w:rsidRDefault="0044636D" w:rsidP="006E631D">
      <w:pPr>
        <w:spacing w:after="120" w:line="276" w:lineRule="auto"/>
        <w:rPr>
          <w:rFonts w:ascii="Helvetica" w:eastAsia="Times New Roman" w:hAnsi="Helvetica" w:cs="Arial"/>
          <w:b/>
          <w:color w:val="124486"/>
          <w:kern w:val="28"/>
          <w:sz w:val="22"/>
          <w:szCs w:val="22"/>
          <w:lang w:eastAsia="zh-CN"/>
        </w:rPr>
      </w:pPr>
      <w:r w:rsidRPr="0044636D">
        <w:rPr>
          <w:rFonts w:ascii="Helvetica" w:eastAsia="Times New Roman" w:hAnsi="Helvetica" w:cs="Arial"/>
          <w:b/>
          <w:color w:val="124486"/>
          <w:kern w:val="28"/>
          <w:sz w:val="22"/>
          <w:szCs w:val="22"/>
          <w:lang w:eastAsia="zh-CN"/>
        </w:rPr>
        <w:t xml:space="preserve">Outcome 3 – </w:t>
      </w:r>
      <w:r w:rsidR="005D047C">
        <w:rPr>
          <w:rFonts w:ascii="Helvetica" w:eastAsia="Times New Roman" w:hAnsi="Helvetica" w:cs="Arial"/>
          <w:b/>
          <w:color w:val="124486"/>
          <w:kern w:val="28"/>
          <w:sz w:val="22"/>
          <w:szCs w:val="22"/>
          <w:lang w:eastAsia="zh-CN"/>
        </w:rPr>
        <w:t>E</w:t>
      </w:r>
      <w:r w:rsidR="005D047C" w:rsidRPr="0044636D">
        <w:rPr>
          <w:rFonts w:ascii="Helvetica" w:eastAsia="Times New Roman" w:hAnsi="Helvetica" w:cs="Arial"/>
          <w:b/>
          <w:color w:val="124486"/>
          <w:kern w:val="28"/>
          <w:sz w:val="22"/>
          <w:szCs w:val="22"/>
          <w:lang w:eastAsia="zh-CN"/>
        </w:rPr>
        <w:t xml:space="preserve">nvironment </w:t>
      </w:r>
      <w:r w:rsidRPr="0044636D">
        <w:rPr>
          <w:rFonts w:ascii="Helvetica" w:eastAsia="Times New Roman" w:hAnsi="Helvetica" w:cs="Arial"/>
          <w:b/>
          <w:color w:val="124486"/>
          <w:kern w:val="28"/>
          <w:sz w:val="22"/>
          <w:szCs w:val="22"/>
          <w:lang w:eastAsia="zh-CN"/>
        </w:rPr>
        <w:t>and climate change</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44636D" w:rsidRPr="0044636D" w:rsidRDefault="0044636D" w:rsidP="0044636D">
      <w:pPr>
        <w:pStyle w:val="ListBullet"/>
        <w:tabs>
          <w:tab w:val="clear" w:pos="284"/>
        </w:tabs>
        <w:spacing w:line="276" w:lineRule="auto"/>
      </w:pPr>
      <w:r w:rsidRPr="0044636D">
        <w:t>The Secretariat of the Pacific Regional Environment Programme (SPREP) has supported the Tuvalu government in developing Tuvalu’s Climate Change Policy and National Strategic Action Plan for Climate Change and Disaster Risk Management. SPREP is also assisting Tuvalu in implementing the Convention on Biological Diversity (CBD) Island Biodiversity Programme of Work, which focuses on threatened species and ecosystems, sustainable use of natural resources and capacity building.</w:t>
      </w:r>
    </w:p>
    <w:p w:rsidR="0044636D" w:rsidRPr="0044636D" w:rsidRDefault="0044636D" w:rsidP="0044636D">
      <w:pPr>
        <w:pStyle w:val="ListBullet"/>
        <w:tabs>
          <w:tab w:val="clear" w:pos="284"/>
        </w:tabs>
        <w:spacing w:line="276" w:lineRule="auto"/>
      </w:pPr>
      <w:r w:rsidRPr="0044636D">
        <w:lastRenderedPageBreak/>
        <w:t>The Secretariat of the Pacific Community (SPC) is assisting Tuvalu to monitor its coastal fisheries, which are projected to be adversely affected by climate change over the coming decades. This support is helping Tuvalu Fisheries build up a long-term series of data to be able to monitor changes to productivity over time.</w:t>
      </w:r>
    </w:p>
    <w:p w:rsidR="002B1D75" w:rsidRPr="006E631D" w:rsidRDefault="002B1D75" w:rsidP="006E631D">
      <w:pPr>
        <w:pStyle w:val="ListBullet"/>
        <w:numPr>
          <w:ilvl w:val="0"/>
          <w:numId w:val="0"/>
        </w:numPr>
        <w:spacing w:line="276" w:lineRule="auto"/>
        <w:rPr>
          <w:rFonts w:ascii="Helvetica" w:hAnsi="Helvetica" w:cs="Arial"/>
          <w:color w:val="007FAD"/>
          <w:kern w:val="28"/>
          <w:sz w:val="28"/>
          <w:szCs w:val="28"/>
        </w:rPr>
      </w:pPr>
      <w:r w:rsidRPr="002B1D75">
        <w:rPr>
          <w:rFonts w:ascii="Helvetica" w:hAnsi="Helvetica" w:cs="Arial"/>
          <w:color w:val="007FAD"/>
          <w:kern w:val="28"/>
          <w:sz w:val="28"/>
          <w:szCs w:val="28"/>
        </w:rPr>
        <w:t xml:space="preserve">Regional Services that complement the </w:t>
      </w:r>
      <w:r w:rsidR="0044636D">
        <w:rPr>
          <w:rFonts w:ascii="Helvetica" w:hAnsi="Helvetica" w:cs="Arial"/>
          <w:color w:val="007FAD"/>
          <w:kern w:val="28"/>
          <w:sz w:val="28"/>
          <w:szCs w:val="28"/>
        </w:rPr>
        <w:t>Tuvalu</w:t>
      </w:r>
      <w:r w:rsidRPr="002B1D75">
        <w:rPr>
          <w:rFonts w:ascii="Helvetica" w:hAnsi="Helvetica" w:cs="Arial"/>
          <w:color w:val="007FAD"/>
          <w:kern w:val="28"/>
          <w:sz w:val="28"/>
          <w:szCs w:val="28"/>
        </w:rPr>
        <w:t xml:space="preserve"> Bilateral Program</w:t>
      </w:r>
    </w:p>
    <w:p w:rsidR="002B1D75" w:rsidRDefault="002B1D75" w:rsidP="006E631D">
      <w:pPr>
        <w:pStyle w:val="ListBullet"/>
        <w:numPr>
          <w:ilvl w:val="0"/>
          <w:numId w:val="0"/>
        </w:numPr>
        <w:spacing w:line="276" w:lineRule="auto"/>
      </w:pPr>
      <w:r>
        <w:t xml:space="preserve">Examples of contributions to the </w:t>
      </w:r>
      <w:r w:rsidR="0044636D">
        <w:t>Tuvalu</w:t>
      </w:r>
      <w:r>
        <w:t xml:space="preserve"> Bilateral Program from Regional Institutions and Regional Services supported by the DFAT Pacific Regional Program include:</w:t>
      </w:r>
    </w:p>
    <w:p w:rsidR="0044636D" w:rsidRPr="0044636D" w:rsidRDefault="0044636D" w:rsidP="0044636D">
      <w:pPr>
        <w:pStyle w:val="ListBullet"/>
        <w:tabs>
          <w:tab w:val="clear" w:pos="284"/>
        </w:tabs>
        <w:spacing w:line="276" w:lineRule="auto"/>
      </w:pPr>
      <w:r w:rsidRPr="0044636D">
        <w:t>The Pacific Islands Forum Secretariat (PIFS) and the Pacific Disability Forum (PDF) undertook a joint mission to Tuvalu in May 2014 to provide technical advice for the development of Tuvalu’s national disability policy.</w:t>
      </w:r>
    </w:p>
    <w:p w:rsidR="0044636D" w:rsidRPr="0044636D" w:rsidRDefault="0044636D" w:rsidP="0044636D">
      <w:pPr>
        <w:pStyle w:val="ListBullet"/>
        <w:tabs>
          <w:tab w:val="clear" w:pos="284"/>
        </w:tabs>
        <w:spacing w:line="276" w:lineRule="auto"/>
      </w:pPr>
      <w:r w:rsidRPr="0044636D">
        <w:t>The Pacific Horticultural and Agricultural Market Access Program (PHAMA) supported the completion of a General Plant Health Survey for Tuvalu, and provided training to participants on market access and trade facilitation issues. It also provided Pest List Database support to assist Tuvalu in generating new lists of pests.</w:t>
      </w:r>
    </w:p>
    <w:p w:rsidR="0044636D" w:rsidRPr="0044636D" w:rsidRDefault="0044636D" w:rsidP="0044636D">
      <w:pPr>
        <w:pStyle w:val="ListBullet"/>
        <w:tabs>
          <w:tab w:val="clear" w:pos="284"/>
        </w:tabs>
        <w:spacing w:line="276" w:lineRule="auto"/>
      </w:pPr>
      <w:r w:rsidRPr="0044636D">
        <w:t xml:space="preserve">Pacific Women Shaping Pacific </w:t>
      </w:r>
      <w:r w:rsidR="005D047C" w:rsidRPr="0044636D">
        <w:t>Develop</w:t>
      </w:r>
      <w:r w:rsidR="005D047C">
        <w:t>ment</w:t>
      </w:r>
      <w:r w:rsidR="005D047C" w:rsidRPr="0044636D">
        <w:t xml:space="preserve"> </w:t>
      </w:r>
      <w:r w:rsidRPr="0044636D">
        <w:t>is providing support to the government of Tuvalu to undertake a stocktake of government capacity to mainstream gender equality and women’s empowerment issues and to develop gender policies and implementation plans.</w:t>
      </w:r>
    </w:p>
    <w:p w:rsidR="0044636D" w:rsidRPr="0044636D" w:rsidRDefault="0044636D" w:rsidP="0044636D">
      <w:pPr>
        <w:pStyle w:val="ListBullet"/>
        <w:tabs>
          <w:tab w:val="clear" w:pos="284"/>
        </w:tabs>
        <w:spacing w:line="276" w:lineRule="auto"/>
      </w:pPr>
      <w:r w:rsidRPr="0044636D">
        <w:t xml:space="preserve">The Royal Australian College of Surgeons’ Pacific Islands Program (PIP) supported </w:t>
      </w:r>
      <w:r w:rsidR="005D047C">
        <w:t>4</w:t>
      </w:r>
      <w:r w:rsidR="005D047C" w:rsidRPr="0044636D">
        <w:t xml:space="preserve"> </w:t>
      </w:r>
      <w:r w:rsidRPr="0044636D">
        <w:t>teams of surgeons to visit Tuvalu in 2013, to provide specialist services in cardiology, diabetes, ophthalmology and ear nose and throat (ENT) surgery.</w:t>
      </w:r>
    </w:p>
    <w:p w:rsidR="0044636D" w:rsidRPr="0044636D" w:rsidRDefault="0044636D" w:rsidP="0044636D">
      <w:pPr>
        <w:pStyle w:val="ListBullet"/>
        <w:tabs>
          <w:tab w:val="clear" w:pos="284"/>
        </w:tabs>
        <w:spacing w:line="276" w:lineRule="auto"/>
      </w:pPr>
      <w:r w:rsidRPr="0044636D">
        <w:t>Pacific Regional Sexual and Reproductive Health and Rights (PRSRHR) supported a renovation of the Tuvalu Family Health Association clinic, and is supporting the development of a mobile clinic.</w:t>
      </w:r>
    </w:p>
    <w:p w:rsidR="00D80DA6" w:rsidRPr="009E38C1" w:rsidRDefault="00034413" w:rsidP="006E631D">
      <w:pPr>
        <w:pStyle w:val="Heading2"/>
        <w:spacing w:before="0" w:line="276" w:lineRule="auto"/>
        <w:rPr>
          <w:sz w:val="28"/>
        </w:rPr>
      </w:pPr>
      <w:r w:rsidRPr="00034413">
        <w:rPr>
          <w:sz w:val="28"/>
        </w:rPr>
        <w:t xml:space="preserve">Case study: </w:t>
      </w:r>
      <w:r w:rsidR="0044636D" w:rsidRPr="0044636D">
        <w:rPr>
          <w:sz w:val="28"/>
        </w:rPr>
        <w:t>Increasing crop diversity to promote food security</w:t>
      </w:r>
    </w:p>
    <w:p w:rsidR="0044636D" w:rsidRDefault="0044636D" w:rsidP="006E631D">
      <w:pPr>
        <w:pBdr>
          <w:top w:val="single" w:sz="4" w:space="1" w:color="auto"/>
          <w:bottom w:val="single" w:sz="4" w:space="1" w:color="auto"/>
        </w:pBdr>
        <w:spacing w:after="120" w:line="276" w:lineRule="auto"/>
      </w:pPr>
      <w:r w:rsidRPr="0044636D">
        <w:rPr>
          <w:rFonts w:ascii="Franklin Gothic Book" w:eastAsia="Times New Roman" w:hAnsi="Franklin Gothic Book"/>
          <w:sz w:val="21"/>
        </w:rPr>
        <w:t xml:space="preserve">Climate change poses great challenges for the cultivation of traditional food crops in small atolls such as Tuvalu, due to rising sea levels, increased soil salinity and the frequency and severity of extreme weather conditions. Reduced access to nutritious, </w:t>
      </w:r>
      <w:r w:rsidR="005D047C" w:rsidRPr="0044636D">
        <w:rPr>
          <w:rFonts w:ascii="Franklin Gothic Book" w:eastAsia="Times New Roman" w:hAnsi="Franklin Gothic Book"/>
          <w:sz w:val="21"/>
        </w:rPr>
        <w:t>locally</w:t>
      </w:r>
      <w:r w:rsidR="005D047C">
        <w:rPr>
          <w:rFonts w:ascii="Franklin Gothic Book" w:eastAsia="Times New Roman" w:hAnsi="Franklin Gothic Book"/>
          <w:sz w:val="21"/>
        </w:rPr>
        <w:t>-</w:t>
      </w:r>
      <w:r w:rsidRPr="0044636D">
        <w:rPr>
          <w:rFonts w:ascii="Franklin Gothic Book" w:eastAsia="Times New Roman" w:hAnsi="Franklin Gothic Book"/>
          <w:sz w:val="21"/>
        </w:rPr>
        <w:t>grown food also contributes to the rise of non-communicable diseases such as diabetes and heart disease. To address this issue, the Secretariat of the Pacific Community (SPC) has been assisting with local food production by helping improve crop diversity in Tuvalu. SPC’s Centre for Pacific Crops and Trees (CePaCT) has provided Tuvalu with varieties of food crops that are resilient to varying climatic conditions, pests and diseases, such as different varieties of banana, cassava, sweet potato, taro and yam. This support has resulted in a diversity of crops and increased resilience of food production systems against climate change and natural disasters.</w:t>
      </w:r>
    </w:p>
    <w:sectPr w:rsidR="004463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25" w:rsidRDefault="00954025" w:rsidP="00954025">
      <w:r>
        <w:separator/>
      </w:r>
    </w:p>
  </w:endnote>
  <w:endnote w:type="continuationSeparator" w:id="0">
    <w:p w:rsidR="00954025" w:rsidRDefault="00954025" w:rsidP="0095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25" w:rsidRDefault="00954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25" w:rsidRDefault="009540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25" w:rsidRDefault="00954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25" w:rsidRDefault="00954025" w:rsidP="00954025">
      <w:r>
        <w:separator/>
      </w:r>
    </w:p>
  </w:footnote>
  <w:footnote w:type="continuationSeparator" w:id="0">
    <w:p w:rsidR="00954025" w:rsidRDefault="00954025" w:rsidP="0095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25" w:rsidRDefault="00954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25" w:rsidRDefault="009540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25" w:rsidRDefault="00954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1305"/>
    <w:multiLevelType w:val="hybridMultilevel"/>
    <w:tmpl w:val="C4F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576662"/>
    <w:multiLevelType w:val="hybridMultilevel"/>
    <w:tmpl w:val="4DA640BA"/>
    <w:lvl w:ilvl="0" w:tplc="0C090001">
      <w:start w:val="1"/>
      <w:numFmt w:val="bullet"/>
      <w:lvlText w:val=""/>
      <w:lvlJc w:val="left"/>
      <w:pPr>
        <w:ind w:left="720" w:hanging="360"/>
      </w:pPr>
      <w:rPr>
        <w:rFonts w:ascii="Symbol" w:hAnsi="Symbol" w:hint="default"/>
      </w:rPr>
    </w:lvl>
    <w:lvl w:ilvl="1" w:tplc="A538F426">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6C2150"/>
    <w:multiLevelType w:val="hybridMultilevel"/>
    <w:tmpl w:val="6914AD1E"/>
    <w:lvl w:ilvl="0" w:tplc="0C090001">
      <w:start w:val="1"/>
      <w:numFmt w:val="bullet"/>
      <w:lvlText w:val=""/>
      <w:lvlJc w:val="left"/>
      <w:pPr>
        <w:ind w:left="720" w:hanging="360"/>
      </w:pPr>
      <w:rPr>
        <w:rFonts w:ascii="Symbol" w:hAnsi="Symbol" w:hint="default"/>
      </w:rPr>
    </w:lvl>
    <w:lvl w:ilvl="1" w:tplc="FB42C89E">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34413"/>
    <w:rsid w:val="00192951"/>
    <w:rsid w:val="00282E65"/>
    <w:rsid w:val="002B1D75"/>
    <w:rsid w:val="004204D5"/>
    <w:rsid w:val="00436B29"/>
    <w:rsid w:val="0044636D"/>
    <w:rsid w:val="005D047C"/>
    <w:rsid w:val="005D2D03"/>
    <w:rsid w:val="00635836"/>
    <w:rsid w:val="006D2B17"/>
    <w:rsid w:val="006E631D"/>
    <w:rsid w:val="00732EA0"/>
    <w:rsid w:val="00954025"/>
    <w:rsid w:val="00B97250"/>
    <w:rsid w:val="00D80DA6"/>
    <w:rsid w:val="00F723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954025"/>
    <w:pPr>
      <w:tabs>
        <w:tab w:val="center" w:pos="4513"/>
        <w:tab w:val="right" w:pos="9026"/>
      </w:tabs>
    </w:pPr>
  </w:style>
  <w:style w:type="character" w:customStyle="1" w:styleId="HeaderChar">
    <w:name w:val="Header Char"/>
    <w:basedOn w:val="DefaultParagraphFont"/>
    <w:link w:val="Header"/>
    <w:uiPriority w:val="99"/>
    <w:rsid w:val="00954025"/>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954025"/>
    <w:pPr>
      <w:tabs>
        <w:tab w:val="center" w:pos="4513"/>
        <w:tab w:val="right" w:pos="9026"/>
      </w:tabs>
    </w:pPr>
  </w:style>
  <w:style w:type="character" w:customStyle="1" w:styleId="FooterChar">
    <w:name w:val="Footer Char"/>
    <w:basedOn w:val="DefaultParagraphFont"/>
    <w:link w:val="Footer"/>
    <w:uiPriority w:val="99"/>
    <w:rsid w:val="00954025"/>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954025"/>
    <w:pPr>
      <w:tabs>
        <w:tab w:val="center" w:pos="4513"/>
        <w:tab w:val="right" w:pos="9026"/>
      </w:tabs>
    </w:pPr>
  </w:style>
  <w:style w:type="character" w:customStyle="1" w:styleId="HeaderChar">
    <w:name w:val="Header Char"/>
    <w:basedOn w:val="DefaultParagraphFont"/>
    <w:link w:val="Header"/>
    <w:uiPriority w:val="99"/>
    <w:rsid w:val="00954025"/>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954025"/>
    <w:pPr>
      <w:tabs>
        <w:tab w:val="center" w:pos="4513"/>
        <w:tab w:val="right" w:pos="9026"/>
      </w:tabs>
    </w:pPr>
  </w:style>
  <w:style w:type="character" w:customStyle="1" w:styleId="FooterChar">
    <w:name w:val="Footer Char"/>
    <w:basedOn w:val="DefaultParagraphFont"/>
    <w:link w:val="Footer"/>
    <w:uiPriority w:val="99"/>
    <w:rsid w:val="00954025"/>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F0D197-6A1E-4AF7-BFF7-4CA0566FF306}"/>
</file>

<file path=customXml/itemProps2.xml><?xml version="1.0" encoding="utf-8"?>
<ds:datastoreItem xmlns:ds="http://schemas.openxmlformats.org/officeDocument/2006/customXml" ds:itemID="{F9403806-21DF-4B21-8755-B3586843B8CD}"/>
</file>

<file path=customXml/itemProps3.xml><?xml version="1.0" encoding="utf-8"?>
<ds:datastoreItem xmlns:ds="http://schemas.openxmlformats.org/officeDocument/2006/customXml" ds:itemID="{BF54EC40-3798-4225-9237-94E262B0B16E}"/>
</file>

<file path=docProps/app.xml><?xml version="1.0" encoding="utf-8"?>
<Properties xmlns="http://schemas.openxmlformats.org/officeDocument/2006/extended-properties" xmlns:vt="http://schemas.openxmlformats.org/officeDocument/2006/docPropsVTypes">
  <Template>2B895FB5</Template>
  <TotalTime>0</TotalTime>
  <Pages>2</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2014-10-29T00:15:00Z</dcterms:created>
  <dcterms:modified xsi:type="dcterms:W3CDTF">2014-10-29T00:15:00Z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910300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