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806D30" w:rsidP="006E631D">
      <w:pPr>
        <w:pStyle w:val="Heading2"/>
        <w:spacing w:before="0" w:line="276" w:lineRule="auto"/>
        <w:rPr>
          <w:sz w:val="28"/>
        </w:rPr>
      </w:pPr>
      <w:bookmarkStart w:id="0" w:name="_GoBack"/>
      <w:bookmarkEnd w:id="0"/>
      <w:r>
        <w:rPr>
          <w:sz w:val="28"/>
        </w:rPr>
        <w:t>Annex G</w:t>
      </w:r>
      <w:r w:rsidR="00D80DA6">
        <w:rPr>
          <w:sz w:val="28"/>
        </w:rPr>
        <w:t xml:space="preserve"> </w:t>
      </w:r>
    </w:p>
    <w:p w:rsidR="00D80DA6" w:rsidRDefault="00D80DA6" w:rsidP="006E631D">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375B03" w:rsidP="006E631D">
      <w:pPr>
        <w:pStyle w:val="Heading2"/>
        <w:spacing w:before="0" w:line="276" w:lineRule="auto"/>
        <w:rPr>
          <w:sz w:val="28"/>
        </w:rPr>
      </w:pPr>
      <w:r>
        <w:rPr>
          <w:sz w:val="28"/>
        </w:rPr>
        <w:t>Samoa</w:t>
      </w:r>
      <w:r w:rsidR="00D80DA6" w:rsidRPr="00D80DA6">
        <w:rPr>
          <w:sz w:val="28"/>
        </w:rPr>
        <w:t xml:space="preserve"> </w:t>
      </w:r>
      <w:r w:rsidR="00806D30">
        <w:rPr>
          <w:sz w:val="28"/>
        </w:rPr>
        <w:t>Regional</w:t>
      </w:r>
      <w:r w:rsidR="00D80DA6" w:rsidRPr="00D80DA6">
        <w:rPr>
          <w:sz w:val="28"/>
        </w:rPr>
        <w:t xml:space="preserve"> Program - 2013</w:t>
      </w:r>
      <w:r w:rsidR="00D80DA6" w:rsidRPr="00D80DA6">
        <w:rPr>
          <w:sz w:val="28"/>
        </w:rPr>
        <w:tab/>
      </w:r>
      <w:r w:rsidR="00D80DA6" w:rsidRPr="00D80DA6">
        <w:rPr>
          <w:sz w:val="28"/>
        </w:rPr>
        <w:tab/>
      </w:r>
    </w:p>
    <w:p w:rsidR="00D80DA6" w:rsidRDefault="00D80DA6" w:rsidP="006E631D">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6E631D">
            <w:pPr>
              <w:pStyle w:val="TableHeading1"/>
              <w:spacing w:before="0" w:after="120" w:line="276" w:lineRule="auto"/>
            </w:pPr>
          </w:p>
        </w:tc>
        <w:tc>
          <w:tcPr>
            <w:tcW w:w="1534" w:type="dxa"/>
          </w:tcPr>
          <w:p w:rsidR="00D80DA6" w:rsidRPr="00180B19" w:rsidRDefault="00D80DA6" w:rsidP="006E631D">
            <w:pPr>
              <w:pStyle w:val="TableHeading1"/>
              <w:spacing w:before="0" w:after="120" w:line="276" w:lineRule="auto"/>
            </w:pPr>
            <w:r>
              <w:t xml:space="preserve">2013/14 </w:t>
            </w:r>
            <w:r>
              <w:br/>
              <w:t>(Actual)</w:t>
            </w:r>
          </w:p>
        </w:tc>
        <w:tc>
          <w:tcPr>
            <w:tcW w:w="1552" w:type="dxa"/>
          </w:tcPr>
          <w:p w:rsidR="00D80DA6" w:rsidRPr="00180B19" w:rsidRDefault="00D80DA6" w:rsidP="006E631D">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375B03" w:rsidP="006E631D">
            <w:pPr>
              <w:pStyle w:val="TableTextEntries"/>
              <w:spacing w:before="0" w:after="120" w:line="276" w:lineRule="auto"/>
            </w:pPr>
            <w:r>
              <w:t>Samoa</w:t>
            </w:r>
          </w:p>
        </w:tc>
        <w:tc>
          <w:tcPr>
            <w:tcW w:w="1534" w:type="dxa"/>
          </w:tcPr>
          <w:p w:rsidR="00D80DA6" w:rsidRPr="00C57923" w:rsidRDefault="00375B03" w:rsidP="006E631D">
            <w:pPr>
              <w:pStyle w:val="TableTextEntries"/>
              <w:spacing w:before="0" w:after="120" w:line="276" w:lineRule="auto"/>
            </w:pPr>
            <w:r>
              <w:t>A$</w:t>
            </w:r>
            <w:r w:rsidRPr="00375B03">
              <w:t>8,089,303</w:t>
            </w:r>
          </w:p>
        </w:tc>
        <w:tc>
          <w:tcPr>
            <w:tcW w:w="1552" w:type="dxa"/>
          </w:tcPr>
          <w:p w:rsidR="00D80DA6" w:rsidRPr="00C57923" w:rsidRDefault="00375B03" w:rsidP="006E631D">
            <w:pPr>
              <w:pStyle w:val="TableTextEntries"/>
              <w:spacing w:before="0" w:after="120" w:line="276" w:lineRule="auto"/>
            </w:pPr>
            <w:r>
              <w:t>A$</w:t>
            </w:r>
            <w:r w:rsidRPr="00375B03">
              <w:t>8,900,267</w:t>
            </w:r>
          </w:p>
        </w:tc>
      </w:tr>
    </w:tbl>
    <w:p w:rsidR="002B1D75" w:rsidRDefault="002B1D75" w:rsidP="006E631D">
      <w:pPr>
        <w:pStyle w:val="ListBullet"/>
        <w:numPr>
          <w:ilvl w:val="0"/>
          <w:numId w:val="0"/>
        </w:numPr>
        <w:spacing w:line="276" w:lineRule="auto"/>
      </w:pPr>
    </w:p>
    <w:p w:rsidR="00D80DA6" w:rsidRPr="00AC6F49" w:rsidRDefault="002B1D75" w:rsidP="006E631D">
      <w:pPr>
        <w:pStyle w:val="ListBullet"/>
        <w:numPr>
          <w:ilvl w:val="0"/>
          <w:numId w:val="0"/>
        </w:numPr>
        <w:spacing w:line="276" w:lineRule="auto"/>
      </w:pPr>
      <w:r w:rsidRPr="002B1D75">
        <w:t>This Annex outlines the country-level results of selected investments of the Pacific R</w:t>
      </w:r>
      <w:r w:rsidR="00B97250">
        <w:t xml:space="preserve">egional Aid Program for </w:t>
      </w:r>
      <w:r w:rsidR="00375B03">
        <w:t>Samoa</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6E631D">
      <w:pPr>
        <w:pStyle w:val="Heading2"/>
        <w:spacing w:before="0" w:line="276" w:lineRule="auto"/>
        <w:rPr>
          <w:rStyle w:val="BodyTextChar"/>
        </w:rPr>
      </w:pPr>
      <w:r w:rsidRPr="002B1D75">
        <w:rPr>
          <w:sz w:val="28"/>
        </w:rPr>
        <w:t xml:space="preserve">Contributions to </w:t>
      </w:r>
      <w:r w:rsidR="00375B03">
        <w:rPr>
          <w:sz w:val="28"/>
        </w:rPr>
        <w:t>Samoa</w:t>
      </w:r>
      <w:r w:rsidRPr="002B1D75">
        <w:rPr>
          <w:sz w:val="28"/>
        </w:rPr>
        <w:t xml:space="preserve"> Country Program Outcomes</w:t>
      </w:r>
      <w:r w:rsidR="00D80DA6" w:rsidRPr="009E38C1">
        <w:rPr>
          <w:sz w:val="28"/>
        </w:rPr>
        <w:t xml:space="preserve"> </w:t>
      </w:r>
      <w:r w:rsidR="00D80DA6" w:rsidRPr="009E38C1">
        <w:rPr>
          <w:sz w:val="28"/>
        </w:rPr>
        <w:tab/>
      </w:r>
      <w:r w:rsidR="00D80DA6">
        <w:rPr>
          <w:sz w:val="32"/>
          <w:szCs w:val="32"/>
        </w:rPr>
        <w:tab/>
      </w:r>
      <w:r w:rsidR="00D80DA6">
        <w:rPr>
          <w:rStyle w:val="BodyTextChar"/>
        </w:rPr>
        <w:tab/>
      </w:r>
    </w:p>
    <w:p w:rsidR="00D80DA6" w:rsidRPr="002B1D75" w:rsidRDefault="00375B03" w:rsidP="006E631D">
      <w:pPr>
        <w:pStyle w:val="Heading3"/>
        <w:spacing w:before="0" w:line="276" w:lineRule="auto"/>
        <w:rPr>
          <w:rStyle w:val="BodyTextChar"/>
          <w:rFonts w:ascii="Helvetica" w:hAnsi="Helvetica" w:cs="Arial"/>
          <w:sz w:val="22"/>
          <w:szCs w:val="22"/>
          <w:lang w:eastAsia="zh-CN"/>
        </w:rPr>
      </w:pPr>
      <w:r w:rsidRPr="00375B03">
        <w:t>O</w:t>
      </w:r>
      <w:r w:rsidR="005D68D8">
        <w:t>utcome</w:t>
      </w:r>
      <w:r w:rsidRPr="00375B03">
        <w:t xml:space="preserve"> 1 – </w:t>
      </w:r>
      <w:r w:rsidR="000B5DE3">
        <w:t>I</w:t>
      </w:r>
      <w:r w:rsidR="000B5DE3" w:rsidRPr="00375B03">
        <w:t xml:space="preserve">mproving </w:t>
      </w:r>
      <w:r w:rsidRPr="00375B03">
        <w:t>economic stability and governance</w:t>
      </w:r>
      <w:r w:rsidR="00D80DA6">
        <w:rPr>
          <w:rStyle w:val="BodyTextChar"/>
        </w:rPr>
        <w:tab/>
      </w:r>
    </w:p>
    <w:p w:rsidR="00B97250" w:rsidRPr="00B97250" w:rsidRDefault="00B97250" w:rsidP="006E631D">
      <w:pPr>
        <w:pStyle w:val="Heading3"/>
        <w:spacing w:before="0" w:line="276" w:lineRule="auto"/>
        <w:rPr>
          <w:rFonts w:ascii="Franklin Gothic Book" w:hAnsi="Franklin Gothic Book" w:cs="Times New Roman"/>
          <w:b w:val="0"/>
          <w:color w:val="auto"/>
          <w:kern w:val="0"/>
          <w:sz w:val="21"/>
          <w:szCs w:val="24"/>
          <w:lang w:eastAsia="en-AU"/>
        </w:rPr>
      </w:pPr>
      <w:r w:rsidRPr="00B97250">
        <w:rPr>
          <w:rFonts w:ascii="Franklin Gothic Book" w:hAnsi="Franklin Gothic Book" w:cs="Times New Roman"/>
          <w:b w:val="0"/>
          <w:color w:val="auto"/>
          <w:kern w:val="0"/>
          <w:sz w:val="21"/>
          <w:szCs w:val="24"/>
          <w:lang w:eastAsia="en-AU"/>
        </w:rPr>
        <w:t>Examples of contributions to this objective from the DFAT Pacific Regional Program include:</w:t>
      </w:r>
    </w:p>
    <w:p w:rsidR="00375B03" w:rsidRPr="00375B03" w:rsidRDefault="00375B03" w:rsidP="00375B03">
      <w:pPr>
        <w:pStyle w:val="ListBullet"/>
        <w:tabs>
          <w:tab w:val="clear" w:pos="284"/>
        </w:tabs>
        <w:spacing w:line="276" w:lineRule="auto"/>
      </w:pPr>
      <w:r w:rsidRPr="00375B03">
        <w:t xml:space="preserve">The Pacific Financial Technical Assistance Centre (PFTAC) provided support to Samoa’s Ministry of Finance in assessing the debt sustainability consequences of various fiscal policy choices. As a result, the Samoan Economic and Revenue Forecasting (SERF) model was complemented with a medium-term fiscal framework that computes a comprehensive set of debt indicators. </w:t>
      </w:r>
    </w:p>
    <w:p w:rsidR="00375B03" w:rsidRPr="00375B03" w:rsidRDefault="00375B03" w:rsidP="00375B03">
      <w:pPr>
        <w:pStyle w:val="ListBullet"/>
        <w:tabs>
          <w:tab w:val="clear" w:pos="284"/>
        </w:tabs>
        <w:spacing w:line="276" w:lineRule="auto"/>
      </w:pPr>
      <w:r w:rsidRPr="00375B03">
        <w:t xml:space="preserve">The Samoa Alternative Dispute Resolution project, implemented by the International Finance Corporation (IFC), contributed to establishing a cost-effective and sustainable alternative for commercial dispute resolution as a complement to the formal Court System. </w:t>
      </w:r>
      <w:r w:rsidR="000B5DE3" w:rsidRPr="00375B03">
        <w:t>Twenty</w:t>
      </w:r>
      <w:r w:rsidR="000B5DE3">
        <w:t>-</w:t>
      </w:r>
      <w:r w:rsidRPr="00375B03">
        <w:t>three mediators were trained and accredited as Accredited Mediators of Samoa and formed the Accredited Mediators of Samoa Association (AMSA). The program facilitated a strategic planning retreat for AMSA in May 2013, during which a Constitution, a Mission statement, Mediator Fees/Charges proposal, AMSA Funds Use Policy</w:t>
      </w:r>
      <w:r w:rsidR="000B5DE3">
        <w:t>-</w:t>
      </w:r>
      <w:r w:rsidRPr="00375B03">
        <w:t xml:space="preserve">and </w:t>
      </w:r>
      <w:r w:rsidR="000B5DE3">
        <w:t>the</w:t>
      </w:r>
      <w:r w:rsidR="000B5DE3" w:rsidRPr="00375B03">
        <w:t xml:space="preserve"> </w:t>
      </w:r>
      <w:r w:rsidRPr="00375B03">
        <w:t xml:space="preserve">continuing Mediation Rules 2013 were drafted. </w:t>
      </w:r>
    </w:p>
    <w:p w:rsidR="00375B03" w:rsidRPr="00375B03" w:rsidRDefault="00375B03" w:rsidP="00375B03">
      <w:pPr>
        <w:pStyle w:val="ListBullet"/>
        <w:tabs>
          <w:tab w:val="clear" w:pos="284"/>
        </w:tabs>
        <w:spacing w:line="276" w:lineRule="auto"/>
      </w:pPr>
      <w:r w:rsidRPr="00375B03">
        <w:t xml:space="preserve">PFTAC supported the strengthening of macroeconomic analysis and forecasting. Policy reviews were carried out, and legislative drafting assistance was provided, in order to develop and implement a modern revenue policy and legislative frameworks. Excellent progress has been achieved in implementing comprehensive strategic and corporate planning. Excellent progress has also been made towards effective risk management and compliance improvement strategies. </w:t>
      </w:r>
    </w:p>
    <w:p w:rsidR="0044636D" w:rsidRDefault="00375B03" w:rsidP="006E631D">
      <w:pPr>
        <w:spacing w:after="120" w:line="276" w:lineRule="auto"/>
        <w:rPr>
          <w:rFonts w:ascii="Helvetica" w:eastAsia="Times New Roman" w:hAnsi="Helvetica" w:cs="Arial"/>
          <w:b/>
          <w:color w:val="124486"/>
          <w:kern w:val="28"/>
          <w:sz w:val="22"/>
          <w:szCs w:val="22"/>
          <w:lang w:eastAsia="zh-CN"/>
        </w:rPr>
      </w:pPr>
      <w:r w:rsidRPr="00375B03">
        <w:rPr>
          <w:rFonts w:ascii="Helvetica" w:eastAsia="Times New Roman" w:hAnsi="Helvetica" w:cs="Arial"/>
          <w:b/>
          <w:color w:val="124486"/>
          <w:kern w:val="28"/>
          <w:sz w:val="22"/>
          <w:szCs w:val="22"/>
          <w:lang w:eastAsia="zh-CN"/>
        </w:rPr>
        <w:t>O</w:t>
      </w:r>
      <w:r w:rsidR="005D68D8">
        <w:rPr>
          <w:rFonts w:ascii="Helvetica" w:eastAsia="Times New Roman" w:hAnsi="Helvetica" w:cs="Arial"/>
          <w:b/>
          <w:color w:val="124486"/>
          <w:kern w:val="28"/>
          <w:sz w:val="22"/>
          <w:szCs w:val="22"/>
          <w:lang w:eastAsia="zh-CN"/>
        </w:rPr>
        <w:t>utcome</w:t>
      </w:r>
      <w:r w:rsidRPr="00375B03">
        <w:rPr>
          <w:rFonts w:ascii="Helvetica" w:eastAsia="Times New Roman" w:hAnsi="Helvetica" w:cs="Arial"/>
          <w:b/>
          <w:color w:val="124486"/>
          <w:kern w:val="28"/>
          <w:sz w:val="22"/>
          <w:szCs w:val="22"/>
          <w:lang w:eastAsia="zh-CN"/>
        </w:rPr>
        <w:t xml:space="preserve"> 2 – </w:t>
      </w:r>
      <w:r w:rsidR="000B5DE3">
        <w:rPr>
          <w:rFonts w:ascii="Helvetica" w:eastAsia="Times New Roman" w:hAnsi="Helvetica" w:cs="Arial"/>
          <w:b/>
          <w:color w:val="124486"/>
          <w:kern w:val="28"/>
          <w:sz w:val="22"/>
          <w:szCs w:val="22"/>
          <w:lang w:eastAsia="zh-CN"/>
        </w:rPr>
        <w:t>I</w:t>
      </w:r>
      <w:r w:rsidR="000B5DE3" w:rsidRPr="00375B03">
        <w:rPr>
          <w:rFonts w:ascii="Helvetica" w:eastAsia="Times New Roman" w:hAnsi="Helvetica" w:cs="Arial"/>
          <w:b/>
          <w:color w:val="124486"/>
          <w:kern w:val="28"/>
          <w:sz w:val="22"/>
          <w:szCs w:val="22"/>
          <w:lang w:eastAsia="zh-CN"/>
        </w:rPr>
        <w:t xml:space="preserve">mproving </w:t>
      </w:r>
      <w:r w:rsidRPr="00375B03">
        <w:rPr>
          <w:rFonts w:ascii="Helvetica" w:eastAsia="Times New Roman" w:hAnsi="Helvetica" w:cs="Arial"/>
          <w:b/>
          <w:color w:val="124486"/>
          <w:kern w:val="28"/>
          <w:sz w:val="22"/>
          <w:szCs w:val="22"/>
          <w:lang w:eastAsia="zh-CN"/>
        </w:rPr>
        <w:t>health</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375B03" w:rsidRPr="00375B03" w:rsidRDefault="00375B03" w:rsidP="00375B03">
      <w:pPr>
        <w:pStyle w:val="ListBullet"/>
        <w:tabs>
          <w:tab w:val="clear" w:pos="284"/>
        </w:tabs>
        <w:spacing w:line="276" w:lineRule="auto"/>
      </w:pPr>
      <w:r w:rsidRPr="00375B03">
        <w:t xml:space="preserve">The Pacific Island Program (PIP) implemented by the Royal Australian College </w:t>
      </w:r>
      <w:r w:rsidR="005D68D8">
        <w:t xml:space="preserve">of Surgeons </w:t>
      </w:r>
      <w:r w:rsidRPr="00375B03">
        <w:t>(RAC</w:t>
      </w:r>
      <w:r w:rsidR="005D68D8">
        <w:t>S</w:t>
      </w:r>
      <w:r w:rsidRPr="00375B03">
        <w:t xml:space="preserve">) conducted training for 25 Samoan participants to increase the capability of Samoan clinicians to diagnose and undertake medical procedures independently, and to teach and lead education programs. </w:t>
      </w:r>
    </w:p>
    <w:p w:rsidR="00375B03" w:rsidRPr="00375B03" w:rsidRDefault="00375B03" w:rsidP="00375B03">
      <w:pPr>
        <w:pStyle w:val="ListBullet"/>
        <w:tabs>
          <w:tab w:val="clear" w:pos="284"/>
        </w:tabs>
        <w:spacing w:line="276" w:lineRule="auto"/>
      </w:pPr>
      <w:r w:rsidRPr="00375B03">
        <w:lastRenderedPageBreak/>
        <w:t>In 2013, the Strengthening Specialised Clinical Services in the Pacific program (</w:t>
      </w:r>
      <w:proofErr w:type="spellStart"/>
      <w:r w:rsidRPr="00375B03">
        <w:t>SSCSiP</w:t>
      </w:r>
      <w:proofErr w:type="spellEnd"/>
      <w:r w:rsidRPr="00375B03">
        <w:t>) provided funding for 4 Samoa</w:t>
      </w:r>
      <w:r w:rsidR="005D68D8">
        <w:t xml:space="preserve">ns to attend </w:t>
      </w:r>
      <w:r w:rsidRPr="00375B03">
        <w:t xml:space="preserve">training that enabled them to acquire research skills in reproductive health and clinical audits. </w:t>
      </w:r>
    </w:p>
    <w:p w:rsidR="0044636D" w:rsidRDefault="00375B03" w:rsidP="006E631D">
      <w:pPr>
        <w:spacing w:after="120" w:line="276" w:lineRule="auto"/>
        <w:rPr>
          <w:rFonts w:ascii="Helvetica" w:eastAsia="Times New Roman" w:hAnsi="Helvetica" w:cs="Arial"/>
          <w:b/>
          <w:color w:val="124486"/>
          <w:kern w:val="28"/>
          <w:sz w:val="22"/>
          <w:szCs w:val="22"/>
          <w:lang w:eastAsia="zh-CN"/>
        </w:rPr>
      </w:pPr>
      <w:r w:rsidRPr="00375B03">
        <w:rPr>
          <w:rFonts w:ascii="Helvetica" w:eastAsia="Times New Roman" w:hAnsi="Helvetica" w:cs="Arial"/>
          <w:b/>
          <w:color w:val="124486"/>
          <w:kern w:val="28"/>
          <w:sz w:val="22"/>
          <w:szCs w:val="22"/>
          <w:lang w:eastAsia="zh-CN"/>
        </w:rPr>
        <w:t>O</w:t>
      </w:r>
      <w:r w:rsidR="005D68D8">
        <w:rPr>
          <w:rFonts w:ascii="Helvetica" w:eastAsia="Times New Roman" w:hAnsi="Helvetica" w:cs="Arial"/>
          <w:b/>
          <w:color w:val="124486"/>
          <w:kern w:val="28"/>
          <w:sz w:val="22"/>
          <w:szCs w:val="22"/>
          <w:lang w:eastAsia="zh-CN"/>
        </w:rPr>
        <w:t>utcome</w:t>
      </w:r>
      <w:r w:rsidRPr="00375B03">
        <w:rPr>
          <w:rFonts w:ascii="Helvetica" w:eastAsia="Times New Roman" w:hAnsi="Helvetica" w:cs="Arial"/>
          <w:b/>
          <w:color w:val="124486"/>
          <w:kern w:val="28"/>
          <w:sz w:val="22"/>
          <w:szCs w:val="22"/>
          <w:lang w:eastAsia="zh-CN"/>
        </w:rPr>
        <w:t xml:space="preserve"> 3 – </w:t>
      </w:r>
      <w:r w:rsidR="000B5DE3">
        <w:rPr>
          <w:rFonts w:ascii="Helvetica" w:eastAsia="Times New Roman" w:hAnsi="Helvetica" w:cs="Arial"/>
          <w:b/>
          <w:color w:val="124486"/>
          <w:kern w:val="28"/>
          <w:sz w:val="22"/>
          <w:szCs w:val="22"/>
          <w:lang w:eastAsia="zh-CN"/>
        </w:rPr>
        <w:t>I</w:t>
      </w:r>
      <w:r w:rsidR="000B5DE3" w:rsidRPr="00375B03">
        <w:rPr>
          <w:rFonts w:ascii="Helvetica" w:eastAsia="Times New Roman" w:hAnsi="Helvetica" w:cs="Arial"/>
          <w:b/>
          <w:color w:val="124486"/>
          <w:kern w:val="28"/>
          <w:sz w:val="22"/>
          <w:szCs w:val="22"/>
          <w:lang w:eastAsia="zh-CN"/>
        </w:rPr>
        <w:t xml:space="preserve">mproving </w:t>
      </w:r>
      <w:r w:rsidRPr="00375B03">
        <w:rPr>
          <w:rFonts w:ascii="Helvetica" w:eastAsia="Times New Roman" w:hAnsi="Helvetica" w:cs="Arial"/>
          <w:b/>
          <w:color w:val="124486"/>
          <w:kern w:val="28"/>
          <w:sz w:val="22"/>
          <w:szCs w:val="22"/>
          <w:lang w:eastAsia="zh-CN"/>
        </w:rPr>
        <w:t>education</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C039C2" w:rsidRPr="00C039C2" w:rsidRDefault="00C039C2" w:rsidP="00C039C2">
      <w:pPr>
        <w:pStyle w:val="ListBullet"/>
        <w:tabs>
          <w:tab w:val="clear" w:pos="284"/>
        </w:tabs>
        <w:spacing w:line="276" w:lineRule="auto"/>
      </w:pPr>
      <w:r w:rsidRPr="00C039C2">
        <w:t>As part of its Pacific Benchmarking Education for Results (</w:t>
      </w:r>
      <w:proofErr w:type="spellStart"/>
      <w:r w:rsidRPr="00C039C2">
        <w:t>PaBER</w:t>
      </w:r>
      <w:proofErr w:type="spellEnd"/>
      <w:r w:rsidRPr="00C039C2">
        <w:t>) project, the Secretariat of the Pacific Board for Educational Assessment (SPBEA) undertook a benchmarking analysis of literacy and numeracy in Samoa.  Pacific Islands Literacy and Numerical Assessment (PILNA) data for Samoa has been analysed, the report completed and a Samoa baseline for literacy and numeracy established.</w:t>
      </w:r>
    </w:p>
    <w:p w:rsidR="00C039C2" w:rsidRPr="00C039C2" w:rsidRDefault="00C039C2" w:rsidP="00C039C2">
      <w:pPr>
        <w:pStyle w:val="ListBullet"/>
        <w:tabs>
          <w:tab w:val="clear" w:pos="284"/>
        </w:tabs>
        <w:spacing w:line="276" w:lineRule="auto"/>
      </w:pPr>
      <w:r w:rsidRPr="00C039C2">
        <w:t xml:space="preserve">The Pacific Indicators for Inclusive Education research project is developing a set of contextually specific indicators for inclusive education in the Pacific and guidelines for implementation in </w:t>
      </w:r>
      <w:r w:rsidR="000B5DE3">
        <w:t>4</w:t>
      </w:r>
      <w:r w:rsidR="000B5DE3" w:rsidRPr="00C039C2">
        <w:t xml:space="preserve"> </w:t>
      </w:r>
      <w:r w:rsidRPr="00C039C2">
        <w:t>countries including Samoa. The indicators will assist countries to evaluate their efforts and develop further plans and targets for providing quality education for children with</w:t>
      </w:r>
      <w:r w:rsidR="000B5DE3">
        <w:t xml:space="preserve"> a</w:t>
      </w:r>
      <w:r w:rsidRPr="00C039C2">
        <w:t xml:space="preserve"> disability. </w:t>
      </w:r>
    </w:p>
    <w:p w:rsidR="002B1D75" w:rsidRPr="006E631D" w:rsidRDefault="002B1D75" w:rsidP="006E631D">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 xml:space="preserve">Regional Services that complement the </w:t>
      </w:r>
      <w:r w:rsidR="00375B03">
        <w:rPr>
          <w:rFonts w:ascii="Helvetica" w:hAnsi="Helvetica" w:cs="Arial"/>
          <w:color w:val="007FAD"/>
          <w:kern w:val="28"/>
          <w:sz w:val="28"/>
          <w:szCs w:val="28"/>
        </w:rPr>
        <w:t>Samoa</w:t>
      </w:r>
      <w:r w:rsidRPr="002B1D75">
        <w:rPr>
          <w:rFonts w:ascii="Helvetica" w:hAnsi="Helvetica" w:cs="Arial"/>
          <w:color w:val="007FAD"/>
          <w:kern w:val="28"/>
          <w:sz w:val="28"/>
          <w:szCs w:val="28"/>
        </w:rPr>
        <w:t xml:space="preserve"> Bilateral Program</w:t>
      </w:r>
    </w:p>
    <w:p w:rsidR="002B1D75" w:rsidRDefault="002B1D75" w:rsidP="006E631D">
      <w:pPr>
        <w:pStyle w:val="ListBullet"/>
        <w:numPr>
          <w:ilvl w:val="0"/>
          <w:numId w:val="0"/>
        </w:numPr>
        <w:spacing w:line="276" w:lineRule="auto"/>
      </w:pPr>
      <w:r>
        <w:t xml:space="preserve">Examples of contributions to the </w:t>
      </w:r>
      <w:r w:rsidR="00375B03">
        <w:t xml:space="preserve">Samoa </w:t>
      </w:r>
      <w:r>
        <w:t>Bilateral Program from Regional Institutions and Regional Services supported by the DFAT Pacific Regional Program include:</w:t>
      </w:r>
    </w:p>
    <w:p w:rsidR="00C039C2" w:rsidRPr="00C039C2" w:rsidRDefault="00C039C2" w:rsidP="00C039C2">
      <w:pPr>
        <w:pStyle w:val="ListBullet"/>
        <w:tabs>
          <w:tab w:val="clear" w:pos="284"/>
        </w:tabs>
        <w:spacing w:line="276" w:lineRule="auto"/>
      </w:pPr>
      <w:r w:rsidRPr="00C039C2">
        <w:t xml:space="preserve">Core-funding to the Secretariat of the Pacific Community (SPC) supported the recruitment of the Samoa Country Focal Officer in April 2014, who has provided support to the Ministry of Women, Community &amp; Social Development in planning for the implementation of their Family Safety Act. Training delivered to Members of Parliament and country focal officers contributed to increased observance of human rights and good governance standards by agencies and governments providing service to the public. </w:t>
      </w:r>
    </w:p>
    <w:p w:rsidR="00C039C2" w:rsidRPr="00C039C2" w:rsidRDefault="00C039C2" w:rsidP="00C039C2">
      <w:pPr>
        <w:pStyle w:val="ListBullet"/>
        <w:tabs>
          <w:tab w:val="clear" w:pos="284"/>
        </w:tabs>
        <w:spacing w:line="276" w:lineRule="auto"/>
      </w:pPr>
      <w:r w:rsidRPr="00C039C2">
        <w:t>Pacific Regional core funding to the Australia Pacific Technical Coll</w:t>
      </w:r>
      <w:r w:rsidR="005A5C1D">
        <w:t xml:space="preserve">ege (APTC) in 2013 supported 262 enrolments </w:t>
      </w:r>
      <w:r w:rsidR="000E556D">
        <w:t>(63</w:t>
      </w:r>
      <w:r w:rsidR="000B5DE3">
        <w:t>per cent</w:t>
      </w:r>
      <w:r w:rsidR="000E556D">
        <w:t xml:space="preserve"> female) </w:t>
      </w:r>
      <w:r w:rsidR="005A5C1D">
        <w:t>and 118</w:t>
      </w:r>
      <w:r w:rsidRPr="00C039C2">
        <w:t xml:space="preserve"> graduates</w:t>
      </w:r>
      <w:r w:rsidR="005D68D8">
        <w:t xml:space="preserve"> </w:t>
      </w:r>
      <w:r w:rsidR="000E556D">
        <w:t>(41</w:t>
      </w:r>
      <w:r w:rsidR="000B5DE3">
        <w:t>per cent</w:t>
      </w:r>
      <w:r w:rsidR="000E556D">
        <w:t xml:space="preserve"> female) </w:t>
      </w:r>
      <w:r w:rsidR="005D68D8">
        <w:t>from Samoa.</w:t>
      </w:r>
    </w:p>
    <w:p w:rsidR="00C039C2" w:rsidRPr="00C039C2" w:rsidRDefault="00C039C2" w:rsidP="00C039C2">
      <w:pPr>
        <w:pStyle w:val="ListBullet"/>
        <w:tabs>
          <w:tab w:val="clear" w:pos="284"/>
        </w:tabs>
        <w:spacing w:line="276" w:lineRule="auto"/>
      </w:pPr>
      <w:r w:rsidRPr="00C039C2">
        <w:t>The Pacific Disability Forum (PDF) has advocated for the signing and ratification of laws and conventions affecting people with disabilities. In November 2013, Samoan Government representatives were supported to attend the focus group discussions relating to the Convention on the Rights of Persons with Disability (CRPD) ratification in the Pacific.</w:t>
      </w:r>
    </w:p>
    <w:p w:rsidR="00C039C2" w:rsidRPr="00C039C2" w:rsidRDefault="00C039C2" w:rsidP="00C039C2">
      <w:pPr>
        <w:pStyle w:val="ListBullet"/>
        <w:tabs>
          <w:tab w:val="clear" w:pos="284"/>
        </w:tabs>
        <w:spacing w:line="276" w:lineRule="auto"/>
      </w:pPr>
      <w:r w:rsidRPr="00C039C2">
        <w:t xml:space="preserve">The Pacific Leadership Program (PLP) is supporting the Samoa National Youth Council (SNYC) to be better positioned to lobby for support on </w:t>
      </w:r>
      <w:r w:rsidR="000B5DE3" w:rsidRPr="00C039C2">
        <w:t>youth</w:t>
      </w:r>
      <w:r w:rsidR="000B5DE3">
        <w:t>-</w:t>
      </w:r>
      <w:r w:rsidRPr="00C039C2">
        <w:t xml:space="preserve">related issues. Youth representatives have been formally registered in all 10 villages in Savaii, and 16 villages in Upolu. </w:t>
      </w:r>
      <w:r w:rsidR="000B5DE3">
        <w:t>Eighty-</w:t>
      </w:r>
      <w:proofErr w:type="spellStart"/>
      <w:r w:rsidR="000B5DE3">
        <w:t>sevenper</w:t>
      </w:r>
      <w:proofErr w:type="spellEnd"/>
      <w:r w:rsidR="000B5DE3">
        <w:t xml:space="preserve"> cent</w:t>
      </w:r>
      <w:r w:rsidRPr="00C039C2">
        <w:t xml:space="preserve"> of villages in Savaii and Upolu have a recognised youth representative who sits in village councils along with the Matai (Chiefs), on which they have not traditionally been represented. </w:t>
      </w:r>
    </w:p>
    <w:p w:rsidR="00C039C2" w:rsidRDefault="00C039C2" w:rsidP="00C039C2">
      <w:pPr>
        <w:pStyle w:val="ListBullet"/>
        <w:tabs>
          <w:tab w:val="clear" w:pos="284"/>
        </w:tabs>
        <w:spacing w:line="276" w:lineRule="auto"/>
      </w:pPr>
      <w:r w:rsidRPr="00C039C2">
        <w:t xml:space="preserve">In 2014, the Pacific </w:t>
      </w:r>
      <w:r w:rsidR="000B5DE3">
        <w:t xml:space="preserve">Media </w:t>
      </w:r>
      <w:r w:rsidRPr="00C039C2">
        <w:t xml:space="preserve">Assistance Scheme (PACMAS) delivered a total of 14 national and regional workshops in the areas of Media Strengthening and Pacific Communication Broadcast Technicians. Out of 184 participants in these workshops, Samoa had the second-highest number of participants of any PICT (after Vanuatu).  PACMAS is also working with SPREP to support Samoa’s national broadcaster to improve its capacity to provide quality and timely information to enable communities to prepare and respond to natural disasters. </w:t>
      </w:r>
    </w:p>
    <w:p w:rsidR="00C039C2" w:rsidRPr="009E38C1" w:rsidRDefault="00C039C2" w:rsidP="00C039C2">
      <w:pPr>
        <w:pStyle w:val="Heading2"/>
        <w:spacing w:before="0" w:line="276" w:lineRule="auto"/>
        <w:rPr>
          <w:sz w:val="28"/>
        </w:rPr>
      </w:pPr>
      <w:r w:rsidRPr="00034413">
        <w:rPr>
          <w:sz w:val="28"/>
        </w:rPr>
        <w:t xml:space="preserve">Case study: </w:t>
      </w:r>
      <w:r w:rsidRPr="00C039C2">
        <w:rPr>
          <w:sz w:val="28"/>
        </w:rPr>
        <w:t>Support for Samoa Ch</w:t>
      </w:r>
      <w:r>
        <w:rPr>
          <w:sz w:val="28"/>
        </w:rPr>
        <w:t>amber of Commerce and Industry</w:t>
      </w:r>
    </w:p>
    <w:p w:rsidR="00C039C2" w:rsidRDefault="00C039C2" w:rsidP="00C039C2">
      <w:pPr>
        <w:pBdr>
          <w:top w:val="single" w:sz="4" w:space="1" w:color="auto"/>
          <w:bottom w:val="single" w:sz="4" w:space="1" w:color="auto"/>
        </w:pBdr>
        <w:spacing w:after="120" w:line="276" w:lineRule="auto"/>
      </w:pPr>
      <w:r w:rsidRPr="00C039C2">
        <w:rPr>
          <w:rFonts w:ascii="Franklin Gothic Book" w:eastAsia="Times New Roman" w:hAnsi="Franklin Gothic Book"/>
          <w:sz w:val="21"/>
        </w:rPr>
        <w:t>Recognising the Samoa Chamber of Commerce and Industry’s (SCCI’s) potential to represent the private sector at development policy level</w:t>
      </w:r>
      <w:r w:rsidR="000B5DE3">
        <w:rPr>
          <w:rFonts w:ascii="Franklin Gothic Book" w:eastAsia="Times New Roman" w:hAnsi="Franklin Gothic Book"/>
          <w:sz w:val="21"/>
        </w:rPr>
        <w:t>,</w:t>
      </w:r>
      <w:r w:rsidRPr="00C039C2">
        <w:rPr>
          <w:rFonts w:ascii="Franklin Gothic Book" w:eastAsia="Times New Roman" w:hAnsi="Franklin Gothic Book"/>
          <w:sz w:val="21"/>
        </w:rPr>
        <w:t xml:space="preserve"> as well as its commitment to nurturing small businesses and young business leaders, the Pacific Leadership Program (PLP) entered into a formal partnership </w:t>
      </w:r>
      <w:r w:rsidRPr="00C039C2">
        <w:rPr>
          <w:rFonts w:ascii="Franklin Gothic Book" w:eastAsia="Times New Roman" w:hAnsi="Franklin Gothic Book"/>
          <w:sz w:val="21"/>
        </w:rPr>
        <w:lastRenderedPageBreak/>
        <w:t>with SCCI in 2009. SCCI members include members of the Samoa Hotel Association, Samoa Association of Manufacturers and Exporters and Samoa Women in Business Development Inc. PLP’s support has included core and program funding as well as the provision of board governance, strategic planning and financial management support. At a policy level, PLP support has allowed SCCI to engage with Government to highlight and lobby on key development issues from a private sector perspective. SCCI now presents policy positions on every bill that is drafted, ranging from Health Regulations to the Crimes Act Review. PLP has supported SCCI to develop a comprehensive Policy Statement, which outlines the private sector’s position on four main development areas – tourism, trade, infrastructure development and the social sector. At times SCCI, in the absence of an effective political opposition, has played an important leadership role in providing the Samoan public with an alternative analysis of the National Budget.</w:t>
      </w:r>
    </w:p>
    <w:p w:rsidR="00C039C2" w:rsidRPr="00C039C2" w:rsidRDefault="00C039C2" w:rsidP="00C039C2">
      <w:pPr>
        <w:pStyle w:val="ListBullet"/>
        <w:numPr>
          <w:ilvl w:val="0"/>
          <w:numId w:val="0"/>
        </w:numPr>
        <w:tabs>
          <w:tab w:val="clear" w:pos="284"/>
        </w:tabs>
        <w:spacing w:line="276" w:lineRule="auto"/>
      </w:pPr>
    </w:p>
    <w:sectPr w:rsidR="00C039C2" w:rsidRPr="00C039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00" w:rsidRDefault="00AA2000" w:rsidP="00AA2000">
      <w:r>
        <w:separator/>
      </w:r>
    </w:p>
  </w:endnote>
  <w:endnote w:type="continuationSeparator" w:id="0">
    <w:p w:rsidR="00AA2000" w:rsidRDefault="00AA2000" w:rsidP="00AA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00" w:rsidRDefault="00AA2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00" w:rsidRDefault="00AA2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00" w:rsidRDefault="00AA2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00" w:rsidRDefault="00AA2000" w:rsidP="00AA2000">
      <w:r>
        <w:separator/>
      </w:r>
    </w:p>
  </w:footnote>
  <w:footnote w:type="continuationSeparator" w:id="0">
    <w:p w:rsidR="00AA2000" w:rsidRDefault="00AA2000" w:rsidP="00AA2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00" w:rsidRDefault="00AA2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00" w:rsidRDefault="00AA2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00" w:rsidRDefault="00AA2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34413"/>
    <w:rsid w:val="000B5DE3"/>
    <w:rsid w:val="000E556D"/>
    <w:rsid w:val="00192951"/>
    <w:rsid w:val="002B1D75"/>
    <w:rsid w:val="00375B03"/>
    <w:rsid w:val="0044636D"/>
    <w:rsid w:val="005A5C1D"/>
    <w:rsid w:val="005D2D03"/>
    <w:rsid w:val="005D68D8"/>
    <w:rsid w:val="006E631D"/>
    <w:rsid w:val="00806D30"/>
    <w:rsid w:val="00840628"/>
    <w:rsid w:val="00AA2000"/>
    <w:rsid w:val="00B128E0"/>
    <w:rsid w:val="00B97250"/>
    <w:rsid w:val="00C039C2"/>
    <w:rsid w:val="00D36341"/>
    <w:rsid w:val="00D80D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AA2000"/>
    <w:pPr>
      <w:tabs>
        <w:tab w:val="center" w:pos="4513"/>
        <w:tab w:val="right" w:pos="9026"/>
      </w:tabs>
    </w:pPr>
  </w:style>
  <w:style w:type="character" w:customStyle="1" w:styleId="HeaderChar">
    <w:name w:val="Header Char"/>
    <w:basedOn w:val="DefaultParagraphFont"/>
    <w:link w:val="Header"/>
    <w:uiPriority w:val="99"/>
    <w:rsid w:val="00AA2000"/>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AA2000"/>
    <w:pPr>
      <w:tabs>
        <w:tab w:val="center" w:pos="4513"/>
        <w:tab w:val="right" w:pos="9026"/>
      </w:tabs>
    </w:pPr>
  </w:style>
  <w:style w:type="character" w:customStyle="1" w:styleId="FooterChar">
    <w:name w:val="Footer Char"/>
    <w:basedOn w:val="DefaultParagraphFont"/>
    <w:link w:val="Footer"/>
    <w:uiPriority w:val="99"/>
    <w:rsid w:val="00AA2000"/>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AA2000"/>
    <w:pPr>
      <w:tabs>
        <w:tab w:val="center" w:pos="4513"/>
        <w:tab w:val="right" w:pos="9026"/>
      </w:tabs>
    </w:pPr>
  </w:style>
  <w:style w:type="character" w:customStyle="1" w:styleId="HeaderChar">
    <w:name w:val="Header Char"/>
    <w:basedOn w:val="DefaultParagraphFont"/>
    <w:link w:val="Header"/>
    <w:uiPriority w:val="99"/>
    <w:rsid w:val="00AA2000"/>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AA2000"/>
    <w:pPr>
      <w:tabs>
        <w:tab w:val="center" w:pos="4513"/>
        <w:tab w:val="right" w:pos="9026"/>
      </w:tabs>
    </w:pPr>
  </w:style>
  <w:style w:type="character" w:customStyle="1" w:styleId="FooterChar">
    <w:name w:val="Footer Char"/>
    <w:basedOn w:val="DefaultParagraphFont"/>
    <w:link w:val="Footer"/>
    <w:uiPriority w:val="99"/>
    <w:rsid w:val="00AA2000"/>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A38DAB-2B1E-445E-8417-BA2131505069}"/>
</file>

<file path=customXml/itemProps2.xml><?xml version="1.0" encoding="utf-8"?>
<ds:datastoreItem xmlns:ds="http://schemas.openxmlformats.org/officeDocument/2006/customXml" ds:itemID="{1A1F0432-D4E3-43F9-8E7A-8847F7B5F108}"/>
</file>

<file path=customXml/itemProps3.xml><?xml version="1.0" encoding="utf-8"?>
<ds:datastoreItem xmlns:ds="http://schemas.openxmlformats.org/officeDocument/2006/customXml" ds:itemID="{8B7BF657-65A4-481A-9D21-898C00CE6089}"/>
</file>

<file path=docProps/app.xml><?xml version="1.0" encoding="utf-8"?>
<Properties xmlns="http://schemas.openxmlformats.org/officeDocument/2006/extended-properties" xmlns:vt="http://schemas.openxmlformats.org/officeDocument/2006/docPropsVTypes">
  <Template>7B171097</Template>
  <TotalTime>0</TotalTime>
  <Pages>3</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2014-10-29T00:14:00Z</dcterms:created>
  <dcterms:modified xsi:type="dcterms:W3CDTF">2014-10-29T00:14:00Z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