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DA6" w:rsidRDefault="00C556E9" w:rsidP="00F7561B">
      <w:pPr>
        <w:pStyle w:val="Heading2"/>
        <w:spacing w:before="0" w:line="276" w:lineRule="auto"/>
        <w:rPr>
          <w:sz w:val="28"/>
        </w:rPr>
      </w:pPr>
      <w:bookmarkStart w:id="0" w:name="_GoBack"/>
      <w:bookmarkEnd w:id="0"/>
      <w:r>
        <w:rPr>
          <w:sz w:val="28"/>
        </w:rPr>
        <w:t>Annex F</w:t>
      </w:r>
      <w:r w:rsidR="00D80DA6">
        <w:rPr>
          <w:sz w:val="28"/>
        </w:rPr>
        <w:t xml:space="preserve"> </w:t>
      </w:r>
    </w:p>
    <w:p w:rsidR="00D80DA6" w:rsidRDefault="00D80DA6" w:rsidP="00F7561B">
      <w:pPr>
        <w:pStyle w:val="Heading2"/>
        <w:spacing w:before="0" w:line="276" w:lineRule="auto"/>
        <w:rPr>
          <w:sz w:val="32"/>
          <w:szCs w:val="32"/>
        </w:rPr>
      </w:pPr>
      <w:r>
        <w:rPr>
          <w:sz w:val="28"/>
        </w:rPr>
        <w:t>Annual performance of selected Pacific Regional programs at the Country level</w:t>
      </w:r>
      <w:r w:rsidRPr="009E38C1">
        <w:rPr>
          <w:sz w:val="28"/>
        </w:rPr>
        <w:tab/>
      </w:r>
      <w:r>
        <w:rPr>
          <w:sz w:val="32"/>
          <w:szCs w:val="32"/>
        </w:rPr>
        <w:tab/>
      </w:r>
      <w:r>
        <w:rPr>
          <w:sz w:val="32"/>
          <w:szCs w:val="32"/>
        </w:rPr>
        <w:tab/>
      </w:r>
    </w:p>
    <w:p w:rsidR="00D80DA6" w:rsidRDefault="00D80DA6" w:rsidP="00F7561B">
      <w:pPr>
        <w:pStyle w:val="Heading2"/>
        <w:spacing w:before="0" w:line="276" w:lineRule="auto"/>
        <w:rPr>
          <w:sz w:val="28"/>
        </w:rPr>
      </w:pPr>
      <w:r w:rsidRPr="00D80DA6">
        <w:rPr>
          <w:sz w:val="28"/>
        </w:rPr>
        <w:t xml:space="preserve">Kiribati </w:t>
      </w:r>
      <w:r w:rsidR="00C556E9">
        <w:rPr>
          <w:sz w:val="28"/>
        </w:rPr>
        <w:t xml:space="preserve">Regional </w:t>
      </w:r>
      <w:r w:rsidRPr="00D80DA6">
        <w:rPr>
          <w:sz w:val="28"/>
        </w:rPr>
        <w:t>Program - 2013</w:t>
      </w:r>
      <w:r w:rsidRPr="00D80DA6">
        <w:rPr>
          <w:sz w:val="28"/>
        </w:rPr>
        <w:tab/>
      </w:r>
      <w:r w:rsidRPr="00D80DA6">
        <w:rPr>
          <w:sz w:val="28"/>
        </w:rPr>
        <w:tab/>
      </w:r>
    </w:p>
    <w:p w:rsidR="00D80DA6" w:rsidRDefault="00D80DA6" w:rsidP="00F7561B">
      <w:pPr>
        <w:pStyle w:val="Caption"/>
        <w:spacing w:before="0" w:after="120" w:line="276" w:lineRule="auto"/>
      </w:pPr>
      <w:r>
        <w:t>Pacific Regional Program ODA attributed to bilateral program</w:t>
      </w:r>
    </w:p>
    <w:tbl>
      <w:tblPr>
        <w:tblStyle w:val="APPR"/>
        <w:tblpPr w:leftFromText="180" w:rightFromText="180" w:vertAnchor="text" w:tblpY="1"/>
        <w:tblW w:w="5000" w:type="pct"/>
        <w:tblLayout w:type="fixed"/>
        <w:tblLook w:val="0000" w:firstRow="0" w:lastRow="0" w:firstColumn="0" w:lastColumn="0" w:noHBand="0" w:noVBand="0"/>
      </w:tblPr>
      <w:tblGrid>
        <w:gridCol w:w="6211"/>
        <w:gridCol w:w="1528"/>
        <w:gridCol w:w="1559"/>
      </w:tblGrid>
      <w:tr w:rsidR="00D80DA6" w:rsidRPr="00180B19" w:rsidTr="00D80DA6">
        <w:trPr>
          <w:cnfStyle w:val="000000010000" w:firstRow="0" w:lastRow="0" w:firstColumn="0" w:lastColumn="0" w:oddVBand="0" w:evenVBand="0" w:oddHBand="0" w:evenHBand="1" w:firstRowFirstColumn="0" w:firstRowLastColumn="0" w:lastRowFirstColumn="0" w:lastRowLastColumn="0"/>
        </w:trPr>
        <w:tc>
          <w:tcPr>
            <w:tcW w:w="6329" w:type="dxa"/>
          </w:tcPr>
          <w:p w:rsidR="00D80DA6" w:rsidRPr="00180B19" w:rsidRDefault="00D80DA6" w:rsidP="00F7561B">
            <w:pPr>
              <w:pStyle w:val="TableHeading1"/>
              <w:spacing w:before="0" w:after="120" w:line="276" w:lineRule="auto"/>
            </w:pPr>
          </w:p>
        </w:tc>
        <w:tc>
          <w:tcPr>
            <w:tcW w:w="1534" w:type="dxa"/>
          </w:tcPr>
          <w:p w:rsidR="00D80DA6" w:rsidRPr="00180B19" w:rsidRDefault="00D80DA6" w:rsidP="00F7561B">
            <w:pPr>
              <w:pStyle w:val="TableHeading1"/>
              <w:spacing w:before="0" w:after="120" w:line="276" w:lineRule="auto"/>
            </w:pPr>
            <w:r>
              <w:t xml:space="preserve">2013/14 </w:t>
            </w:r>
            <w:r>
              <w:br/>
              <w:t>(Actual)</w:t>
            </w:r>
          </w:p>
        </w:tc>
        <w:tc>
          <w:tcPr>
            <w:tcW w:w="1552" w:type="dxa"/>
          </w:tcPr>
          <w:p w:rsidR="00D80DA6" w:rsidRPr="00180B19" w:rsidRDefault="00D80DA6" w:rsidP="00F7561B">
            <w:pPr>
              <w:pStyle w:val="TableHeading1"/>
              <w:spacing w:before="0" w:after="120" w:line="276" w:lineRule="auto"/>
            </w:pPr>
            <w:r>
              <w:t>2014/15</w:t>
            </w:r>
            <w:r>
              <w:br/>
              <w:t xml:space="preserve"> (Plan)</w:t>
            </w:r>
          </w:p>
        </w:tc>
      </w:tr>
      <w:tr w:rsidR="00D80DA6" w:rsidRPr="00180B19" w:rsidTr="00D80DA6">
        <w:trPr>
          <w:cnfStyle w:val="000000010000" w:firstRow="0" w:lastRow="0" w:firstColumn="0" w:lastColumn="0" w:oddVBand="0" w:evenVBand="0" w:oddHBand="0" w:evenHBand="1" w:firstRowFirstColumn="0" w:firstRowLastColumn="0" w:lastRowFirstColumn="0" w:lastRowLastColumn="0"/>
        </w:trPr>
        <w:tc>
          <w:tcPr>
            <w:tcW w:w="6329" w:type="dxa"/>
          </w:tcPr>
          <w:p w:rsidR="00D80DA6" w:rsidRPr="002B1D75" w:rsidRDefault="00D80DA6" w:rsidP="00F7561B">
            <w:pPr>
              <w:pStyle w:val="TableTextEntries"/>
              <w:spacing w:before="0" w:after="120" w:line="276" w:lineRule="auto"/>
            </w:pPr>
            <w:r w:rsidRPr="002B1D75">
              <w:t>Kiribati</w:t>
            </w:r>
          </w:p>
        </w:tc>
        <w:tc>
          <w:tcPr>
            <w:tcW w:w="1534" w:type="dxa"/>
          </w:tcPr>
          <w:p w:rsidR="00D80DA6" w:rsidRPr="00C57923" w:rsidRDefault="00D80DA6" w:rsidP="00F7561B">
            <w:pPr>
              <w:pStyle w:val="TableTextEntries"/>
              <w:spacing w:before="0" w:after="120" w:line="276" w:lineRule="auto"/>
            </w:pPr>
            <w:r w:rsidRPr="00D80DA6">
              <w:t>A$4,398,475</w:t>
            </w:r>
          </w:p>
        </w:tc>
        <w:tc>
          <w:tcPr>
            <w:tcW w:w="1552" w:type="dxa"/>
          </w:tcPr>
          <w:p w:rsidR="00D80DA6" w:rsidRPr="00C57923" w:rsidRDefault="00D80DA6" w:rsidP="00F7561B">
            <w:pPr>
              <w:pStyle w:val="TableTextEntries"/>
              <w:spacing w:before="0" w:after="120" w:line="276" w:lineRule="auto"/>
            </w:pPr>
            <w:r w:rsidRPr="00D80DA6">
              <w:t>A$4,041,695</w:t>
            </w:r>
          </w:p>
        </w:tc>
      </w:tr>
    </w:tbl>
    <w:p w:rsidR="002B1D75" w:rsidRDefault="002B1D75" w:rsidP="00F7561B">
      <w:pPr>
        <w:pStyle w:val="ListBullet"/>
        <w:numPr>
          <w:ilvl w:val="0"/>
          <w:numId w:val="0"/>
        </w:numPr>
        <w:spacing w:line="276" w:lineRule="auto"/>
      </w:pPr>
    </w:p>
    <w:p w:rsidR="00D80DA6" w:rsidRPr="00AC6F49" w:rsidRDefault="002B1D75" w:rsidP="00F7561B">
      <w:pPr>
        <w:pStyle w:val="ListBullet"/>
        <w:numPr>
          <w:ilvl w:val="0"/>
          <w:numId w:val="0"/>
        </w:numPr>
        <w:spacing w:line="276" w:lineRule="auto"/>
      </w:pPr>
      <w:r w:rsidRPr="002B1D75">
        <w:t>This Annex outlines the country-level results of selected investments of the Pacific Regional Aid Program for Kiribati. All information included in this annex is drawn from internal and external reporting produced by DFAT and our implementing partners on investments managed by the Pacific Regional aid program. This information should not be treated as comprehensive.</w:t>
      </w:r>
    </w:p>
    <w:p w:rsidR="002B1D75" w:rsidRDefault="002B1D75" w:rsidP="00F7561B">
      <w:pPr>
        <w:pStyle w:val="Heading2"/>
        <w:spacing w:before="0" w:line="276" w:lineRule="auto"/>
        <w:rPr>
          <w:rStyle w:val="BodyTextChar"/>
        </w:rPr>
      </w:pPr>
      <w:r w:rsidRPr="002B1D75">
        <w:rPr>
          <w:sz w:val="28"/>
        </w:rPr>
        <w:t>Contributions to Kiribati Country Program Outcomes</w:t>
      </w:r>
      <w:r w:rsidR="00D80DA6" w:rsidRPr="009E38C1">
        <w:rPr>
          <w:sz w:val="28"/>
        </w:rPr>
        <w:t xml:space="preserve"> </w:t>
      </w:r>
      <w:r w:rsidR="00D80DA6" w:rsidRPr="009E38C1">
        <w:rPr>
          <w:sz w:val="28"/>
        </w:rPr>
        <w:tab/>
      </w:r>
      <w:r w:rsidR="00D80DA6">
        <w:rPr>
          <w:sz w:val="32"/>
          <w:szCs w:val="32"/>
        </w:rPr>
        <w:tab/>
      </w:r>
      <w:r w:rsidR="00D80DA6">
        <w:rPr>
          <w:rStyle w:val="BodyTextChar"/>
        </w:rPr>
        <w:tab/>
      </w:r>
    </w:p>
    <w:p w:rsidR="00D80DA6" w:rsidRPr="002B1D75" w:rsidRDefault="002B1D75" w:rsidP="00F7561B">
      <w:pPr>
        <w:pStyle w:val="Heading3"/>
        <w:spacing w:before="0" w:line="276" w:lineRule="auto"/>
        <w:rPr>
          <w:rStyle w:val="BodyTextChar"/>
          <w:rFonts w:ascii="Helvetica" w:hAnsi="Helvetica" w:cs="Arial"/>
          <w:sz w:val="22"/>
          <w:szCs w:val="22"/>
          <w:lang w:eastAsia="zh-CN"/>
        </w:rPr>
      </w:pPr>
      <w:r w:rsidRPr="002B1D75">
        <w:t xml:space="preserve">Outcome 1 – </w:t>
      </w:r>
      <w:r w:rsidR="002D1FD7">
        <w:t>I</w:t>
      </w:r>
      <w:r w:rsidR="002D1FD7" w:rsidRPr="002B1D75">
        <w:t xml:space="preserve">mproved </w:t>
      </w:r>
      <w:r w:rsidRPr="002B1D75">
        <w:t>standards in basic education</w:t>
      </w:r>
      <w:r w:rsidR="00D80DA6">
        <w:rPr>
          <w:rStyle w:val="BodyTextChar"/>
        </w:rPr>
        <w:tab/>
      </w:r>
      <w:r w:rsidR="00D80DA6">
        <w:rPr>
          <w:rStyle w:val="BodyTextChar"/>
        </w:rPr>
        <w:tab/>
      </w:r>
    </w:p>
    <w:p w:rsidR="002B1D75" w:rsidRDefault="002B1D75" w:rsidP="00F7561B">
      <w:pPr>
        <w:pStyle w:val="ListBullet"/>
        <w:numPr>
          <w:ilvl w:val="0"/>
          <w:numId w:val="0"/>
        </w:numPr>
        <w:tabs>
          <w:tab w:val="clear" w:pos="284"/>
        </w:tabs>
        <w:spacing w:line="276" w:lineRule="auto"/>
      </w:pPr>
      <w:r w:rsidRPr="002B1D75">
        <w:t>DFAT Pacific Regional Program investments in education in Kiribati are focused on the tertiary sector.</w:t>
      </w:r>
    </w:p>
    <w:p w:rsidR="002B1D75" w:rsidRPr="002B1D75" w:rsidRDefault="002B1D75" w:rsidP="00F7561B">
      <w:pPr>
        <w:pStyle w:val="Heading3"/>
        <w:spacing w:before="0" w:line="276" w:lineRule="auto"/>
      </w:pPr>
      <w:r>
        <w:t>Outcome 2</w:t>
      </w:r>
      <w:r w:rsidRPr="008046EC">
        <w:t xml:space="preserve"> </w:t>
      </w:r>
      <w:r>
        <w:t>–</w:t>
      </w:r>
      <w:r w:rsidRPr="008046EC">
        <w:t xml:space="preserve"> </w:t>
      </w:r>
      <w:r w:rsidR="002D1FD7">
        <w:t xml:space="preserve">Workforce </w:t>
      </w:r>
      <w:r>
        <w:t>skills development</w:t>
      </w:r>
    </w:p>
    <w:p w:rsidR="002B1D75" w:rsidRPr="002B1D75" w:rsidRDefault="002B1D75" w:rsidP="00F7561B">
      <w:pPr>
        <w:spacing w:after="120" w:line="276" w:lineRule="auto"/>
        <w:rPr>
          <w:rFonts w:ascii="Franklin Gothic Book" w:eastAsia="Times New Roman" w:hAnsi="Franklin Gothic Book"/>
          <w:sz w:val="21"/>
        </w:rPr>
      </w:pPr>
      <w:r w:rsidRPr="002B1D75">
        <w:rPr>
          <w:rFonts w:ascii="Franklin Gothic Book" w:eastAsia="Times New Roman" w:hAnsi="Franklin Gothic Book"/>
          <w:sz w:val="21"/>
        </w:rPr>
        <w:t>Examples of contributions to this objective from the DFAT Pacific Regional Program include:</w:t>
      </w:r>
    </w:p>
    <w:p w:rsidR="002B1D75" w:rsidRDefault="002B1D75" w:rsidP="00F7561B">
      <w:pPr>
        <w:pStyle w:val="ListBullet"/>
        <w:tabs>
          <w:tab w:val="clear" w:pos="284"/>
        </w:tabs>
        <w:spacing w:line="276" w:lineRule="auto"/>
      </w:pPr>
      <w:r>
        <w:t xml:space="preserve">Pacific Regional core funding to the Australia Pacific Technical College (APTC) in 2013 supported </w:t>
      </w:r>
      <w:r w:rsidR="00D872D0">
        <w:t>103</w:t>
      </w:r>
      <w:r>
        <w:t xml:space="preserve"> enrolments</w:t>
      </w:r>
      <w:r w:rsidR="005C1B88">
        <w:t xml:space="preserve"> (38</w:t>
      </w:r>
      <w:r w:rsidR="00EC691F">
        <w:t xml:space="preserve"> </w:t>
      </w:r>
      <w:r w:rsidR="002D1FD7">
        <w:t>percent</w:t>
      </w:r>
      <w:r w:rsidR="005C1B88">
        <w:t xml:space="preserve"> female)</w:t>
      </w:r>
      <w:r>
        <w:t xml:space="preserve">, and </w:t>
      </w:r>
      <w:r w:rsidR="00D872D0">
        <w:t>63</w:t>
      </w:r>
      <w:r>
        <w:t xml:space="preserve"> graduates</w:t>
      </w:r>
      <w:r w:rsidR="005C1B88">
        <w:t xml:space="preserve"> (38</w:t>
      </w:r>
      <w:r w:rsidR="00EC691F">
        <w:t xml:space="preserve"> </w:t>
      </w:r>
      <w:r w:rsidR="002D1FD7">
        <w:t>percent</w:t>
      </w:r>
      <w:r w:rsidR="005C1B88">
        <w:t xml:space="preserve"> female)</w:t>
      </w:r>
      <w:r>
        <w:t>, from Kiribati</w:t>
      </w:r>
      <w:r w:rsidR="00F7561B">
        <w:t>.</w:t>
      </w:r>
    </w:p>
    <w:p w:rsidR="002B1D75" w:rsidRDefault="002B1D75" w:rsidP="00F7561B">
      <w:pPr>
        <w:pStyle w:val="ListBullet"/>
        <w:tabs>
          <w:tab w:val="clear" w:pos="284"/>
        </w:tabs>
        <w:spacing w:line="276" w:lineRule="auto"/>
      </w:pPr>
      <w:r>
        <w:t>Pacific Regional core funding to University of the Sou</w:t>
      </w:r>
      <w:r w:rsidR="00EC691F">
        <w:t>th Pacific (USP) supported 731</w:t>
      </w:r>
      <w:r>
        <w:t xml:space="preserve"> equivalent full-time students (EFTS) from Kiribati in 2013.</w:t>
      </w:r>
    </w:p>
    <w:p w:rsidR="002B1D75" w:rsidRPr="002B1D75" w:rsidRDefault="002B1D75" w:rsidP="00F7561B">
      <w:pPr>
        <w:pStyle w:val="ListBullet"/>
        <w:tabs>
          <w:tab w:val="clear" w:pos="284"/>
        </w:tabs>
        <w:spacing w:line="276" w:lineRule="auto"/>
      </w:pPr>
      <w:r>
        <w:t>The Pacific Register of Qualifications and Standards (PRQS) supported the Ministry of Education in Kiribati to explore options for developing a national qualifications framework. This support included the drafting of a paper recommending Kiribati adopt the Pacific Qualifications Framework, which has now been endorsed by Cabinet.</w:t>
      </w:r>
    </w:p>
    <w:p w:rsidR="002B1D75" w:rsidRPr="00F7561B" w:rsidRDefault="002B1D75" w:rsidP="00F7561B">
      <w:pPr>
        <w:spacing w:after="120" w:line="276" w:lineRule="auto"/>
        <w:rPr>
          <w:rFonts w:ascii="Arial" w:hAnsi="Arial" w:cs="Arial"/>
          <w:b/>
        </w:rPr>
      </w:pPr>
      <w:r w:rsidRPr="002B1D75">
        <w:rPr>
          <w:rFonts w:ascii="Helvetica" w:eastAsia="Times New Roman" w:hAnsi="Helvetica" w:cs="Arial"/>
          <w:b/>
          <w:color w:val="124486"/>
          <w:kern w:val="28"/>
          <w:sz w:val="22"/>
          <w:szCs w:val="22"/>
          <w:lang w:eastAsia="zh-CN"/>
        </w:rPr>
        <w:t xml:space="preserve">Outcome 3 – </w:t>
      </w:r>
      <w:r w:rsidR="002D1FD7">
        <w:rPr>
          <w:rFonts w:ascii="Helvetica" w:eastAsia="Times New Roman" w:hAnsi="Helvetica" w:cs="Arial"/>
          <w:b/>
          <w:color w:val="124486"/>
          <w:kern w:val="28"/>
          <w:sz w:val="22"/>
          <w:szCs w:val="22"/>
          <w:lang w:eastAsia="zh-CN"/>
        </w:rPr>
        <w:t>I</w:t>
      </w:r>
      <w:r w:rsidR="002D1FD7" w:rsidRPr="002B1D75">
        <w:rPr>
          <w:rFonts w:ascii="Helvetica" w:eastAsia="Times New Roman" w:hAnsi="Helvetica" w:cs="Arial"/>
          <w:b/>
          <w:color w:val="124486"/>
          <w:kern w:val="28"/>
          <w:sz w:val="22"/>
          <w:szCs w:val="22"/>
          <w:lang w:eastAsia="zh-CN"/>
        </w:rPr>
        <w:t xml:space="preserve">mproved </w:t>
      </w:r>
      <w:r w:rsidRPr="002B1D75">
        <w:rPr>
          <w:rFonts w:ascii="Helvetica" w:eastAsia="Times New Roman" w:hAnsi="Helvetica" w:cs="Arial"/>
          <w:b/>
          <w:color w:val="124486"/>
          <w:kern w:val="28"/>
          <w:sz w:val="22"/>
          <w:szCs w:val="22"/>
          <w:lang w:eastAsia="zh-CN"/>
        </w:rPr>
        <w:t>growth and economic management</w:t>
      </w:r>
    </w:p>
    <w:p w:rsidR="002B1D75" w:rsidRPr="002B1D75" w:rsidRDefault="002B1D75" w:rsidP="00F7561B">
      <w:pPr>
        <w:spacing w:after="120" w:line="276" w:lineRule="auto"/>
        <w:rPr>
          <w:rFonts w:ascii="Franklin Gothic Book" w:eastAsia="Times New Roman" w:hAnsi="Franklin Gothic Book"/>
          <w:sz w:val="21"/>
        </w:rPr>
      </w:pPr>
      <w:r w:rsidRPr="002B1D75">
        <w:rPr>
          <w:rFonts w:ascii="Franklin Gothic Book" w:eastAsia="Times New Roman" w:hAnsi="Franklin Gothic Book"/>
          <w:sz w:val="21"/>
        </w:rPr>
        <w:t>Examples of contributions to this objective from the DFAT Pacific Regional Program include:</w:t>
      </w:r>
    </w:p>
    <w:p w:rsidR="002B1D75" w:rsidRDefault="002B1D75" w:rsidP="00F7561B">
      <w:pPr>
        <w:pStyle w:val="ListBullet"/>
        <w:tabs>
          <w:tab w:val="clear" w:pos="284"/>
        </w:tabs>
        <w:spacing w:line="276" w:lineRule="auto"/>
      </w:pPr>
      <w:r w:rsidRPr="002B1D75">
        <w:t>The Pacific Financial Technical Assistance Centre (PFTAC) provided Kiribati with support to reform public debt and cash management, and budgeting and planning process</w:t>
      </w:r>
      <w:r w:rsidR="00F7561B">
        <w:t>es; introduce</w:t>
      </w:r>
      <w:r w:rsidRPr="002B1D75">
        <w:t xml:space="preserve"> </w:t>
      </w:r>
      <w:r w:rsidR="002D1FD7">
        <w:t xml:space="preserve">a </w:t>
      </w:r>
      <w:r w:rsidRPr="002B1D75">
        <w:t>value-added tax (VAT); and develop alternative Gross Domestic Product (GDP) measures.</w:t>
      </w:r>
    </w:p>
    <w:p w:rsidR="00F7561B" w:rsidRDefault="00F7561B" w:rsidP="00F7561B">
      <w:pPr>
        <w:pStyle w:val="ListBullet"/>
        <w:tabs>
          <w:tab w:val="clear" w:pos="284"/>
        </w:tabs>
        <w:spacing w:line="276" w:lineRule="auto"/>
      </w:pPr>
      <w:r w:rsidRPr="00034413">
        <w:t xml:space="preserve">The International Finance Corporation advised the Government of Kiribati on preparing and implementing a tender for the selection of a suitable partner for a public-private partnership for the redevelopment of the </w:t>
      </w:r>
      <w:proofErr w:type="spellStart"/>
      <w:r w:rsidRPr="00034413">
        <w:t>Otintaai</w:t>
      </w:r>
      <w:proofErr w:type="spellEnd"/>
      <w:r w:rsidRPr="00034413">
        <w:t xml:space="preserve"> Hotel. Cabinet approved the evaluation in July 2013, and the concession agreement has since been signed with the winning bidder</w:t>
      </w:r>
      <w:r>
        <w:t>.</w:t>
      </w:r>
    </w:p>
    <w:p w:rsidR="002B1D75" w:rsidRPr="00F7561B" w:rsidRDefault="002B1D75" w:rsidP="00F7561B">
      <w:pPr>
        <w:spacing w:after="120" w:line="276" w:lineRule="auto"/>
        <w:rPr>
          <w:rFonts w:ascii="Helvetica" w:eastAsia="Times New Roman" w:hAnsi="Helvetica" w:cs="Arial"/>
          <w:b/>
          <w:color w:val="124486"/>
          <w:kern w:val="28"/>
          <w:sz w:val="22"/>
          <w:szCs w:val="22"/>
          <w:lang w:eastAsia="zh-CN"/>
        </w:rPr>
      </w:pPr>
      <w:r w:rsidRPr="002B1D75">
        <w:rPr>
          <w:rFonts w:ascii="Helvetica" w:eastAsia="Times New Roman" w:hAnsi="Helvetica" w:cs="Arial"/>
          <w:b/>
          <w:color w:val="124486"/>
          <w:kern w:val="28"/>
          <w:sz w:val="22"/>
          <w:szCs w:val="22"/>
          <w:lang w:eastAsia="zh-CN"/>
        </w:rPr>
        <w:t xml:space="preserve">Outcome 4 – </w:t>
      </w:r>
      <w:r w:rsidR="002D1FD7">
        <w:rPr>
          <w:rFonts w:ascii="Helvetica" w:eastAsia="Times New Roman" w:hAnsi="Helvetica" w:cs="Arial"/>
          <w:b/>
          <w:color w:val="124486"/>
          <w:kern w:val="28"/>
          <w:sz w:val="22"/>
          <w:szCs w:val="22"/>
          <w:lang w:eastAsia="zh-CN"/>
        </w:rPr>
        <w:t>I</w:t>
      </w:r>
      <w:r w:rsidR="002D1FD7" w:rsidRPr="002B1D75">
        <w:rPr>
          <w:rFonts w:ascii="Helvetica" w:eastAsia="Times New Roman" w:hAnsi="Helvetica" w:cs="Arial"/>
          <w:b/>
          <w:color w:val="124486"/>
          <w:kern w:val="28"/>
          <w:sz w:val="22"/>
          <w:szCs w:val="22"/>
          <w:lang w:eastAsia="zh-CN"/>
        </w:rPr>
        <w:t xml:space="preserve">mproved </w:t>
      </w:r>
      <w:r w:rsidRPr="002B1D75">
        <w:rPr>
          <w:rFonts w:ascii="Helvetica" w:eastAsia="Times New Roman" w:hAnsi="Helvetica" w:cs="Arial"/>
          <w:b/>
          <w:color w:val="124486"/>
          <w:kern w:val="28"/>
          <w:sz w:val="22"/>
          <w:szCs w:val="22"/>
          <w:lang w:eastAsia="zh-CN"/>
        </w:rPr>
        <w:t>infrastructure services</w:t>
      </w:r>
    </w:p>
    <w:p w:rsidR="002B1D75" w:rsidRPr="002B1D75" w:rsidRDefault="002B1D75" w:rsidP="00F7561B">
      <w:pPr>
        <w:spacing w:after="120" w:line="276" w:lineRule="auto"/>
        <w:rPr>
          <w:rFonts w:ascii="Franklin Gothic Book" w:eastAsia="Times New Roman" w:hAnsi="Franklin Gothic Book"/>
          <w:sz w:val="21"/>
        </w:rPr>
      </w:pPr>
      <w:r w:rsidRPr="002B1D75">
        <w:rPr>
          <w:rFonts w:ascii="Franklin Gothic Book" w:eastAsia="Times New Roman" w:hAnsi="Franklin Gothic Book"/>
          <w:sz w:val="21"/>
        </w:rPr>
        <w:t>Examples of contributions to this objective from the DFAT Pacific Regional Program include:</w:t>
      </w:r>
    </w:p>
    <w:p w:rsidR="002B1D75" w:rsidRPr="00A640CE" w:rsidRDefault="002B1D75" w:rsidP="00F7561B">
      <w:pPr>
        <w:pStyle w:val="ListBullet"/>
        <w:tabs>
          <w:tab w:val="clear" w:pos="284"/>
        </w:tabs>
        <w:spacing w:line="276" w:lineRule="auto"/>
      </w:pPr>
      <w:r w:rsidRPr="002B1D75">
        <w:lastRenderedPageBreak/>
        <w:t>The Pacific Regional Infrastructure Facility is supporting t</w:t>
      </w:r>
      <w:r w:rsidR="00F7561B">
        <w:t xml:space="preserve">he Kiribati Adaptation Program </w:t>
      </w:r>
      <w:r w:rsidR="00F7561B">
        <w:br/>
        <w:t>Phase III</w:t>
      </w:r>
      <w:r w:rsidRPr="002B1D75">
        <w:t>, which seeks to strengthen Kiribati’s ability to provide people with safe water and maintain resilient coastal infrastructure in the face of climate change.</w:t>
      </w:r>
    </w:p>
    <w:p w:rsidR="002B1D75" w:rsidRPr="002B1D75" w:rsidRDefault="002B1D75" w:rsidP="00F7561B">
      <w:pPr>
        <w:pStyle w:val="ListBullet"/>
        <w:numPr>
          <w:ilvl w:val="0"/>
          <w:numId w:val="0"/>
        </w:numPr>
        <w:spacing w:line="276" w:lineRule="auto"/>
        <w:rPr>
          <w:rFonts w:ascii="Helvetica" w:hAnsi="Helvetica" w:cs="Arial"/>
          <w:color w:val="007FAD"/>
          <w:kern w:val="28"/>
          <w:sz w:val="28"/>
          <w:szCs w:val="28"/>
        </w:rPr>
      </w:pPr>
      <w:r w:rsidRPr="002B1D75">
        <w:rPr>
          <w:rFonts w:ascii="Helvetica" w:hAnsi="Helvetica" w:cs="Arial"/>
          <w:color w:val="007FAD"/>
          <w:kern w:val="28"/>
          <w:sz w:val="28"/>
          <w:szCs w:val="28"/>
        </w:rPr>
        <w:t>Regional Services that complement the Kiribati Bilateral Program</w:t>
      </w:r>
    </w:p>
    <w:p w:rsidR="002B1D75" w:rsidRDefault="002B1D75" w:rsidP="00F7561B">
      <w:pPr>
        <w:pStyle w:val="ListBullet"/>
        <w:numPr>
          <w:ilvl w:val="0"/>
          <w:numId w:val="0"/>
        </w:numPr>
        <w:spacing w:line="276" w:lineRule="auto"/>
      </w:pPr>
      <w:r>
        <w:t>Examples of contributions to the Kiribati Bilateral Program from Regional Institutions and Regional Services supported by the DFAT Pacific Regional Program include:</w:t>
      </w:r>
    </w:p>
    <w:p w:rsidR="00034413" w:rsidRDefault="002B1D75" w:rsidP="00F7561B">
      <w:pPr>
        <w:pStyle w:val="ListBullet"/>
        <w:tabs>
          <w:tab w:val="clear" w:pos="284"/>
        </w:tabs>
        <w:spacing w:line="276" w:lineRule="auto"/>
      </w:pPr>
      <w:r w:rsidRPr="002B1D75">
        <w:t>The Pacific Islands Centre for Public Administration (PICPA) provided advisory services to Kiribati on workforce planning and performance management, and delivered training in Kiribati on public sector delivery and human resource management</w:t>
      </w:r>
      <w:r w:rsidR="00F7561B">
        <w:t>.</w:t>
      </w:r>
    </w:p>
    <w:p w:rsidR="002B1D75" w:rsidRDefault="002B1D75" w:rsidP="00F7561B">
      <w:pPr>
        <w:pStyle w:val="ListBullet"/>
        <w:tabs>
          <w:tab w:val="clear" w:pos="284"/>
        </w:tabs>
        <w:spacing w:line="276" w:lineRule="auto"/>
      </w:pPr>
      <w:r w:rsidRPr="00034413">
        <w:t>The Royal Australian College of Surgeons’ Pacific Islands Program (PIP) supported three teams of surgeons to visit Kiribati in 2013, to provide specialist services in ophthalmology, ear nose and throat (ENT) surgery, and orthopaedics</w:t>
      </w:r>
      <w:r w:rsidR="00034413">
        <w:t>.</w:t>
      </w:r>
    </w:p>
    <w:p w:rsidR="002B1D75" w:rsidRDefault="002B1D75" w:rsidP="00F7561B">
      <w:pPr>
        <w:pStyle w:val="ListBullet"/>
        <w:tabs>
          <w:tab w:val="clear" w:pos="284"/>
        </w:tabs>
        <w:spacing w:line="276" w:lineRule="auto"/>
      </w:pPr>
      <w:r w:rsidRPr="00034413">
        <w:t xml:space="preserve">Pacific Regional Sexual and Reproductive Health and Rights (PRSRHR) </w:t>
      </w:r>
      <w:proofErr w:type="gramStart"/>
      <w:r w:rsidRPr="00034413">
        <w:t>has</w:t>
      </w:r>
      <w:proofErr w:type="gramEnd"/>
      <w:r w:rsidRPr="00034413">
        <w:t xml:space="preserve"> supported the Kiribati Family Health Association</w:t>
      </w:r>
      <w:r w:rsidR="006950B3">
        <w:t xml:space="preserve"> (KFHA) to begin construction of</w:t>
      </w:r>
      <w:r w:rsidRPr="00034413">
        <w:t xml:space="preserve"> a new clinic to provide access to Voluntary Confidential Counselling and Testing</w:t>
      </w:r>
      <w:r w:rsidR="00034413">
        <w:t>.</w:t>
      </w:r>
    </w:p>
    <w:p w:rsidR="002B1D75" w:rsidRDefault="006950B3" w:rsidP="00F7561B">
      <w:pPr>
        <w:pStyle w:val="ListBullet"/>
        <w:tabs>
          <w:tab w:val="clear" w:pos="284"/>
        </w:tabs>
        <w:spacing w:line="276" w:lineRule="auto"/>
      </w:pPr>
      <w:r>
        <w:t>The UNICEF Multi-country program’</w:t>
      </w:r>
      <w:r w:rsidR="002B1D75" w:rsidRPr="00034413">
        <w:t>s Maternal and Child Health Programme has supported legislative reform in Kiribati to strengthen implementation of the Convention on the Rights of the Child (CRC), and has delivered community road shows to raise awareness of child protection among families and communities</w:t>
      </w:r>
      <w:r w:rsidR="00034413">
        <w:t>.</w:t>
      </w:r>
    </w:p>
    <w:p w:rsidR="002B1D75" w:rsidRDefault="002B1D75" w:rsidP="00F7561B">
      <w:pPr>
        <w:pStyle w:val="ListBullet"/>
        <w:tabs>
          <w:tab w:val="clear" w:pos="284"/>
        </w:tabs>
        <w:spacing w:line="276" w:lineRule="auto"/>
      </w:pPr>
      <w:r w:rsidRPr="00034413">
        <w:t>Through the Pacific Disability Forum, Disabled Persons’ Organisation (DPO) members in Kiribati received capacity building activities on board training, good governance, leadership, financial management, and awareness of the Convention on the Rights of Persons with Disabilities</w:t>
      </w:r>
      <w:r w:rsidR="00034413">
        <w:t>.</w:t>
      </w:r>
    </w:p>
    <w:p w:rsidR="002B1D75" w:rsidRDefault="002B1D75" w:rsidP="00F7561B">
      <w:pPr>
        <w:pStyle w:val="ListBullet"/>
        <w:tabs>
          <w:tab w:val="clear" w:pos="284"/>
        </w:tabs>
        <w:spacing w:line="276" w:lineRule="auto"/>
      </w:pPr>
      <w:r w:rsidRPr="002B1D75">
        <w:t xml:space="preserve">The Australian Sports Outreach Program (ASOP) has partnered with the Kiribati Ministry of Internal and Social Affairs (Sports) to deliver the Kiribati Community Clubs. This program uses sport-based activities through community clubs to contribute toward positive </w:t>
      </w:r>
      <w:r w:rsidR="002D1FD7" w:rsidRPr="002B1D75">
        <w:t>health</w:t>
      </w:r>
      <w:r w:rsidR="002D1FD7">
        <w:t>-</w:t>
      </w:r>
      <w:r w:rsidRPr="002B1D75">
        <w:t>related behaviour and youth leadership.</w:t>
      </w:r>
    </w:p>
    <w:p w:rsidR="00D80DA6" w:rsidRPr="009E38C1" w:rsidRDefault="00034413" w:rsidP="00F7561B">
      <w:pPr>
        <w:pStyle w:val="Heading2"/>
        <w:spacing w:before="0" w:line="276" w:lineRule="auto"/>
        <w:rPr>
          <w:sz w:val="28"/>
        </w:rPr>
      </w:pPr>
      <w:r w:rsidRPr="00034413">
        <w:rPr>
          <w:sz w:val="28"/>
        </w:rPr>
        <w:t>Case study: Training for observers in Kiribati to monitor fisheries</w:t>
      </w:r>
    </w:p>
    <w:p w:rsidR="00034413" w:rsidRPr="00034413" w:rsidRDefault="00034413" w:rsidP="00F7561B">
      <w:pPr>
        <w:pBdr>
          <w:top w:val="single" w:sz="4" w:space="1" w:color="auto"/>
          <w:bottom w:val="single" w:sz="4" w:space="1" w:color="auto"/>
        </w:pBdr>
        <w:spacing w:after="120" w:line="276" w:lineRule="auto"/>
        <w:rPr>
          <w:rFonts w:ascii="Franklin Gothic Book" w:eastAsia="Times New Roman" w:hAnsi="Franklin Gothic Book"/>
          <w:sz w:val="21"/>
        </w:rPr>
      </w:pPr>
      <w:r w:rsidRPr="00034413">
        <w:rPr>
          <w:rFonts w:ascii="Franklin Gothic Book" w:eastAsia="Times New Roman" w:hAnsi="Franklin Gothic Book"/>
          <w:sz w:val="21"/>
        </w:rPr>
        <w:t>In Kiribati, fisheries provide food, income and livelihoods for local communities, as well as being a major export for the economy. Kiribati’s fish resources are however coming under increasing pressure due to population growth and climate change. As such, it is important that fisheries are monitored and managed to ensure that tuna and other important resources are sustainably harvested. The Secretariat of the Pacific Community (SPC) and the Forum Fisheries Agency (FFA) have assisted Kiribati to develop fisheries observer programs to collect the data needed to monitor and manage tuna fisheries. This training ensures that the Kiribati government has the information needed to develop and manage its oceanic fisheries resources sustainably, contributing to the economy and future food and nutrition security. It also provides opportunities for e-Kiribati to gain the qualifications needed to work in the fisheries sector.</w:t>
      </w:r>
    </w:p>
    <w:p w:rsidR="00D812E8" w:rsidRDefault="00F15AFB" w:rsidP="00F7561B">
      <w:pPr>
        <w:spacing w:after="120" w:line="276" w:lineRule="auto"/>
      </w:pPr>
    </w:p>
    <w:sectPr w:rsidR="00D812E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AFB" w:rsidRDefault="00F15AFB" w:rsidP="00F15AFB">
      <w:r>
        <w:separator/>
      </w:r>
    </w:p>
  </w:endnote>
  <w:endnote w:type="continuationSeparator" w:id="0">
    <w:p w:rsidR="00F15AFB" w:rsidRDefault="00F15AFB" w:rsidP="00F15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FB" w:rsidRDefault="00F15A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FB" w:rsidRDefault="00F15A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FB" w:rsidRDefault="00F15A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AFB" w:rsidRDefault="00F15AFB" w:rsidP="00F15AFB">
      <w:r>
        <w:separator/>
      </w:r>
    </w:p>
  </w:footnote>
  <w:footnote w:type="continuationSeparator" w:id="0">
    <w:p w:rsidR="00F15AFB" w:rsidRDefault="00F15AFB" w:rsidP="00F15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FB" w:rsidRDefault="00F15A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FB" w:rsidRDefault="00F15A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FB" w:rsidRDefault="00F15A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71305"/>
    <w:multiLevelType w:val="hybridMultilevel"/>
    <w:tmpl w:val="C4F6B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D576662"/>
    <w:multiLevelType w:val="hybridMultilevel"/>
    <w:tmpl w:val="4DA640BA"/>
    <w:lvl w:ilvl="0" w:tplc="0C090001">
      <w:start w:val="1"/>
      <w:numFmt w:val="bullet"/>
      <w:lvlText w:val=""/>
      <w:lvlJc w:val="left"/>
      <w:pPr>
        <w:ind w:left="720" w:hanging="360"/>
      </w:pPr>
      <w:rPr>
        <w:rFonts w:ascii="Symbol" w:hAnsi="Symbol" w:hint="default"/>
      </w:rPr>
    </w:lvl>
    <w:lvl w:ilvl="1" w:tplc="A538F426">
      <w:numFmt w:val="bullet"/>
      <w:lvlText w:val="•"/>
      <w:lvlJc w:val="left"/>
      <w:pPr>
        <w:ind w:left="1440" w:hanging="360"/>
      </w:pPr>
      <w:rPr>
        <w:rFonts w:ascii="Franklin Gothic Book" w:eastAsia="Times New Roman" w:hAnsi="Franklin Gothic Book"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F6C2150"/>
    <w:multiLevelType w:val="hybridMultilevel"/>
    <w:tmpl w:val="6914AD1E"/>
    <w:lvl w:ilvl="0" w:tplc="0C090001">
      <w:start w:val="1"/>
      <w:numFmt w:val="bullet"/>
      <w:lvlText w:val=""/>
      <w:lvlJc w:val="left"/>
      <w:pPr>
        <w:ind w:left="720" w:hanging="360"/>
      </w:pPr>
      <w:rPr>
        <w:rFonts w:ascii="Symbol" w:hAnsi="Symbol" w:hint="default"/>
      </w:rPr>
    </w:lvl>
    <w:lvl w:ilvl="1" w:tplc="FB42C89E">
      <w:numFmt w:val="bullet"/>
      <w:lvlText w:val="•"/>
      <w:lvlJc w:val="left"/>
      <w:pPr>
        <w:ind w:left="1440" w:hanging="360"/>
      </w:pPr>
      <w:rPr>
        <w:rFonts w:ascii="Franklin Gothic Book" w:eastAsia="Times New Roman" w:hAnsi="Franklin Gothic Book"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DA6"/>
    <w:rsid w:val="00034413"/>
    <w:rsid w:val="00192951"/>
    <w:rsid w:val="002B1D75"/>
    <w:rsid w:val="002D1FD7"/>
    <w:rsid w:val="003C13B0"/>
    <w:rsid w:val="005C1B88"/>
    <w:rsid w:val="005D2D03"/>
    <w:rsid w:val="006950B3"/>
    <w:rsid w:val="00C556E9"/>
    <w:rsid w:val="00D80DA6"/>
    <w:rsid w:val="00D872D0"/>
    <w:rsid w:val="00EC691F"/>
    <w:rsid w:val="00F15AFB"/>
    <w:rsid w:val="00F7561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0DA6"/>
    <w:pPr>
      <w:spacing w:after="0" w:line="240" w:lineRule="auto"/>
    </w:pPr>
    <w:rPr>
      <w:rFonts w:ascii="Times New Roman" w:eastAsia="SimSun" w:hAnsi="Times New Roman" w:cs="Times New Roman"/>
      <w:sz w:val="20"/>
      <w:szCs w:val="24"/>
      <w:lang w:eastAsia="en-AU"/>
    </w:rPr>
  </w:style>
  <w:style w:type="paragraph" w:styleId="Heading2">
    <w:name w:val="heading 2"/>
    <w:basedOn w:val="Normal"/>
    <w:next w:val="BodyText"/>
    <w:link w:val="Heading2Char"/>
    <w:qFormat/>
    <w:rsid w:val="00D80DA6"/>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D80DA6"/>
    <w:pPr>
      <w:keepNext w:val="0"/>
      <w:numPr>
        <w:ilvl w:val="2"/>
      </w:numPr>
      <w:spacing w:before="240"/>
      <w:outlineLvl w:val="2"/>
    </w:pPr>
    <w:rPr>
      <w:b/>
      <w:color w:val="124486"/>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0DA6"/>
    <w:rPr>
      <w:rFonts w:ascii="Helvetica" w:eastAsia="Times New Roman" w:hAnsi="Helvetica" w:cs="Arial"/>
      <w:color w:val="007FAD"/>
      <w:kern w:val="28"/>
      <w:sz w:val="24"/>
      <w:szCs w:val="28"/>
      <w:lang w:eastAsia="en-AU"/>
    </w:rPr>
  </w:style>
  <w:style w:type="character" w:customStyle="1" w:styleId="Heading3Char">
    <w:name w:val="Heading 3 Char"/>
    <w:basedOn w:val="DefaultParagraphFont"/>
    <w:link w:val="Heading3"/>
    <w:rsid w:val="00D80DA6"/>
    <w:rPr>
      <w:rFonts w:ascii="Helvetica" w:eastAsia="Times New Roman" w:hAnsi="Helvetica" w:cs="Arial"/>
      <w:b/>
      <w:color w:val="124486"/>
      <w:kern w:val="28"/>
      <w:lang w:eastAsia="zh-CN"/>
    </w:rPr>
  </w:style>
  <w:style w:type="paragraph" w:styleId="BodyText">
    <w:name w:val="Body Text"/>
    <w:basedOn w:val="Normal"/>
    <w:link w:val="BodyTextChar"/>
    <w:qFormat/>
    <w:rsid w:val="00D80DA6"/>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D80DA6"/>
    <w:rPr>
      <w:rFonts w:ascii="Franklin Gothic Book" w:eastAsia="Times New Roman" w:hAnsi="Franklin Gothic Book" w:cs="Times New Roman"/>
      <w:sz w:val="21"/>
      <w:szCs w:val="24"/>
      <w:lang w:eastAsia="en-AU"/>
    </w:rPr>
  </w:style>
  <w:style w:type="paragraph" w:styleId="Caption">
    <w:name w:val="caption"/>
    <w:basedOn w:val="Normal"/>
    <w:next w:val="BodyText"/>
    <w:link w:val="CaptionChar"/>
    <w:autoRedefine/>
    <w:uiPriority w:val="99"/>
    <w:qFormat/>
    <w:rsid w:val="00D80DA6"/>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D80DA6"/>
    <w:pPr>
      <w:keepNext/>
      <w:spacing w:before="20" w:after="20" w:line="180" w:lineRule="atLeast"/>
      <w:jc w:val="both"/>
    </w:pPr>
    <w:rPr>
      <w:iCs w:val="0"/>
      <w:sz w:val="14"/>
      <w:szCs w:val="14"/>
      <w:lang w:eastAsia="en-AU"/>
    </w:rPr>
  </w:style>
  <w:style w:type="paragraph" w:customStyle="1" w:styleId="TableTextEntries">
    <w:name w:val="Table Text Entries"/>
    <w:rsid w:val="00D80DA6"/>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D80DA6"/>
    <w:rPr>
      <w:rFonts w:ascii="Franklin Gothic Book" w:eastAsia="Times New Roman" w:hAnsi="Franklin Gothic Book" w:cs="Times New Roman"/>
      <w:sz w:val="14"/>
      <w:szCs w:val="14"/>
      <w:lang w:eastAsia="en-AU"/>
    </w:rPr>
  </w:style>
  <w:style w:type="paragraph" w:styleId="ListBullet">
    <w:name w:val="List Bullet"/>
    <w:basedOn w:val="BodyText"/>
    <w:qFormat/>
    <w:rsid w:val="00D80DA6"/>
    <w:pPr>
      <w:numPr>
        <w:numId w:val="1"/>
      </w:numPr>
      <w:tabs>
        <w:tab w:val="left" w:pos="284"/>
      </w:tabs>
      <w:spacing w:after="120"/>
    </w:pPr>
  </w:style>
  <w:style w:type="paragraph" w:customStyle="1" w:styleId="TableHeading1">
    <w:name w:val="Table Heading 1"/>
    <w:basedOn w:val="TableTextEntries"/>
    <w:next w:val="TableTextEntries"/>
    <w:rsid w:val="00D80DA6"/>
    <w:pPr>
      <w:spacing w:before="80" w:after="80"/>
    </w:pPr>
    <w:rPr>
      <w:b/>
    </w:rPr>
  </w:style>
  <w:style w:type="character" w:customStyle="1" w:styleId="CaptionChar">
    <w:name w:val="Caption Char"/>
    <w:link w:val="Caption"/>
    <w:uiPriority w:val="99"/>
    <w:locked/>
    <w:rsid w:val="00D80DA6"/>
    <w:rPr>
      <w:rFonts w:ascii="Franklin Gothic Book" w:eastAsia="Times New Roman" w:hAnsi="Franklin Gothic Book" w:cs="Arial"/>
      <w:sz w:val="20"/>
      <w:szCs w:val="19"/>
      <w:lang w:eastAsia="en-AU"/>
    </w:rPr>
  </w:style>
  <w:style w:type="table" w:customStyle="1" w:styleId="APPR">
    <w:name w:val="APPR"/>
    <w:basedOn w:val="TableNormal"/>
    <w:uiPriority w:val="99"/>
    <w:rsid w:val="00D80DA6"/>
    <w:pPr>
      <w:spacing w:after="0" w:line="240" w:lineRule="auto"/>
    </w:pPr>
    <w:rPr>
      <w:rFonts w:ascii="Franklin Gothic Book" w:hAnsi="Franklin Gothic Book"/>
      <w:sz w:val="17"/>
      <w:lang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34"/>
    <w:qFormat/>
    <w:rsid w:val="002B1D75"/>
    <w:pPr>
      <w:ind w:left="720"/>
      <w:contextualSpacing/>
    </w:pPr>
  </w:style>
  <w:style w:type="paragraph" w:styleId="Header">
    <w:name w:val="header"/>
    <w:basedOn w:val="Normal"/>
    <w:link w:val="HeaderChar"/>
    <w:uiPriority w:val="99"/>
    <w:unhideWhenUsed/>
    <w:rsid w:val="00F15AFB"/>
    <w:pPr>
      <w:tabs>
        <w:tab w:val="center" w:pos="4513"/>
        <w:tab w:val="right" w:pos="9026"/>
      </w:tabs>
    </w:pPr>
  </w:style>
  <w:style w:type="character" w:customStyle="1" w:styleId="HeaderChar">
    <w:name w:val="Header Char"/>
    <w:basedOn w:val="DefaultParagraphFont"/>
    <w:link w:val="Header"/>
    <w:uiPriority w:val="99"/>
    <w:rsid w:val="00F15AFB"/>
    <w:rPr>
      <w:rFonts w:ascii="Times New Roman" w:eastAsia="SimSun" w:hAnsi="Times New Roman" w:cs="Times New Roman"/>
      <w:sz w:val="20"/>
      <w:szCs w:val="24"/>
      <w:lang w:eastAsia="en-AU"/>
    </w:rPr>
  </w:style>
  <w:style w:type="paragraph" w:styleId="Footer">
    <w:name w:val="footer"/>
    <w:basedOn w:val="Normal"/>
    <w:link w:val="FooterChar"/>
    <w:uiPriority w:val="99"/>
    <w:unhideWhenUsed/>
    <w:rsid w:val="00F15AFB"/>
    <w:pPr>
      <w:tabs>
        <w:tab w:val="center" w:pos="4513"/>
        <w:tab w:val="right" w:pos="9026"/>
      </w:tabs>
    </w:pPr>
  </w:style>
  <w:style w:type="character" w:customStyle="1" w:styleId="FooterChar">
    <w:name w:val="Footer Char"/>
    <w:basedOn w:val="DefaultParagraphFont"/>
    <w:link w:val="Footer"/>
    <w:uiPriority w:val="99"/>
    <w:rsid w:val="00F15AFB"/>
    <w:rPr>
      <w:rFonts w:ascii="Times New Roman" w:eastAsia="SimSun" w:hAnsi="Times New Roman" w:cs="Times New Roman"/>
      <w:sz w:val="20"/>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0DA6"/>
    <w:pPr>
      <w:spacing w:after="0" w:line="240" w:lineRule="auto"/>
    </w:pPr>
    <w:rPr>
      <w:rFonts w:ascii="Times New Roman" w:eastAsia="SimSun" w:hAnsi="Times New Roman" w:cs="Times New Roman"/>
      <w:sz w:val="20"/>
      <w:szCs w:val="24"/>
      <w:lang w:eastAsia="en-AU"/>
    </w:rPr>
  </w:style>
  <w:style w:type="paragraph" w:styleId="Heading2">
    <w:name w:val="heading 2"/>
    <w:basedOn w:val="Normal"/>
    <w:next w:val="BodyText"/>
    <w:link w:val="Heading2Char"/>
    <w:qFormat/>
    <w:rsid w:val="00D80DA6"/>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D80DA6"/>
    <w:pPr>
      <w:keepNext w:val="0"/>
      <w:numPr>
        <w:ilvl w:val="2"/>
      </w:numPr>
      <w:spacing w:before="240"/>
      <w:outlineLvl w:val="2"/>
    </w:pPr>
    <w:rPr>
      <w:b/>
      <w:color w:val="124486"/>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0DA6"/>
    <w:rPr>
      <w:rFonts w:ascii="Helvetica" w:eastAsia="Times New Roman" w:hAnsi="Helvetica" w:cs="Arial"/>
      <w:color w:val="007FAD"/>
      <w:kern w:val="28"/>
      <w:sz w:val="24"/>
      <w:szCs w:val="28"/>
      <w:lang w:eastAsia="en-AU"/>
    </w:rPr>
  </w:style>
  <w:style w:type="character" w:customStyle="1" w:styleId="Heading3Char">
    <w:name w:val="Heading 3 Char"/>
    <w:basedOn w:val="DefaultParagraphFont"/>
    <w:link w:val="Heading3"/>
    <w:rsid w:val="00D80DA6"/>
    <w:rPr>
      <w:rFonts w:ascii="Helvetica" w:eastAsia="Times New Roman" w:hAnsi="Helvetica" w:cs="Arial"/>
      <w:b/>
      <w:color w:val="124486"/>
      <w:kern w:val="28"/>
      <w:lang w:eastAsia="zh-CN"/>
    </w:rPr>
  </w:style>
  <w:style w:type="paragraph" w:styleId="BodyText">
    <w:name w:val="Body Text"/>
    <w:basedOn w:val="Normal"/>
    <w:link w:val="BodyTextChar"/>
    <w:qFormat/>
    <w:rsid w:val="00D80DA6"/>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D80DA6"/>
    <w:rPr>
      <w:rFonts w:ascii="Franklin Gothic Book" w:eastAsia="Times New Roman" w:hAnsi="Franklin Gothic Book" w:cs="Times New Roman"/>
      <w:sz w:val="21"/>
      <w:szCs w:val="24"/>
      <w:lang w:eastAsia="en-AU"/>
    </w:rPr>
  </w:style>
  <w:style w:type="paragraph" w:styleId="Caption">
    <w:name w:val="caption"/>
    <w:basedOn w:val="Normal"/>
    <w:next w:val="BodyText"/>
    <w:link w:val="CaptionChar"/>
    <w:autoRedefine/>
    <w:uiPriority w:val="99"/>
    <w:qFormat/>
    <w:rsid w:val="00D80DA6"/>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D80DA6"/>
    <w:pPr>
      <w:keepNext/>
      <w:spacing w:before="20" w:after="20" w:line="180" w:lineRule="atLeast"/>
      <w:jc w:val="both"/>
    </w:pPr>
    <w:rPr>
      <w:iCs w:val="0"/>
      <w:sz w:val="14"/>
      <w:szCs w:val="14"/>
      <w:lang w:eastAsia="en-AU"/>
    </w:rPr>
  </w:style>
  <w:style w:type="paragraph" w:customStyle="1" w:styleId="TableTextEntries">
    <w:name w:val="Table Text Entries"/>
    <w:rsid w:val="00D80DA6"/>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D80DA6"/>
    <w:rPr>
      <w:rFonts w:ascii="Franklin Gothic Book" w:eastAsia="Times New Roman" w:hAnsi="Franklin Gothic Book" w:cs="Times New Roman"/>
      <w:sz w:val="14"/>
      <w:szCs w:val="14"/>
      <w:lang w:eastAsia="en-AU"/>
    </w:rPr>
  </w:style>
  <w:style w:type="paragraph" w:styleId="ListBullet">
    <w:name w:val="List Bullet"/>
    <w:basedOn w:val="BodyText"/>
    <w:qFormat/>
    <w:rsid w:val="00D80DA6"/>
    <w:pPr>
      <w:numPr>
        <w:numId w:val="1"/>
      </w:numPr>
      <w:tabs>
        <w:tab w:val="left" w:pos="284"/>
      </w:tabs>
      <w:spacing w:after="120"/>
    </w:pPr>
  </w:style>
  <w:style w:type="paragraph" w:customStyle="1" w:styleId="TableHeading1">
    <w:name w:val="Table Heading 1"/>
    <w:basedOn w:val="TableTextEntries"/>
    <w:next w:val="TableTextEntries"/>
    <w:rsid w:val="00D80DA6"/>
    <w:pPr>
      <w:spacing w:before="80" w:after="80"/>
    </w:pPr>
    <w:rPr>
      <w:b/>
    </w:rPr>
  </w:style>
  <w:style w:type="character" w:customStyle="1" w:styleId="CaptionChar">
    <w:name w:val="Caption Char"/>
    <w:link w:val="Caption"/>
    <w:uiPriority w:val="99"/>
    <w:locked/>
    <w:rsid w:val="00D80DA6"/>
    <w:rPr>
      <w:rFonts w:ascii="Franklin Gothic Book" w:eastAsia="Times New Roman" w:hAnsi="Franklin Gothic Book" w:cs="Arial"/>
      <w:sz w:val="20"/>
      <w:szCs w:val="19"/>
      <w:lang w:eastAsia="en-AU"/>
    </w:rPr>
  </w:style>
  <w:style w:type="table" w:customStyle="1" w:styleId="APPR">
    <w:name w:val="APPR"/>
    <w:basedOn w:val="TableNormal"/>
    <w:uiPriority w:val="99"/>
    <w:rsid w:val="00D80DA6"/>
    <w:pPr>
      <w:spacing w:after="0" w:line="240" w:lineRule="auto"/>
    </w:pPr>
    <w:rPr>
      <w:rFonts w:ascii="Franklin Gothic Book" w:hAnsi="Franklin Gothic Book"/>
      <w:sz w:val="17"/>
      <w:lang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34"/>
    <w:qFormat/>
    <w:rsid w:val="002B1D75"/>
    <w:pPr>
      <w:ind w:left="720"/>
      <w:contextualSpacing/>
    </w:pPr>
  </w:style>
  <w:style w:type="paragraph" w:styleId="Header">
    <w:name w:val="header"/>
    <w:basedOn w:val="Normal"/>
    <w:link w:val="HeaderChar"/>
    <w:uiPriority w:val="99"/>
    <w:unhideWhenUsed/>
    <w:rsid w:val="00F15AFB"/>
    <w:pPr>
      <w:tabs>
        <w:tab w:val="center" w:pos="4513"/>
        <w:tab w:val="right" w:pos="9026"/>
      </w:tabs>
    </w:pPr>
  </w:style>
  <w:style w:type="character" w:customStyle="1" w:styleId="HeaderChar">
    <w:name w:val="Header Char"/>
    <w:basedOn w:val="DefaultParagraphFont"/>
    <w:link w:val="Header"/>
    <w:uiPriority w:val="99"/>
    <w:rsid w:val="00F15AFB"/>
    <w:rPr>
      <w:rFonts w:ascii="Times New Roman" w:eastAsia="SimSun" w:hAnsi="Times New Roman" w:cs="Times New Roman"/>
      <w:sz w:val="20"/>
      <w:szCs w:val="24"/>
      <w:lang w:eastAsia="en-AU"/>
    </w:rPr>
  </w:style>
  <w:style w:type="paragraph" w:styleId="Footer">
    <w:name w:val="footer"/>
    <w:basedOn w:val="Normal"/>
    <w:link w:val="FooterChar"/>
    <w:uiPriority w:val="99"/>
    <w:unhideWhenUsed/>
    <w:rsid w:val="00F15AFB"/>
    <w:pPr>
      <w:tabs>
        <w:tab w:val="center" w:pos="4513"/>
        <w:tab w:val="right" w:pos="9026"/>
      </w:tabs>
    </w:pPr>
  </w:style>
  <w:style w:type="character" w:customStyle="1" w:styleId="FooterChar">
    <w:name w:val="Footer Char"/>
    <w:basedOn w:val="DefaultParagraphFont"/>
    <w:link w:val="Footer"/>
    <w:uiPriority w:val="99"/>
    <w:rsid w:val="00F15AFB"/>
    <w:rPr>
      <w:rFonts w:ascii="Times New Roman" w:eastAsia="SimSun" w:hAnsi="Times New Roman"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64B5C6-A40F-42C9-B909-20BC646ABC91}"/>
</file>

<file path=customXml/itemProps2.xml><?xml version="1.0" encoding="utf-8"?>
<ds:datastoreItem xmlns:ds="http://schemas.openxmlformats.org/officeDocument/2006/customXml" ds:itemID="{73606ECA-2AF6-44EB-93DE-6E7BE6A695C4}"/>
</file>

<file path=customXml/itemProps3.xml><?xml version="1.0" encoding="utf-8"?>
<ds:datastoreItem xmlns:ds="http://schemas.openxmlformats.org/officeDocument/2006/customXml" ds:itemID="{8E4AB956-4497-4AC5-B35A-C0674C3A714F}"/>
</file>

<file path=docProps/app.xml><?xml version="1.0" encoding="utf-8"?>
<Properties xmlns="http://schemas.openxmlformats.org/officeDocument/2006/extended-properties" xmlns:vt="http://schemas.openxmlformats.org/officeDocument/2006/docPropsVTypes">
  <Template>3B53549F</Template>
  <TotalTime>0</TotalTime>
  <Pages>2</Pages>
  <Words>839</Words>
  <Characters>4788</Characters>
  <Application>Microsoft Office Word</Application>
  <DocSecurity>0</DocSecurity>
  <Lines>39</Lines>
  <Paragraphs>11</Paragraphs>
  <ScaleCrop>false</ScaleCrop>
  <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2014-10-29T00:11:00Z</dcterms:created>
  <dcterms:modified xsi:type="dcterms:W3CDTF">2014-10-29T00:11:00Z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908900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