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C519" w14:textId="48AF8DFA" w:rsidR="0050529F" w:rsidRPr="006222EA" w:rsidRDefault="00FB079A" w:rsidP="00180B19">
      <w:pPr>
        <w:pStyle w:val="Title"/>
      </w:pPr>
      <w:r w:rsidRPr="00CA6DB6">
        <w:t>Aid Program Performance Report 2012</w:t>
      </w:r>
      <w:r w:rsidRPr="00052BF3">
        <w:t>−</w:t>
      </w:r>
      <w:r w:rsidRPr="00CA6DB6">
        <w:t xml:space="preserve">13 </w:t>
      </w:r>
      <w:r>
        <w:t>Pacific Regional</w:t>
      </w:r>
    </w:p>
    <w:p w14:paraId="420DC51B" w14:textId="77777777" w:rsidR="00180B19" w:rsidRPr="006222EA" w:rsidRDefault="00180B19" w:rsidP="00180B19">
      <w:pPr>
        <w:pStyle w:val="Heading1"/>
      </w:pPr>
      <w:r w:rsidRPr="006222EA">
        <w:t xml:space="preserve">Key </w:t>
      </w:r>
      <w:r w:rsidR="00F61C30">
        <w:t>m</w:t>
      </w:r>
      <w:r w:rsidRPr="006222EA">
        <w:t>essages</w:t>
      </w:r>
    </w:p>
    <w:p w14:paraId="420DC51C" w14:textId="693CC928" w:rsidR="008F4C57" w:rsidRPr="006222EA" w:rsidRDefault="008F4C57" w:rsidP="008F4C57">
      <w:pPr>
        <w:pStyle w:val="BodyText"/>
        <w:rPr>
          <w:szCs w:val="22"/>
        </w:rPr>
      </w:pPr>
      <w:r w:rsidRPr="008C71C1">
        <w:rPr>
          <w:b/>
          <w:bCs/>
          <w:szCs w:val="22"/>
          <w:lang w:val="en"/>
        </w:rPr>
        <w:t xml:space="preserve">The goal of the Pacific regional program is to help people in Pacific </w:t>
      </w:r>
      <w:r w:rsidR="004F4023">
        <w:rPr>
          <w:b/>
          <w:bCs/>
          <w:szCs w:val="22"/>
          <w:lang w:val="en"/>
        </w:rPr>
        <w:t>i</w:t>
      </w:r>
      <w:r w:rsidRPr="008C71C1">
        <w:rPr>
          <w:b/>
          <w:bCs/>
          <w:szCs w:val="22"/>
          <w:lang w:val="en"/>
        </w:rPr>
        <w:t xml:space="preserve">sland </w:t>
      </w:r>
      <w:r w:rsidR="004F4023">
        <w:rPr>
          <w:b/>
          <w:bCs/>
          <w:szCs w:val="22"/>
          <w:lang w:val="en"/>
        </w:rPr>
        <w:t>c</w:t>
      </w:r>
      <w:r w:rsidRPr="008C71C1">
        <w:rPr>
          <w:b/>
          <w:bCs/>
          <w:szCs w:val="22"/>
          <w:lang w:val="en"/>
        </w:rPr>
        <w:t xml:space="preserve">ountries (PICs) </w:t>
      </w:r>
      <w:r w:rsidR="00AC4C20" w:rsidRPr="008C71C1">
        <w:rPr>
          <w:b/>
          <w:bCs/>
          <w:szCs w:val="22"/>
          <w:lang w:val="en"/>
        </w:rPr>
        <w:t xml:space="preserve">to </w:t>
      </w:r>
      <w:r w:rsidRPr="008C71C1">
        <w:rPr>
          <w:b/>
          <w:bCs/>
          <w:szCs w:val="22"/>
          <w:lang w:val="en"/>
        </w:rPr>
        <w:t>overcome poverty by working at the regional level where regional solutions make sense</w:t>
      </w:r>
      <w:r w:rsidRPr="006222EA">
        <w:rPr>
          <w:bCs/>
          <w:szCs w:val="22"/>
          <w:lang w:val="en"/>
        </w:rPr>
        <w:t xml:space="preserve">. </w:t>
      </w:r>
      <w:r w:rsidR="00E56694">
        <w:rPr>
          <w:szCs w:val="22"/>
        </w:rPr>
        <w:t>Australia’s P</w:t>
      </w:r>
      <w:r w:rsidR="008C71C1" w:rsidRPr="008C71C1">
        <w:rPr>
          <w:szCs w:val="22"/>
        </w:rPr>
        <w:t>acific regional aid program is in transition.</w:t>
      </w:r>
      <w:r w:rsidR="008C71C1" w:rsidRPr="006222EA">
        <w:t xml:space="preserve"> </w:t>
      </w:r>
      <w:r w:rsidR="005C5D12">
        <w:t xml:space="preserve">This </w:t>
      </w:r>
      <w:r w:rsidR="00E8307C">
        <w:rPr>
          <w:szCs w:val="22"/>
        </w:rPr>
        <w:t>Aid</w:t>
      </w:r>
      <w:r w:rsidRPr="006222EA">
        <w:rPr>
          <w:szCs w:val="22"/>
        </w:rPr>
        <w:t xml:space="preserve"> Program Performance Report (APPR) </w:t>
      </w:r>
      <w:r w:rsidRPr="006222EA">
        <w:t>summarises the program’s progress in delivering results over the 18 month</w:t>
      </w:r>
      <w:r w:rsidR="008C7874">
        <w:t>s</w:t>
      </w:r>
      <w:r w:rsidRPr="006222EA">
        <w:t xml:space="preserve"> of January 2012 to June 2013. </w:t>
      </w:r>
      <w:r w:rsidR="00A477C1">
        <w:t>An updated regional strategy will be finalised by DFAT</w:t>
      </w:r>
      <w:r w:rsidR="008C7874">
        <w:rPr>
          <w:rStyle w:val="FootnoteReference"/>
        </w:rPr>
        <w:footnoteReference w:id="1"/>
      </w:r>
      <w:r w:rsidRPr="006222EA">
        <w:rPr>
          <w:szCs w:val="22"/>
        </w:rPr>
        <w:t xml:space="preserve"> </w:t>
      </w:r>
      <w:r w:rsidR="00A477C1">
        <w:rPr>
          <w:szCs w:val="22"/>
        </w:rPr>
        <w:t xml:space="preserve">in the </w:t>
      </w:r>
      <w:r w:rsidR="0016758C">
        <w:rPr>
          <w:szCs w:val="22"/>
        </w:rPr>
        <w:t>coming year</w:t>
      </w:r>
      <w:r w:rsidRPr="006222EA">
        <w:rPr>
          <w:szCs w:val="22"/>
        </w:rPr>
        <w:t>.</w:t>
      </w:r>
    </w:p>
    <w:p w14:paraId="420DC51D" w14:textId="366168D4" w:rsidR="008F4C57" w:rsidRPr="006222EA" w:rsidRDefault="008F4C57" w:rsidP="008F4C57">
      <w:pPr>
        <w:pStyle w:val="BodyText"/>
        <w:rPr>
          <w:b/>
          <w:szCs w:val="22"/>
        </w:rPr>
      </w:pPr>
      <w:r w:rsidRPr="0016758C">
        <w:rPr>
          <w:b/>
          <w:szCs w:val="22"/>
        </w:rPr>
        <w:t>Th</w:t>
      </w:r>
      <w:r w:rsidR="00365E8F" w:rsidRPr="0016758C">
        <w:rPr>
          <w:b/>
          <w:szCs w:val="22"/>
        </w:rPr>
        <w:t xml:space="preserve">is </w:t>
      </w:r>
      <w:r w:rsidR="005C5D12">
        <w:rPr>
          <w:b/>
          <w:szCs w:val="22"/>
        </w:rPr>
        <w:t>APPR</w:t>
      </w:r>
      <w:r w:rsidR="00365E8F" w:rsidRPr="0016758C">
        <w:rPr>
          <w:b/>
          <w:szCs w:val="22"/>
        </w:rPr>
        <w:t xml:space="preserve"> assesses the</w:t>
      </w:r>
      <w:r w:rsidRPr="0016758C">
        <w:rPr>
          <w:b/>
          <w:szCs w:val="22"/>
        </w:rPr>
        <w:t xml:space="preserve"> Pacific regional program </w:t>
      </w:r>
      <w:r w:rsidRPr="0016758C">
        <w:rPr>
          <w:b/>
          <w:iCs/>
          <w:szCs w:val="22"/>
        </w:rPr>
        <w:t xml:space="preserve">against </w:t>
      </w:r>
      <w:r w:rsidRPr="0016758C">
        <w:rPr>
          <w:b/>
          <w:szCs w:val="22"/>
        </w:rPr>
        <w:t>the objectives of individual initiatives</w:t>
      </w:r>
      <w:r w:rsidR="00365E8F" w:rsidRPr="0016758C">
        <w:rPr>
          <w:b/>
          <w:szCs w:val="22"/>
        </w:rPr>
        <w:t xml:space="preserve"> and results</w:t>
      </w:r>
      <w:r w:rsidRPr="0016758C">
        <w:rPr>
          <w:b/>
          <w:szCs w:val="22"/>
        </w:rPr>
        <w:t>, which have been aggregated to assess progress in each sector</w:t>
      </w:r>
      <w:r w:rsidR="008C7874" w:rsidRPr="0016758C">
        <w:rPr>
          <w:b/>
          <w:szCs w:val="22"/>
        </w:rPr>
        <w:t>.</w:t>
      </w:r>
      <w:r w:rsidRPr="0016758C">
        <w:rPr>
          <w:rStyle w:val="FootnoteReference"/>
          <w:b/>
        </w:rPr>
        <w:footnoteReference w:id="2"/>
      </w:r>
      <w:r w:rsidRPr="006222EA">
        <w:rPr>
          <w:szCs w:val="22"/>
        </w:rPr>
        <w:t xml:space="preserve"> On this basis</w:t>
      </w:r>
      <w:r>
        <w:rPr>
          <w:szCs w:val="22"/>
        </w:rPr>
        <w:t>,</w:t>
      </w:r>
      <w:r w:rsidRPr="006222EA">
        <w:rPr>
          <w:szCs w:val="22"/>
        </w:rPr>
        <w:t xml:space="preserve"> the regional program has achieved a number of positive results across a range of sectors; made steady progress to improve areas of underperformance; and generally ensured a better focus on measurable outcomes.</w:t>
      </w:r>
      <w:r w:rsidRPr="006222EA">
        <w:rPr>
          <w:iCs/>
          <w:szCs w:val="22"/>
        </w:rPr>
        <w:t xml:space="preserve"> The </w:t>
      </w:r>
      <w:r w:rsidR="0016758C">
        <w:rPr>
          <w:iCs/>
          <w:szCs w:val="22"/>
        </w:rPr>
        <w:t xml:space="preserve">new </w:t>
      </w:r>
      <w:r w:rsidR="008C7874">
        <w:rPr>
          <w:iCs/>
          <w:szCs w:val="22"/>
        </w:rPr>
        <w:t>regional</w:t>
      </w:r>
      <w:r w:rsidRPr="006222EA">
        <w:rPr>
          <w:iCs/>
          <w:szCs w:val="22"/>
        </w:rPr>
        <w:t xml:space="preserve"> strategy will provide a comprehensive basis against which to report and evaluate performance in 2013</w:t>
      </w:r>
      <w:r w:rsidR="00A30CE4">
        <w:rPr>
          <w:iCs/>
          <w:szCs w:val="22"/>
        </w:rPr>
        <w:t>–</w:t>
      </w:r>
      <w:r w:rsidRPr="006222EA">
        <w:rPr>
          <w:iCs/>
          <w:szCs w:val="22"/>
        </w:rPr>
        <w:t>14.</w:t>
      </w:r>
      <w:r w:rsidRPr="006222EA">
        <w:rPr>
          <w:rStyle w:val="FootnoteReference"/>
          <w:iCs/>
        </w:rPr>
        <w:footnoteReference w:id="3"/>
      </w:r>
    </w:p>
    <w:p w14:paraId="420DC51E" w14:textId="46785E13" w:rsidR="008F4C57" w:rsidRPr="006222EA" w:rsidRDefault="008F4C57" w:rsidP="008F4C57">
      <w:pPr>
        <w:pStyle w:val="BodyText"/>
        <w:rPr>
          <w:szCs w:val="22"/>
        </w:rPr>
      </w:pPr>
      <w:r w:rsidRPr="006222EA">
        <w:rPr>
          <w:b/>
          <w:szCs w:val="22"/>
        </w:rPr>
        <w:t>Pacific regionalism is contested</w:t>
      </w:r>
      <w:r w:rsidR="008C71C1">
        <w:rPr>
          <w:b/>
          <w:szCs w:val="22"/>
        </w:rPr>
        <w:t xml:space="preserve"> and continues to evolve</w:t>
      </w:r>
      <w:r w:rsidRPr="006222EA">
        <w:rPr>
          <w:b/>
          <w:szCs w:val="22"/>
        </w:rPr>
        <w:t xml:space="preserve">. </w:t>
      </w:r>
      <w:proofErr w:type="gramStart"/>
      <w:r w:rsidRPr="006222EA">
        <w:rPr>
          <w:szCs w:val="22"/>
        </w:rPr>
        <w:t>The independent review of the Pacific Plan</w:t>
      </w:r>
      <w:r w:rsidRPr="006222EA">
        <w:rPr>
          <w:rStyle w:val="FootnoteReference"/>
        </w:rPr>
        <w:footnoteReference w:id="4"/>
      </w:r>
      <w:r w:rsidR="00F95B9A">
        <w:rPr>
          <w:szCs w:val="22"/>
        </w:rPr>
        <w:t xml:space="preserve">, which will be </w:t>
      </w:r>
      <w:r w:rsidR="00F95B9A" w:rsidRPr="006222EA">
        <w:rPr>
          <w:szCs w:val="22"/>
        </w:rPr>
        <w:t>presented to leaders at the Pacific Islands Forum</w:t>
      </w:r>
      <w:r w:rsidR="00F95B9A">
        <w:rPr>
          <w:szCs w:val="22"/>
        </w:rPr>
        <w:t xml:space="preserve"> </w:t>
      </w:r>
      <w:r w:rsidR="00F95B9A" w:rsidRPr="006222EA">
        <w:rPr>
          <w:szCs w:val="22"/>
        </w:rPr>
        <w:t>Leaders Meeting in September 2013</w:t>
      </w:r>
      <w:r w:rsidR="00F95B9A">
        <w:rPr>
          <w:szCs w:val="22"/>
        </w:rPr>
        <w:t xml:space="preserve">, </w:t>
      </w:r>
      <w:r w:rsidRPr="006222EA">
        <w:rPr>
          <w:szCs w:val="22"/>
        </w:rPr>
        <w:t>has sparked renewed deliberation on Pacific regionalism.</w:t>
      </w:r>
      <w:proofErr w:type="gramEnd"/>
      <w:r w:rsidRPr="006222EA">
        <w:rPr>
          <w:szCs w:val="22"/>
        </w:rPr>
        <w:t xml:space="preserve"> </w:t>
      </w:r>
      <w:r w:rsidR="002B7604">
        <w:rPr>
          <w:szCs w:val="22"/>
        </w:rPr>
        <w:t>The review</w:t>
      </w:r>
      <w:r w:rsidRPr="006222EA">
        <w:rPr>
          <w:szCs w:val="22"/>
        </w:rPr>
        <w:t xml:space="preserve"> identified increasing vulnerability</w:t>
      </w:r>
      <w:r w:rsidR="00FB5DB7">
        <w:rPr>
          <w:szCs w:val="22"/>
        </w:rPr>
        <w:t xml:space="preserve"> in the region</w:t>
      </w:r>
      <w:r w:rsidRPr="006222EA">
        <w:rPr>
          <w:szCs w:val="22"/>
        </w:rPr>
        <w:t xml:space="preserve"> from emerging environment</w:t>
      </w:r>
      <w:r>
        <w:rPr>
          <w:szCs w:val="22"/>
        </w:rPr>
        <w:t>al</w:t>
      </w:r>
      <w:r w:rsidRPr="006222EA">
        <w:rPr>
          <w:szCs w:val="22"/>
        </w:rPr>
        <w:t xml:space="preserve">, geopolitical, social and economic challenges. </w:t>
      </w:r>
      <w:r w:rsidR="00EC6CA7">
        <w:rPr>
          <w:szCs w:val="22"/>
        </w:rPr>
        <w:t>DFAT’s</w:t>
      </w:r>
      <w:r w:rsidR="00F95B9A" w:rsidRPr="006222EA">
        <w:rPr>
          <w:szCs w:val="22"/>
        </w:rPr>
        <w:t xml:space="preserve"> </w:t>
      </w:r>
      <w:r w:rsidRPr="006222EA">
        <w:rPr>
          <w:szCs w:val="22"/>
        </w:rPr>
        <w:t>new</w:t>
      </w:r>
      <w:r w:rsidR="00F95B9A">
        <w:rPr>
          <w:szCs w:val="22"/>
        </w:rPr>
        <w:t xml:space="preserve"> regional</w:t>
      </w:r>
      <w:r w:rsidRPr="006222EA">
        <w:rPr>
          <w:szCs w:val="22"/>
        </w:rPr>
        <w:t xml:space="preserve"> strategy will take account of the </w:t>
      </w:r>
      <w:r w:rsidR="002B7604">
        <w:rPr>
          <w:szCs w:val="22"/>
        </w:rPr>
        <w:t xml:space="preserve">review’s </w:t>
      </w:r>
      <w:r w:rsidRPr="006222EA">
        <w:rPr>
          <w:szCs w:val="22"/>
        </w:rPr>
        <w:t xml:space="preserve">findings. </w:t>
      </w:r>
    </w:p>
    <w:p w14:paraId="420DC51F" w14:textId="77777777" w:rsidR="008F4C57" w:rsidRPr="006222EA" w:rsidRDefault="008F4C57" w:rsidP="008F4C57">
      <w:pPr>
        <w:pStyle w:val="PACdotpoints"/>
        <w:numPr>
          <w:ilvl w:val="0"/>
          <w:numId w:val="0"/>
        </w:numPr>
        <w:spacing w:line="240" w:lineRule="auto"/>
        <w:contextualSpacing w:val="0"/>
        <w:rPr>
          <w:rFonts w:ascii="Times New Roman" w:hAnsi="Times New Roman" w:cs="Times New Roman"/>
          <w:szCs w:val="22"/>
        </w:rPr>
      </w:pPr>
      <w:r w:rsidRPr="006222EA">
        <w:rPr>
          <w:rFonts w:ascii="Times New Roman" w:hAnsi="Times New Roman" w:cs="Times New Roman"/>
          <w:b/>
        </w:rPr>
        <w:t xml:space="preserve">The </w:t>
      </w:r>
      <w:r w:rsidR="00365E8F">
        <w:rPr>
          <w:rFonts w:ascii="Times New Roman" w:hAnsi="Times New Roman" w:cs="Times New Roman"/>
          <w:b/>
        </w:rPr>
        <w:t xml:space="preserve">regional </w:t>
      </w:r>
      <w:r w:rsidRPr="006222EA">
        <w:rPr>
          <w:rFonts w:ascii="Times New Roman" w:hAnsi="Times New Roman" w:cs="Times New Roman"/>
          <w:b/>
        </w:rPr>
        <w:t>program is based on partnerships</w:t>
      </w:r>
      <w:r w:rsidR="0016758C">
        <w:rPr>
          <w:rFonts w:ascii="Times New Roman" w:hAnsi="Times New Roman" w:cs="Times New Roman"/>
        </w:rPr>
        <w:t>, including</w:t>
      </w:r>
      <w:r w:rsidRPr="006222EA">
        <w:rPr>
          <w:rFonts w:ascii="Times New Roman" w:hAnsi="Times New Roman" w:cs="Times New Roman"/>
        </w:rPr>
        <w:t xml:space="preserve"> with Pacific regional organisations </w:t>
      </w:r>
      <w:r w:rsidR="00AC4C20">
        <w:rPr>
          <w:rFonts w:ascii="Times New Roman" w:hAnsi="Times New Roman" w:cs="Times New Roman"/>
        </w:rPr>
        <w:t xml:space="preserve">(PROs) </w:t>
      </w:r>
      <w:r w:rsidRPr="006222EA">
        <w:rPr>
          <w:rFonts w:ascii="Times New Roman" w:hAnsi="Times New Roman" w:cs="Times New Roman"/>
        </w:rPr>
        <w:t xml:space="preserve">and multilateral </w:t>
      </w:r>
      <w:r w:rsidR="00F95B9A">
        <w:rPr>
          <w:rFonts w:ascii="Times New Roman" w:hAnsi="Times New Roman" w:cs="Times New Roman"/>
        </w:rPr>
        <w:t>organisations</w:t>
      </w:r>
      <w:r w:rsidRPr="006222EA">
        <w:rPr>
          <w:rFonts w:ascii="Times New Roman" w:hAnsi="Times New Roman" w:cs="Times New Roman"/>
        </w:rPr>
        <w:t xml:space="preserve">. Strengthened policy </w:t>
      </w:r>
      <w:r w:rsidR="00365E8F">
        <w:rPr>
          <w:rFonts w:ascii="Times New Roman" w:hAnsi="Times New Roman" w:cs="Times New Roman"/>
        </w:rPr>
        <w:t>discussion</w:t>
      </w:r>
      <w:r w:rsidR="00365E8F" w:rsidRPr="006222EA">
        <w:rPr>
          <w:rFonts w:ascii="Times New Roman" w:hAnsi="Times New Roman" w:cs="Times New Roman"/>
        </w:rPr>
        <w:t xml:space="preserve"> </w:t>
      </w:r>
      <w:r w:rsidRPr="006222EA">
        <w:rPr>
          <w:rFonts w:ascii="Times New Roman" w:hAnsi="Times New Roman" w:cs="Times New Roman"/>
        </w:rPr>
        <w:t>with P</w:t>
      </w:r>
      <w:r w:rsidR="00F95B9A">
        <w:rPr>
          <w:rFonts w:ascii="Times New Roman" w:hAnsi="Times New Roman" w:cs="Times New Roman"/>
        </w:rPr>
        <w:t>ROs</w:t>
      </w:r>
      <w:r w:rsidR="00AC4C20">
        <w:rPr>
          <w:rFonts w:ascii="Times New Roman" w:hAnsi="Times New Roman" w:cs="Times New Roman"/>
        </w:rPr>
        <w:t xml:space="preserve"> has resulted in</w:t>
      </w:r>
      <w:r w:rsidRPr="006222EA">
        <w:rPr>
          <w:rFonts w:ascii="Times New Roman" w:hAnsi="Times New Roman" w:cs="Times New Roman"/>
        </w:rPr>
        <w:t xml:space="preserve"> improved focus on outcomes. Progress with corporate reform within </w:t>
      </w:r>
      <w:r w:rsidR="00AB7772">
        <w:rPr>
          <w:rFonts w:ascii="Times New Roman" w:hAnsi="Times New Roman" w:cs="Times New Roman"/>
        </w:rPr>
        <w:t>PROs</w:t>
      </w:r>
      <w:r w:rsidRPr="006222EA">
        <w:rPr>
          <w:rFonts w:ascii="Times New Roman" w:hAnsi="Times New Roman" w:cs="Times New Roman"/>
        </w:rPr>
        <w:t xml:space="preserve"> has been strong and this needs to be followed by sustained progress on monitoring and evaluation.</w:t>
      </w:r>
      <w:r w:rsidRPr="006222EA">
        <w:rPr>
          <w:rFonts w:ascii="Times New Roman" w:hAnsi="Times New Roman" w:cs="Times New Roman"/>
          <w:szCs w:val="22"/>
        </w:rPr>
        <w:t xml:space="preserve"> Maintaining close coordination with key multilateral </w:t>
      </w:r>
      <w:r w:rsidR="00AB7772">
        <w:rPr>
          <w:rFonts w:ascii="Times New Roman" w:hAnsi="Times New Roman" w:cs="Times New Roman"/>
          <w:szCs w:val="22"/>
        </w:rPr>
        <w:t>organisations</w:t>
      </w:r>
      <w:r w:rsidR="00C81AB9">
        <w:rPr>
          <w:rFonts w:ascii="Times New Roman" w:hAnsi="Times New Roman" w:cs="Times New Roman"/>
          <w:szCs w:val="22"/>
        </w:rPr>
        <w:t>,</w:t>
      </w:r>
      <w:r w:rsidR="00AB7772" w:rsidRPr="006222EA">
        <w:rPr>
          <w:rFonts w:ascii="Times New Roman" w:hAnsi="Times New Roman" w:cs="Times New Roman"/>
          <w:szCs w:val="22"/>
        </w:rPr>
        <w:t xml:space="preserve"> </w:t>
      </w:r>
      <w:r w:rsidRPr="006222EA">
        <w:rPr>
          <w:rFonts w:ascii="Times New Roman" w:hAnsi="Times New Roman" w:cs="Times New Roman"/>
          <w:szCs w:val="22"/>
        </w:rPr>
        <w:t>including the Asian Development Bank</w:t>
      </w:r>
      <w:r w:rsidR="00C81AB9">
        <w:rPr>
          <w:rFonts w:ascii="Times New Roman" w:hAnsi="Times New Roman" w:cs="Times New Roman"/>
          <w:szCs w:val="22"/>
        </w:rPr>
        <w:t xml:space="preserve"> (ADB)</w:t>
      </w:r>
      <w:r w:rsidR="008C71C1">
        <w:rPr>
          <w:rFonts w:ascii="Times New Roman" w:hAnsi="Times New Roman" w:cs="Times New Roman"/>
          <w:szCs w:val="22"/>
        </w:rPr>
        <w:t xml:space="preserve">, </w:t>
      </w:r>
      <w:r w:rsidR="00C81AB9">
        <w:rPr>
          <w:rFonts w:ascii="Times New Roman" w:hAnsi="Times New Roman" w:cs="Times New Roman"/>
          <w:szCs w:val="22"/>
        </w:rPr>
        <w:t xml:space="preserve">World Bank and </w:t>
      </w:r>
      <w:r w:rsidR="008C71C1">
        <w:rPr>
          <w:rFonts w:ascii="Times New Roman" w:hAnsi="Times New Roman" w:cs="Times New Roman"/>
          <w:szCs w:val="22"/>
        </w:rPr>
        <w:t>U</w:t>
      </w:r>
      <w:r w:rsidR="00C81AB9">
        <w:rPr>
          <w:rFonts w:ascii="Times New Roman" w:hAnsi="Times New Roman" w:cs="Times New Roman"/>
          <w:szCs w:val="22"/>
        </w:rPr>
        <w:t>nited Nations (U</w:t>
      </w:r>
      <w:r w:rsidR="008C71C1">
        <w:rPr>
          <w:rFonts w:ascii="Times New Roman" w:hAnsi="Times New Roman" w:cs="Times New Roman"/>
          <w:szCs w:val="22"/>
        </w:rPr>
        <w:t>N</w:t>
      </w:r>
      <w:r w:rsidR="00C81AB9">
        <w:rPr>
          <w:rFonts w:ascii="Times New Roman" w:hAnsi="Times New Roman" w:cs="Times New Roman"/>
          <w:szCs w:val="22"/>
        </w:rPr>
        <w:t>)</w:t>
      </w:r>
      <w:r w:rsidR="008C71C1">
        <w:rPr>
          <w:rFonts w:ascii="Times New Roman" w:hAnsi="Times New Roman" w:cs="Times New Roman"/>
          <w:szCs w:val="22"/>
        </w:rPr>
        <w:t xml:space="preserve"> agencies</w:t>
      </w:r>
      <w:r w:rsidR="00C81AB9">
        <w:rPr>
          <w:rFonts w:ascii="Times New Roman" w:hAnsi="Times New Roman" w:cs="Times New Roman"/>
          <w:szCs w:val="22"/>
        </w:rPr>
        <w:t>,</w:t>
      </w:r>
      <w:r w:rsidRPr="006222EA">
        <w:rPr>
          <w:rFonts w:ascii="Times New Roman" w:hAnsi="Times New Roman" w:cs="Times New Roman"/>
          <w:szCs w:val="22"/>
        </w:rPr>
        <w:t xml:space="preserve"> and with key donor partners such as New Zealand</w:t>
      </w:r>
      <w:r w:rsidR="002B7604">
        <w:rPr>
          <w:rFonts w:ascii="Times New Roman" w:hAnsi="Times New Roman" w:cs="Times New Roman"/>
          <w:szCs w:val="22"/>
        </w:rPr>
        <w:t>,</w:t>
      </w:r>
      <w:r w:rsidRPr="006222EA">
        <w:rPr>
          <w:rFonts w:ascii="Times New Roman" w:hAnsi="Times New Roman" w:cs="Times New Roman"/>
          <w:szCs w:val="22"/>
        </w:rPr>
        <w:t xml:space="preserve"> will </w:t>
      </w:r>
      <w:r w:rsidR="002B7604">
        <w:rPr>
          <w:rFonts w:ascii="Times New Roman" w:hAnsi="Times New Roman" w:cs="Times New Roman"/>
          <w:szCs w:val="22"/>
        </w:rPr>
        <w:t>continue to be</w:t>
      </w:r>
      <w:r w:rsidR="002B7604" w:rsidRPr="006222EA">
        <w:rPr>
          <w:rFonts w:ascii="Times New Roman" w:hAnsi="Times New Roman" w:cs="Times New Roman"/>
          <w:szCs w:val="22"/>
        </w:rPr>
        <w:t xml:space="preserve"> </w:t>
      </w:r>
      <w:r w:rsidR="005E6668">
        <w:rPr>
          <w:rFonts w:ascii="Times New Roman" w:hAnsi="Times New Roman" w:cs="Times New Roman"/>
          <w:szCs w:val="22"/>
        </w:rPr>
        <w:t>important</w:t>
      </w:r>
      <w:r w:rsidRPr="006222EA">
        <w:rPr>
          <w:rFonts w:ascii="Times New Roman" w:hAnsi="Times New Roman" w:cs="Times New Roman"/>
          <w:szCs w:val="22"/>
        </w:rPr>
        <w:t xml:space="preserve"> as </w:t>
      </w:r>
      <w:r w:rsidR="00C81AB9">
        <w:rPr>
          <w:rFonts w:ascii="Times New Roman" w:hAnsi="Times New Roman" w:cs="Times New Roman"/>
          <w:szCs w:val="22"/>
        </w:rPr>
        <w:t>Australia</w:t>
      </w:r>
      <w:r w:rsidR="00C81AB9" w:rsidRPr="006222EA">
        <w:rPr>
          <w:rFonts w:ascii="Times New Roman" w:hAnsi="Times New Roman" w:cs="Times New Roman"/>
          <w:szCs w:val="22"/>
        </w:rPr>
        <w:t xml:space="preserve"> </w:t>
      </w:r>
      <w:r w:rsidRPr="006222EA">
        <w:rPr>
          <w:rFonts w:ascii="Times New Roman" w:hAnsi="Times New Roman" w:cs="Times New Roman"/>
          <w:szCs w:val="22"/>
        </w:rPr>
        <w:t>seek</w:t>
      </w:r>
      <w:r w:rsidR="00C81AB9">
        <w:rPr>
          <w:rFonts w:ascii="Times New Roman" w:hAnsi="Times New Roman" w:cs="Times New Roman"/>
          <w:szCs w:val="22"/>
        </w:rPr>
        <w:t>s</w:t>
      </w:r>
      <w:r w:rsidRPr="006222EA">
        <w:rPr>
          <w:rFonts w:ascii="Times New Roman" w:hAnsi="Times New Roman" w:cs="Times New Roman"/>
          <w:szCs w:val="22"/>
        </w:rPr>
        <w:t xml:space="preserve"> to improve the efficiency, effectiveness and coherence of </w:t>
      </w:r>
      <w:r w:rsidR="00C81AB9">
        <w:rPr>
          <w:rFonts w:ascii="Times New Roman" w:hAnsi="Times New Roman" w:cs="Times New Roman"/>
          <w:szCs w:val="22"/>
        </w:rPr>
        <w:t>its</w:t>
      </w:r>
      <w:r w:rsidR="00C81AB9" w:rsidRPr="006222EA">
        <w:rPr>
          <w:rFonts w:ascii="Times New Roman" w:hAnsi="Times New Roman" w:cs="Times New Roman"/>
          <w:szCs w:val="22"/>
        </w:rPr>
        <w:t xml:space="preserve"> </w:t>
      </w:r>
      <w:r w:rsidRPr="006222EA">
        <w:rPr>
          <w:rFonts w:ascii="Times New Roman" w:hAnsi="Times New Roman" w:cs="Times New Roman"/>
          <w:szCs w:val="22"/>
        </w:rPr>
        <w:t>investments</w:t>
      </w:r>
      <w:r w:rsidR="00946CF0">
        <w:rPr>
          <w:rFonts w:ascii="Times New Roman" w:hAnsi="Times New Roman" w:cs="Times New Roman"/>
          <w:szCs w:val="22"/>
        </w:rPr>
        <w:t xml:space="preserve">. </w:t>
      </w:r>
    </w:p>
    <w:p w14:paraId="420DC520" w14:textId="55FD3978" w:rsidR="008F4C57" w:rsidRPr="006222EA" w:rsidRDefault="008F4C57" w:rsidP="008F4C57">
      <w:pPr>
        <w:pStyle w:val="BodyText"/>
        <w:rPr>
          <w:szCs w:val="22"/>
        </w:rPr>
      </w:pPr>
      <w:r w:rsidRPr="006222EA">
        <w:rPr>
          <w:b/>
          <w:szCs w:val="22"/>
        </w:rPr>
        <w:t>Management of the regional program is complex.</w:t>
      </w:r>
      <w:r w:rsidRPr="006222EA">
        <w:rPr>
          <w:szCs w:val="22"/>
        </w:rPr>
        <w:t xml:space="preserve"> The key components of the Pacific regional program are managed by</w:t>
      </w:r>
      <w:r w:rsidR="00C81AB9">
        <w:rPr>
          <w:szCs w:val="22"/>
        </w:rPr>
        <w:t xml:space="preserve"> </w:t>
      </w:r>
      <w:r w:rsidR="00EC6CA7">
        <w:rPr>
          <w:szCs w:val="22"/>
        </w:rPr>
        <w:t>the</w:t>
      </w:r>
      <w:r w:rsidR="00A477C1">
        <w:rPr>
          <w:szCs w:val="22"/>
        </w:rPr>
        <w:t xml:space="preserve"> department’s</w:t>
      </w:r>
      <w:r w:rsidR="00A477C1" w:rsidRPr="006222EA">
        <w:rPr>
          <w:szCs w:val="22"/>
        </w:rPr>
        <w:t xml:space="preserve"> </w:t>
      </w:r>
      <w:r w:rsidR="00A477C1">
        <w:rPr>
          <w:szCs w:val="22"/>
        </w:rPr>
        <w:t xml:space="preserve">Pacific Regional Branch in Canberra and by </w:t>
      </w:r>
      <w:r w:rsidRPr="006222EA">
        <w:rPr>
          <w:szCs w:val="22"/>
        </w:rPr>
        <w:t>Suva Post. As of March 2013, 93 individual initiatives</w:t>
      </w:r>
      <w:r w:rsidR="00C81AB9">
        <w:rPr>
          <w:szCs w:val="22"/>
        </w:rPr>
        <w:t xml:space="preserve"> were active</w:t>
      </w:r>
      <w:r w:rsidRPr="006222EA">
        <w:rPr>
          <w:szCs w:val="22"/>
        </w:rPr>
        <w:t>, compared to 90 in March 2012. The</w:t>
      </w:r>
      <w:r w:rsidR="00000F04">
        <w:rPr>
          <w:szCs w:val="22"/>
        </w:rPr>
        <w:t xml:space="preserve"> </w:t>
      </w:r>
      <w:r w:rsidRPr="006222EA">
        <w:rPr>
          <w:szCs w:val="22"/>
        </w:rPr>
        <w:t xml:space="preserve">need for </w:t>
      </w:r>
      <w:r w:rsidR="009C4DCB">
        <w:rPr>
          <w:szCs w:val="22"/>
        </w:rPr>
        <w:t>further</w:t>
      </w:r>
      <w:r w:rsidRPr="006222EA">
        <w:rPr>
          <w:szCs w:val="22"/>
        </w:rPr>
        <w:t xml:space="preserve"> prioritisation and consolidation of initiatives in many </w:t>
      </w:r>
      <w:r w:rsidRPr="006222EA">
        <w:rPr>
          <w:szCs w:val="22"/>
        </w:rPr>
        <w:lastRenderedPageBreak/>
        <w:t>program areas</w:t>
      </w:r>
      <w:r w:rsidR="00C81AB9">
        <w:rPr>
          <w:szCs w:val="22"/>
        </w:rPr>
        <w:t xml:space="preserve"> is great. This includes</w:t>
      </w:r>
      <w:r w:rsidR="002B7604">
        <w:rPr>
          <w:szCs w:val="22"/>
        </w:rPr>
        <w:t xml:space="preserve"> in the areas of</w:t>
      </w:r>
      <w:r w:rsidRPr="006222EA">
        <w:rPr>
          <w:szCs w:val="22"/>
        </w:rPr>
        <w:t xml:space="preserve"> governance and climate change, where</w:t>
      </w:r>
      <w:r w:rsidR="00AC4C20">
        <w:rPr>
          <w:szCs w:val="22"/>
        </w:rPr>
        <w:t xml:space="preserve"> managing</w:t>
      </w:r>
      <w:r w:rsidRPr="006222EA">
        <w:rPr>
          <w:szCs w:val="22"/>
        </w:rPr>
        <w:t xml:space="preserve"> a number of small initiatives is not efficient. </w:t>
      </w:r>
      <w:r w:rsidR="00C81AB9">
        <w:rPr>
          <w:szCs w:val="22"/>
        </w:rPr>
        <w:t>W</w:t>
      </w:r>
      <w:r w:rsidR="008C71C1">
        <w:rPr>
          <w:szCs w:val="22"/>
        </w:rPr>
        <w:t xml:space="preserve">ork </w:t>
      </w:r>
      <w:r w:rsidR="00C81AB9">
        <w:rPr>
          <w:szCs w:val="22"/>
        </w:rPr>
        <w:t xml:space="preserve">is underway on </w:t>
      </w:r>
      <w:r w:rsidR="00000F04">
        <w:rPr>
          <w:szCs w:val="22"/>
        </w:rPr>
        <w:t xml:space="preserve">these </w:t>
      </w:r>
      <w:r w:rsidR="002B7604">
        <w:rPr>
          <w:szCs w:val="22"/>
        </w:rPr>
        <w:t>challenges</w:t>
      </w:r>
      <w:r w:rsidR="008C71C1">
        <w:rPr>
          <w:szCs w:val="22"/>
        </w:rPr>
        <w:t>.</w:t>
      </w:r>
    </w:p>
    <w:p w14:paraId="420DC521" w14:textId="26D9735A" w:rsidR="008F4C57" w:rsidRPr="000C2E71" w:rsidRDefault="008F4C57" w:rsidP="008F4C57">
      <w:pPr>
        <w:pStyle w:val="Default"/>
        <w:spacing w:after="120"/>
        <w:rPr>
          <w:rFonts w:ascii="Times New Roman" w:hAnsi="Times New Roman" w:cs="Times New Roman"/>
          <w:sz w:val="22"/>
          <w:szCs w:val="22"/>
        </w:rPr>
      </w:pPr>
      <w:r>
        <w:rPr>
          <w:rFonts w:ascii="Times New Roman" w:hAnsi="Times New Roman" w:cs="Times New Roman"/>
          <w:b/>
          <w:sz w:val="22"/>
          <w:szCs w:val="22"/>
        </w:rPr>
        <w:t>The Pacific regional program also c</w:t>
      </w:r>
      <w:r w:rsidR="00AC4C20">
        <w:rPr>
          <w:rFonts w:ascii="Times New Roman" w:hAnsi="Times New Roman" w:cs="Times New Roman"/>
          <w:b/>
          <w:sz w:val="22"/>
          <w:szCs w:val="22"/>
        </w:rPr>
        <w:t>arries responsibility</w:t>
      </w:r>
      <w:r>
        <w:rPr>
          <w:rFonts w:ascii="Times New Roman" w:hAnsi="Times New Roman" w:cs="Times New Roman"/>
          <w:b/>
          <w:sz w:val="22"/>
          <w:szCs w:val="22"/>
        </w:rPr>
        <w:t xml:space="preserve"> for crosscutting themes including gender equality, disability inclusive development and climate change. </w:t>
      </w:r>
      <w:r w:rsidRPr="000C2E71">
        <w:rPr>
          <w:rFonts w:ascii="Times New Roman" w:hAnsi="Times New Roman" w:cs="Times New Roman"/>
          <w:sz w:val="22"/>
          <w:szCs w:val="22"/>
        </w:rPr>
        <w:t xml:space="preserve">This </w:t>
      </w:r>
      <w:r>
        <w:rPr>
          <w:rFonts w:ascii="Times New Roman" w:hAnsi="Times New Roman" w:cs="Times New Roman"/>
          <w:sz w:val="22"/>
          <w:szCs w:val="22"/>
        </w:rPr>
        <w:t>includes support for</w:t>
      </w:r>
      <w:r w:rsidRPr="000C2E71">
        <w:rPr>
          <w:rFonts w:ascii="Times New Roman" w:hAnsi="Times New Roman" w:cs="Times New Roman"/>
          <w:sz w:val="22"/>
          <w:szCs w:val="22"/>
        </w:rPr>
        <w:t xml:space="preserve"> </w:t>
      </w:r>
      <w:r w:rsidR="00073F18">
        <w:rPr>
          <w:rFonts w:ascii="Times New Roman" w:hAnsi="Times New Roman" w:cs="Times New Roman"/>
          <w:sz w:val="22"/>
          <w:szCs w:val="22"/>
        </w:rPr>
        <w:t xml:space="preserve">developing </w:t>
      </w:r>
      <w:r w:rsidRPr="000C2E71">
        <w:rPr>
          <w:rFonts w:ascii="Times New Roman" w:hAnsi="Times New Roman" w:cs="Times New Roman"/>
          <w:sz w:val="22"/>
          <w:szCs w:val="22"/>
        </w:rPr>
        <w:t xml:space="preserve">policy and strategy, </w:t>
      </w:r>
      <w:r w:rsidR="00073F18">
        <w:rPr>
          <w:rFonts w:ascii="Times New Roman" w:hAnsi="Times New Roman" w:cs="Times New Roman"/>
          <w:sz w:val="22"/>
          <w:szCs w:val="22"/>
        </w:rPr>
        <w:t xml:space="preserve">managing </w:t>
      </w:r>
      <w:r w:rsidRPr="000C2E71">
        <w:rPr>
          <w:rFonts w:ascii="Times New Roman" w:hAnsi="Times New Roman" w:cs="Times New Roman"/>
          <w:sz w:val="22"/>
          <w:szCs w:val="22"/>
        </w:rPr>
        <w:t>program</w:t>
      </w:r>
      <w:r w:rsidR="00073F18">
        <w:rPr>
          <w:rFonts w:ascii="Times New Roman" w:hAnsi="Times New Roman" w:cs="Times New Roman"/>
          <w:sz w:val="22"/>
          <w:szCs w:val="22"/>
        </w:rPr>
        <w:t>s</w:t>
      </w:r>
      <w:r w:rsidRPr="000C2E71">
        <w:rPr>
          <w:rFonts w:ascii="Times New Roman" w:hAnsi="Times New Roman" w:cs="Times New Roman"/>
          <w:sz w:val="22"/>
          <w:szCs w:val="22"/>
        </w:rPr>
        <w:t xml:space="preserve"> and </w:t>
      </w:r>
      <w:r>
        <w:rPr>
          <w:rFonts w:ascii="Times New Roman" w:hAnsi="Times New Roman" w:cs="Times New Roman"/>
          <w:sz w:val="22"/>
          <w:szCs w:val="22"/>
        </w:rPr>
        <w:t>advi</w:t>
      </w:r>
      <w:r w:rsidR="00073F18">
        <w:rPr>
          <w:rFonts w:ascii="Times New Roman" w:hAnsi="Times New Roman" w:cs="Times New Roman"/>
          <w:sz w:val="22"/>
          <w:szCs w:val="22"/>
        </w:rPr>
        <w:t>sing</w:t>
      </w:r>
      <w:r>
        <w:rPr>
          <w:rFonts w:ascii="Times New Roman" w:hAnsi="Times New Roman" w:cs="Times New Roman"/>
          <w:sz w:val="22"/>
          <w:szCs w:val="22"/>
        </w:rPr>
        <w:t xml:space="preserve"> bilateral programs </w:t>
      </w:r>
      <w:r w:rsidRPr="000C2E71">
        <w:rPr>
          <w:rFonts w:ascii="Times New Roman" w:hAnsi="Times New Roman" w:cs="Times New Roman"/>
          <w:sz w:val="22"/>
          <w:szCs w:val="22"/>
        </w:rPr>
        <w:t xml:space="preserve">across the </w:t>
      </w:r>
      <w:r>
        <w:rPr>
          <w:rFonts w:ascii="Times New Roman" w:hAnsi="Times New Roman" w:cs="Times New Roman"/>
          <w:sz w:val="22"/>
          <w:szCs w:val="22"/>
        </w:rPr>
        <w:t xml:space="preserve">Pacific </w:t>
      </w:r>
      <w:r w:rsidR="00073F18">
        <w:rPr>
          <w:rFonts w:ascii="Times New Roman" w:hAnsi="Times New Roman" w:cs="Times New Roman"/>
          <w:sz w:val="22"/>
          <w:szCs w:val="22"/>
        </w:rPr>
        <w:t>D</w:t>
      </w:r>
      <w:r>
        <w:rPr>
          <w:rFonts w:ascii="Times New Roman" w:hAnsi="Times New Roman" w:cs="Times New Roman"/>
          <w:sz w:val="22"/>
          <w:szCs w:val="22"/>
        </w:rPr>
        <w:t xml:space="preserve">ivision. </w:t>
      </w:r>
    </w:p>
    <w:p w14:paraId="420DC522" w14:textId="161AEF4F" w:rsidR="008F4C57" w:rsidRPr="006222EA" w:rsidRDefault="008F4C57" w:rsidP="008F4C57">
      <w:pPr>
        <w:pStyle w:val="Default"/>
        <w:spacing w:after="120"/>
        <w:rPr>
          <w:rFonts w:ascii="Times New Roman" w:hAnsi="Times New Roman" w:cs="Times New Roman"/>
        </w:rPr>
      </w:pPr>
      <w:r w:rsidRPr="006222EA">
        <w:rPr>
          <w:rFonts w:ascii="Times New Roman" w:hAnsi="Times New Roman" w:cs="Times New Roman"/>
          <w:b/>
          <w:sz w:val="22"/>
          <w:szCs w:val="22"/>
        </w:rPr>
        <w:t xml:space="preserve">The development of sectoral delivery strategies is </w:t>
      </w:r>
      <w:r w:rsidR="00073F18">
        <w:rPr>
          <w:rFonts w:ascii="Times New Roman" w:hAnsi="Times New Roman" w:cs="Times New Roman"/>
          <w:b/>
          <w:sz w:val="22"/>
          <w:szCs w:val="22"/>
        </w:rPr>
        <w:t>forming</w:t>
      </w:r>
      <w:r w:rsidR="00073F18" w:rsidRPr="006222EA">
        <w:rPr>
          <w:rFonts w:ascii="Times New Roman" w:hAnsi="Times New Roman" w:cs="Times New Roman"/>
          <w:b/>
          <w:sz w:val="22"/>
          <w:szCs w:val="22"/>
        </w:rPr>
        <w:t xml:space="preserve"> </w:t>
      </w:r>
      <w:r w:rsidRPr="006222EA">
        <w:rPr>
          <w:rFonts w:ascii="Times New Roman" w:hAnsi="Times New Roman" w:cs="Times New Roman"/>
          <w:b/>
          <w:sz w:val="22"/>
          <w:szCs w:val="22"/>
        </w:rPr>
        <w:t xml:space="preserve">a useful framework for investment choices and performance </w:t>
      </w:r>
      <w:r w:rsidRPr="00000F04">
        <w:rPr>
          <w:rFonts w:ascii="Times New Roman" w:hAnsi="Times New Roman" w:cs="Times New Roman"/>
          <w:b/>
          <w:sz w:val="22"/>
          <w:szCs w:val="22"/>
        </w:rPr>
        <w:t>management</w:t>
      </w:r>
      <w:r w:rsidRPr="00000F04">
        <w:rPr>
          <w:rFonts w:ascii="Times New Roman" w:hAnsi="Times New Roman" w:cs="Times New Roman"/>
          <w:sz w:val="22"/>
          <w:szCs w:val="22"/>
        </w:rPr>
        <w:t xml:space="preserve">. </w:t>
      </w:r>
      <w:r w:rsidRPr="00035547">
        <w:rPr>
          <w:rFonts w:ascii="Times New Roman" w:hAnsi="Times New Roman" w:cs="Times New Roman"/>
          <w:sz w:val="22"/>
          <w:szCs w:val="22"/>
        </w:rPr>
        <w:t xml:space="preserve">Annex </w:t>
      </w:r>
      <w:proofErr w:type="gramStart"/>
      <w:r w:rsidRPr="00035547">
        <w:rPr>
          <w:rFonts w:ascii="Times New Roman" w:hAnsi="Times New Roman" w:cs="Times New Roman"/>
          <w:sz w:val="22"/>
          <w:szCs w:val="22"/>
        </w:rPr>
        <w:t>A</w:t>
      </w:r>
      <w:proofErr w:type="gramEnd"/>
      <w:r w:rsidRPr="00000F04">
        <w:rPr>
          <w:rFonts w:ascii="Times New Roman" w:hAnsi="Times New Roman" w:cs="Times New Roman"/>
          <w:sz w:val="22"/>
          <w:szCs w:val="22"/>
        </w:rPr>
        <w:t xml:space="preserve"> highlights</w:t>
      </w:r>
      <w:r w:rsidRPr="006222EA">
        <w:rPr>
          <w:rFonts w:ascii="Times New Roman" w:hAnsi="Times New Roman" w:cs="Times New Roman"/>
          <w:sz w:val="22"/>
          <w:szCs w:val="22"/>
        </w:rPr>
        <w:t xml:space="preserve"> progress made in 2012</w:t>
      </w:r>
      <w:r w:rsidR="00A30CE4">
        <w:rPr>
          <w:rFonts w:ascii="Times New Roman" w:hAnsi="Times New Roman" w:cs="Times New Roman"/>
          <w:sz w:val="22"/>
          <w:szCs w:val="22"/>
        </w:rPr>
        <w:t>–</w:t>
      </w:r>
      <w:r w:rsidRPr="006222EA">
        <w:rPr>
          <w:rFonts w:ascii="Times New Roman" w:hAnsi="Times New Roman" w:cs="Times New Roman"/>
          <w:sz w:val="22"/>
          <w:szCs w:val="22"/>
        </w:rPr>
        <w:t xml:space="preserve">13 in addressing the management consequences identified in the </w:t>
      </w:r>
      <w:r w:rsidR="00073F18">
        <w:rPr>
          <w:rFonts w:ascii="Times New Roman" w:hAnsi="Times New Roman" w:cs="Times New Roman"/>
          <w:sz w:val="22"/>
          <w:szCs w:val="22"/>
        </w:rPr>
        <w:t xml:space="preserve">last </w:t>
      </w:r>
      <w:r>
        <w:rPr>
          <w:rFonts w:ascii="Times New Roman" w:hAnsi="Times New Roman" w:cs="Times New Roman"/>
          <w:sz w:val="22"/>
          <w:szCs w:val="22"/>
        </w:rPr>
        <w:t>APPR</w:t>
      </w:r>
      <w:r w:rsidR="00E86FAD">
        <w:rPr>
          <w:rStyle w:val="FootnoteReference"/>
          <w:rFonts w:cs="Times New Roman"/>
        </w:rPr>
        <w:footnoteReference w:id="5"/>
      </w:r>
      <w:r>
        <w:rPr>
          <w:rFonts w:ascii="Times New Roman" w:hAnsi="Times New Roman" w:cs="Times New Roman"/>
          <w:sz w:val="22"/>
          <w:szCs w:val="22"/>
        </w:rPr>
        <w:t xml:space="preserve">, and notes </w:t>
      </w:r>
      <w:r w:rsidR="00073F18">
        <w:rPr>
          <w:rFonts w:ascii="Times New Roman" w:hAnsi="Times New Roman" w:cs="Times New Roman"/>
          <w:sz w:val="22"/>
          <w:szCs w:val="22"/>
        </w:rPr>
        <w:t xml:space="preserve">the </w:t>
      </w:r>
      <w:r>
        <w:rPr>
          <w:rFonts w:ascii="Times New Roman" w:hAnsi="Times New Roman" w:cs="Times New Roman"/>
          <w:sz w:val="22"/>
          <w:szCs w:val="22"/>
        </w:rPr>
        <w:t>work</w:t>
      </w:r>
      <w:r w:rsidRPr="006222EA">
        <w:rPr>
          <w:rFonts w:ascii="Times New Roman" w:hAnsi="Times New Roman" w:cs="Times New Roman"/>
          <w:sz w:val="22"/>
          <w:szCs w:val="22"/>
        </w:rPr>
        <w:t xml:space="preserve"> underway on several key sectoral delivery strategies and new program designs. This is informing future investments within the regional program, including within </w:t>
      </w:r>
      <w:r w:rsidR="005E6668" w:rsidRPr="006222EA">
        <w:rPr>
          <w:rFonts w:ascii="Times New Roman" w:hAnsi="Times New Roman" w:cs="Times New Roman"/>
          <w:sz w:val="22"/>
          <w:szCs w:val="22"/>
        </w:rPr>
        <w:t>climate change</w:t>
      </w:r>
      <w:r w:rsidR="005E6668">
        <w:rPr>
          <w:rFonts w:ascii="Times New Roman" w:hAnsi="Times New Roman" w:cs="Times New Roman"/>
          <w:sz w:val="22"/>
          <w:szCs w:val="22"/>
        </w:rPr>
        <w:t>,</w:t>
      </w:r>
      <w:r w:rsidR="005E6668" w:rsidRPr="005E6668">
        <w:rPr>
          <w:rFonts w:ascii="Times New Roman" w:hAnsi="Times New Roman" w:cs="Times New Roman"/>
          <w:sz w:val="22"/>
          <w:szCs w:val="22"/>
        </w:rPr>
        <w:t xml:space="preserve"> </w:t>
      </w:r>
      <w:r w:rsidR="005E6668" w:rsidRPr="006222EA">
        <w:rPr>
          <w:rFonts w:ascii="Times New Roman" w:hAnsi="Times New Roman" w:cs="Times New Roman"/>
          <w:sz w:val="22"/>
          <w:szCs w:val="22"/>
        </w:rPr>
        <w:t>fisheries</w:t>
      </w:r>
      <w:r w:rsidR="005E6668">
        <w:rPr>
          <w:rFonts w:ascii="Times New Roman" w:hAnsi="Times New Roman" w:cs="Times New Roman"/>
          <w:sz w:val="22"/>
          <w:szCs w:val="22"/>
        </w:rPr>
        <w:t>,</w:t>
      </w:r>
      <w:r w:rsidRPr="006222EA">
        <w:rPr>
          <w:rFonts w:ascii="Times New Roman" w:hAnsi="Times New Roman" w:cs="Times New Roman"/>
          <w:sz w:val="22"/>
          <w:szCs w:val="22"/>
        </w:rPr>
        <w:t xml:space="preserve"> governance,</w:t>
      </w:r>
      <w:r w:rsidR="005E6668" w:rsidRPr="005E6668">
        <w:rPr>
          <w:rFonts w:ascii="Times New Roman" w:hAnsi="Times New Roman" w:cs="Times New Roman"/>
          <w:sz w:val="22"/>
          <w:szCs w:val="22"/>
        </w:rPr>
        <w:t xml:space="preserve"> </w:t>
      </w:r>
      <w:r w:rsidR="005E6668" w:rsidRPr="006222EA">
        <w:rPr>
          <w:rFonts w:ascii="Times New Roman" w:hAnsi="Times New Roman" w:cs="Times New Roman"/>
          <w:sz w:val="22"/>
          <w:szCs w:val="22"/>
        </w:rPr>
        <w:t>health</w:t>
      </w:r>
      <w:r w:rsidRPr="006222EA">
        <w:rPr>
          <w:rFonts w:ascii="Times New Roman" w:hAnsi="Times New Roman" w:cs="Times New Roman"/>
          <w:sz w:val="22"/>
          <w:szCs w:val="22"/>
        </w:rPr>
        <w:t>, and private sector development.</w:t>
      </w:r>
    </w:p>
    <w:p w14:paraId="420DC523" w14:textId="77777777" w:rsidR="008F4C57" w:rsidRPr="006222EA" w:rsidRDefault="008F4C57" w:rsidP="008F4C57">
      <w:pPr>
        <w:pStyle w:val="BodyText"/>
        <w:rPr>
          <w:szCs w:val="22"/>
        </w:rPr>
      </w:pPr>
      <w:r w:rsidRPr="006222EA">
        <w:rPr>
          <w:b/>
          <w:szCs w:val="22"/>
        </w:rPr>
        <w:t>Central to future decisions around investment choices will be identif</w:t>
      </w:r>
      <w:r w:rsidR="00073F18">
        <w:rPr>
          <w:b/>
          <w:szCs w:val="22"/>
        </w:rPr>
        <w:t>ying</w:t>
      </w:r>
      <w:r w:rsidRPr="006222EA">
        <w:rPr>
          <w:b/>
          <w:szCs w:val="22"/>
        </w:rPr>
        <w:t xml:space="preserve"> and deliver</w:t>
      </w:r>
      <w:r w:rsidR="00073F18">
        <w:rPr>
          <w:b/>
          <w:szCs w:val="22"/>
        </w:rPr>
        <w:t>ing</w:t>
      </w:r>
      <w:r w:rsidRPr="006222EA">
        <w:rPr>
          <w:b/>
          <w:szCs w:val="22"/>
        </w:rPr>
        <w:t xml:space="preserve"> regional public goods</w:t>
      </w:r>
      <w:r w:rsidR="00C81AB9">
        <w:rPr>
          <w:b/>
          <w:szCs w:val="22"/>
        </w:rPr>
        <w:t>.</w:t>
      </w:r>
      <w:r w:rsidRPr="006222EA">
        <w:rPr>
          <w:rStyle w:val="FootnoteReference"/>
        </w:rPr>
        <w:footnoteReference w:id="6"/>
      </w:r>
      <w:r w:rsidR="00946CF0">
        <w:rPr>
          <w:szCs w:val="22"/>
        </w:rPr>
        <w:t xml:space="preserve"> </w:t>
      </w:r>
      <w:r w:rsidRPr="006222EA">
        <w:rPr>
          <w:szCs w:val="22"/>
        </w:rPr>
        <w:t>Early analytical work on the regional program indicated</w:t>
      </w:r>
      <w:r w:rsidR="002B7604">
        <w:rPr>
          <w:szCs w:val="22"/>
        </w:rPr>
        <w:t xml:space="preserve"> that</w:t>
      </w:r>
      <w:r w:rsidRPr="006222EA">
        <w:rPr>
          <w:szCs w:val="22"/>
        </w:rPr>
        <w:t xml:space="preserve"> the</w:t>
      </w:r>
      <w:r w:rsidR="00073F18">
        <w:rPr>
          <w:szCs w:val="22"/>
        </w:rPr>
        <w:t>se</w:t>
      </w:r>
      <w:r w:rsidRPr="006222EA">
        <w:rPr>
          <w:szCs w:val="22"/>
        </w:rPr>
        <w:t xml:space="preserve"> strategic objectives </w:t>
      </w:r>
      <w:r w:rsidR="00073F18">
        <w:rPr>
          <w:szCs w:val="22"/>
        </w:rPr>
        <w:t>will</w:t>
      </w:r>
      <w:r w:rsidR="00073F18" w:rsidRPr="006222EA">
        <w:rPr>
          <w:szCs w:val="22"/>
        </w:rPr>
        <w:t xml:space="preserve"> </w:t>
      </w:r>
      <w:r w:rsidRPr="006222EA">
        <w:rPr>
          <w:szCs w:val="22"/>
        </w:rPr>
        <w:t xml:space="preserve">likely underpin </w:t>
      </w:r>
      <w:r w:rsidR="00073F18">
        <w:rPr>
          <w:szCs w:val="22"/>
        </w:rPr>
        <w:t>program</w:t>
      </w:r>
      <w:r w:rsidR="00073F18" w:rsidRPr="006222EA">
        <w:rPr>
          <w:szCs w:val="22"/>
        </w:rPr>
        <w:t xml:space="preserve"> </w:t>
      </w:r>
      <w:r w:rsidRPr="006222EA">
        <w:rPr>
          <w:szCs w:val="22"/>
        </w:rPr>
        <w:t>prioritisation:</w:t>
      </w:r>
    </w:p>
    <w:p w14:paraId="420DC524" w14:textId="77777777" w:rsidR="008F4C57" w:rsidRPr="006222EA" w:rsidRDefault="00A30CE4" w:rsidP="00CF6793">
      <w:pPr>
        <w:pStyle w:val="ListBullet"/>
      </w:pPr>
      <w:r>
        <w:t>s</w:t>
      </w:r>
      <w:r w:rsidR="008F4C57" w:rsidRPr="006222EA">
        <w:t>trengthen the performance of regional architecture</w:t>
      </w:r>
    </w:p>
    <w:p w14:paraId="420DC525" w14:textId="77777777" w:rsidR="008F4C57" w:rsidRPr="006222EA" w:rsidRDefault="00A30CE4" w:rsidP="00CF6793">
      <w:pPr>
        <w:pStyle w:val="ListBullet"/>
      </w:pPr>
      <w:r>
        <w:t>m</w:t>
      </w:r>
      <w:r w:rsidR="008F4C57" w:rsidRPr="006222EA">
        <w:t>anage shared natural resources</w:t>
      </w:r>
    </w:p>
    <w:p w14:paraId="420DC526" w14:textId="77777777" w:rsidR="008F4C57" w:rsidRPr="006222EA" w:rsidRDefault="00A30CE4" w:rsidP="00CF6793">
      <w:pPr>
        <w:pStyle w:val="ListBullet"/>
      </w:pPr>
      <w:r>
        <w:t>p</w:t>
      </w:r>
      <w:r w:rsidR="008F4C57" w:rsidRPr="006222EA">
        <w:t>romote economic integration</w:t>
      </w:r>
    </w:p>
    <w:p w14:paraId="420DC527" w14:textId="77777777" w:rsidR="008F4C57" w:rsidRPr="006222EA" w:rsidRDefault="00A30CE4" w:rsidP="00CF6793">
      <w:pPr>
        <w:pStyle w:val="ListBullet"/>
      </w:pPr>
      <w:r>
        <w:t>p</w:t>
      </w:r>
      <w:r w:rsidR="008F4C57" w:rsidRPr="006222EA">
        <w:t>rovide specialised services</w:t>
      </w:r>
    </w:p>
    <w:p w14:paraId="420DC528" w14:textId="77777777" w:rsidR="008F4C57" w:rsidRPr="006222EA" w:rsidRDefault="00A30CE4" w:rsidP="00CF6793">
      <w:pPr>
        <w:pStyle w:val="ListBullet"/>
      </w:pPr>
      <w:proofErr w:type="gramStart"/>
      <w:r>
        <w:t>p</w:t>
      </w:r>
      <w:r w:rsidR="008F4C57" w:rsidRPr="006222EA">
        <w:t>romote</w:t>
      </w:r>
      <w:proofErr w:type="gramEnd"/>
      <w:r w:rsidR="008F4C57" w:rsidRPr="006222EA">
        <w:t xml:space="preserve"> region-wide norms and standards.</w:t>
      </w:r>
    </w:p>
    <w:p w14:paraId="420DC529" w14:textId="77777777" w:rsidR="008F4C57" w:rsidRPr="006222EA" w:rsidRDefault="008F4C57" w:rsidP="008F4C57">
      <w:pPr>
        <w:pStyle w:val="PACdotpoints"/>
        <w:numPr>
          <w:ilvl w:val="0"/>
          <w:numId w:val="0"/>
        </w:numPr>
        <w:spacing w:line="240" w:lineRule="auto"/>
        <w:contextualSpacing w:val="0"/>
        <w:rPr>
          <w:rFonts w:ascii="Times New Roman" w:hAnsi="Times New Roman" w:cs="Times New Roman"/>
          <w:szCs w:val="22"/>
        </w:rPr>
      </w:pPr>
      <w:r w:rsidRPr="006222EA">
        <w:rPr>
          <w:rFonts w:ascii="Times New Roman" w:hAnsi="Times New Roman" w:cs="Times New Roman"/>
          <w:b/>
          <w:szCs w:val="22"/>
        </w:rPr>
        <w:t xml:space="preserve">A key principle in </w:t>
      </w:r>
      <w:r>
        <w:rPr>
          <w:rFonts w:ascii="Times New Roman" w:hAnsi="Times New Roman" w:cs="Times New Roman"/>
          <w:b/>
          <w:szCs w:val="22"/>
        </w:rPr>
        <w:t xml:space="preserve">moving towards </w:t>
      </w:r>
      <w:r w:rsidRPr="006222EA">
        <w:rPr>
          <w:rFonts w:ascii="Times New Roman" w:hAnsi="Times New Roman" w:cs="Times New Roman"/>
          <w:b/>
          <w:szCs w:val="22"/>
        </w:rPr>
        <w:t>more effective delivery of regional public goods through the regional program will be stronger coordination and integration with relevant bilateral programs.</w:t>
      </w:r>
      <w:r w:rsidRPr="006222EA">
        <w:rPr>
          <w:rFonts w:ascii="Times New Roman" w:hAnsi="Times New Roman" w:cs="Times New Roman"/>
          <w:szCs w:val="22"/>
        </w:rPr>
        <w:t xml:space="preserve"> </w:t>
      </w:r>
      <w:r w:rsidR="00073F18">
        <w:rPr>
          <w:rFonts w:ascii="Times New Roman" w:hAnsi="Times New Roman" w:cs="Times New Roman"/>
          <w:szCs w:val="22"/>
        </w:rPr>
        <w:t>Most</w:t>
      </w:r>
      <w:r w:rsidRPr="006222EA">
        <w:rPr>
          <w:rFonts w:ascii="Times New Roman" w:hAnsi="Times New Roman" w:cs="Times New Roman"/>
          <w:szCs w:val="22"/>
        </w:rPr>
        <w:t xml:space="preserve"> large sectoral programs will be delivered by bilateral programs, with the regional prog</w:t>
      </w:r>
      <w:r w:rsidR="008C71C1">
        <w:rPr>
          <w:rFonts w:ascii="Times New Roman" w:hAnsi="Times New Roman" w:cs="Times New Roman"/>
          <w:szCs w:val="22"/>
        </w:rPr>
        <w:t>ram supporting the common regional functions</w:t>
      </w:r>
      <w:r w:rsidRPr="006222EA">
        <w:rPr>
          <w:rFonts w:ascii="Times New Roman" w:hAnsi="Times New Roman" w:cs="Times New Roman"/>
          <w:szCs w:val="22"/>
        </w:rPr>
        <w:t xml:space="preserve"> between PICs. This work has already </w:t>
      </w:r>
      <w:r w:rsidR="00073F18">
        <w:rPr>
          <w:rFonts w:ascii="Times New Roman" w:hAnsi="Times New Roman" w:cs="Times New Roman"/>
          <w:szCs w:val="22"/>
        </w:rPr>
        <w:t>started</w:t>
      </w:r>
      <w:r w:rsidR="00073F18" w:rsidRPr="006222EA">
        <w:rPr>
          <w:rFonts w:ascii="Times New Roman" w:hAnsi="Times New Roman" w:cs="Times New Roman"/>
          <w:szCs w:val="22"/>
        </w:rPr>
        <w:t xml:space="preserve"> </w:t>
      </w:r>
      <w:r w:rsidRPr="006222EA">
        <w:rPr>
          <w:rFonts w:ascii="Times New Roman" w:hAnsi="Times New Roman" w:cs="Times New Roman"/>
          <w:szCs w:val="22"/>
        </w:rPr>
        <w:t xml:space="preserve">in key sectors such as health and education. </w:t>
      </w:r>
    </w:p>
    <w:p w14:paraId="420DC52A" w14:textId="77777777" w:rsidR="00180B19" w:rsidRPr="006222EA" w:rsidRDefault="00180B19" w:rsidP="00180B19">
      <w:pPr>
        <w:pStyle w:val="Heading1"/>
      </w:pPr>
      <w:r w:rsidRPr="006222EA">
        <w:t xml:space="preserve">Context </w:t>
      </w:r>
    </w:p>
    <w:p w14:paraId="420DC52B" w14:textId="77777777" w:rsidR="00742CC3" w:rsidRPr="00CF6793" w:rsidRDefault="00742CC3" w:rsidP="00CF6793">
      <w:pPr>
        <w:pStyle w:val="BodyText"/>
        <w:rPr>
          <w:b/>
          <w:i/>
        </w:rPr>
      </w:pPr>
      <w:r w:rsidRPr="00CF6793">
        <w:rPr>
          <w:b/>
          <w:i/>
        </w:rPr>
        <w:t xml:space="preserve">Poverty and </w:t>
      </w:r>
      <w:r w:rsidR="00A30CE4" w:rsidRPr="00CF6793">
        <w:rPr>
          <w:b/>
          <w:i/>
        </w:rPr>
        <w:t>n</w:t>
      </w:r>
      <w:r w:rsidRPr="00CF6793">
        <w:rPr>
          <w:b/>
          <w:i/>
        </w:rPr>
        <w:t>eed</w:t>
      </w:r>
    </w:p>
    <w:p w14:paraId="420DC52C" w14:textId="7F2AF9F1" w:rsidR="00313480" w:rsidRDefault="00DC71A6" w:rsidP="00CF6793">
      <w:pPr>
        <w:pStyle w:val="BodyText"/>
        <w:rPr>
          <w:lang w:val="en"/>
        </w:rPr>
      </w:pPr>
      <w:r>
        <w:t>In the Pacific, an</w:t>
      </w:r>
      <w:r w:rsidR="00C9090E" w:rsidRPr="006222EA">
        <w:t xml:space="preserve"> estimated </w:t>
      </w:r>
      <w:r w:rsidR="00C9090E" w:rsidRPr="006222EA">
        <w:rPr>
          <w:lang w:val="en"/>
        </w:rPr>
        <w:t>2.6 million people (nearly one</w:t>
      </w:r>
      <w:r>
        <w:rPr>
          <w:lang w:val="en"/>
        </w:rPr>
        <w:t>-</w:t>
      </w:r>
      <w:r w:rsidR="00C9090E" w:rsidRPr="006222EA">
        <w:rPr>
          <w:lang w:val="en"/>
        </w:rPr>
        <w:t>third of the region’s population) live in some degree of poverty, without sufficient income or resources to meet basic human needs</w:t>
      </w:r>
      <w:r w:rsidR="00CF6793">
        <w:rPr>
          <w:lang w:val="en"/>
        </w:rPr>
        <w:t>.</w:t>
      </w:r>
      <w:r w:rsidR="00C9090E" w:rsidRPr="00CF6793">
        <w:rPr>
          <w:rStyle w:val="FootnoteReference"/>
        </w:rPr>
        <w:footnoteReference w:id="7"/>
      </w:r>
      <w:r w:rsidR="00C9090E" w:rsidRPr="006222EA">
        <w:rPr>
          <w:lang w:val="en"/>
        </w:rPr>
        <w:t xml:space="preserve"> Around 400</w:t>
      </w:r>
      <w:r w:rsidR="00E76CDC">
        <w:rPr>
          <w:lang w:val="en"/>
        </w:rPr>
        <w:t>,</w:t>
      </w:r>
      <w:r w:rsidR="00C9090E" w:rsidRPr="006222EA">
        <w:rPr>
          <w:lang w:val="en"/>
        </w:rPr>
        <w:t>000 children are not enrolled in primary school and 64 out of every 1</w:t>
      </w:r>
      <w:r w:rsidR="00E76CDC">
        <w:rPr>
          <w:lang w:val="en"/>
        </w:rPr>
        <w:t>,</w:t>
      </w:r>
      <w:r w:rsidR="00C9090E" w:rsidRPr="006222EA">
        <w:rPr>
          <w:lang w:val="en"/>
        </w:rPr>
        <w:t>000</w:t>
      </w:r>
      <w:r w:rsidR="00000F04">
        <w:rPr>
          <w:lang w:val="en"/>
        </w:rPr>
        <w:t> </w:t>
      </w:r>
      <w:r w:rsidR="00C9090E" w:rsidRPr="006222EA">
        <w:rPr>
          <w:lang w:val="en"/>
        </w:rPr>
        <w:t>children die before the age of five</w:t>
      </w:r>
      <w:r>
        <w:rPr>
          <w:lang w:val="en"/>
        </w:rPr>
        <w:t xml:space="preserve"> years</w:t>
      </w:r>
      <w:r w:rsidR="00C9090E" w:rsidRPr="006222EA">
        <w:rPr>
          <w:lang w:val="en"/>
        </w:rPr>
        <w:t xml:space="preserve">. </w:t>
      </w:r>
    </w:p>
    <w:p w14:paraId="420DC52D" w14:textId="2EC37FDF" w:rsidR="00FB5DB7" w:rsidRPr="006222EA" w:rsidRDefault="00C9090E" w:rsidP="00CF6793">
      <w:pPr>
        <w:pStyle w:val="BodyText"/>
        <w:rPr>
          <w:lang w:val="en"/>
        </w:rPr>
      </w:pPr>
      <w:r w:rsidRPr="006222EA">
        <w:rPr>
          <w:lang w:val="en"/>
        </w:rPr>
        <w:t>There</w:t>
      </w:r>
      <w:r w:rsidRPr="006222EA">
        <w:t xml:space="preserve"> is ongoing </w:t>
      </w:r>
      <w:r w:rsidR="00FB5DB7">
        <w:t xml:space="preserve">public </w:t>
      </w:r>
      <w:r w:rsidRPr="006222EA">
        <w:t xml:space="preserve">debate about how to measure poverty and </w:t>
      </w:r>
      <w:r w:rsidR="001F609D" w:rsidRPr="006222EA">
        <w:t>ensure aid delivery has poverty alleviation as its central focus</w:t>
      </w:r>
      <w:r w:rsidRPr="006222EA">
        <w:t xml:space="preserve">. </w:t>
      </w:r>
      <w:r w:rsidR="005E6668">
        <w:t>Poverty</w:t>
      </w:r>
      <w:r w:rsidRPr="006222EA">
        <w:t xml:space="preserve"> analysis includes</w:t>
      </w:r>
      <w:bookmarkStart w:id="0" w:name="_GoBack"/>
      <w:bookmarkEnd w:id="0"/>
      <w:r w:rsidRPr="006222EA">
        <w:t xml:space="preserve"> </w:t>
      </w:r>
      <w:r w:rsidR="002B7604">
        <w:t>assessing</w:t>
      </w:r>
      <w:r w:rsidRPr="006222EA">
        <w:t xml:space="preserve"> the real income of the poor, what they produce, what range of goods of services they receive and how accessible </w:t>
      </w:r>
      <w:r w:rsidR="00E73768">
        <w:t xml:space="preserve">their </w:t>
      </w:r>
      <w:r w:rsidRPr="006222EA">
        <w:t>pathways out of poverty are.</w:t>
      </w:r>
      <w:r w:rsidR="00FB5DB7">
        <w:t xml:space="preserve"> </w:t>
      </w:r>
      <w:r w:rsidR="00EC6CA7">
        <w:t>DFAT</w:t>
      </w:r>
      <w:r w:rsidR="0011370A">
        <w:t xml:space="preserve"> is undertaking further </w:t>
      </w:r>
      <w:r w:rsidR="00FB5DB7" w:rsidRPr="006222EA">
        <w:t xml:space="preserve">analysis of poverty in the </w:t>
      </w:r>
      <w:r w:rsidR="00FB5DB7">
        <w:t>Pacific</w:t>
      </w:r>
      <w:r w:rsidR="0011370A">
        <w:t>. This will ensure</w:t>
      </w:r>
      <w:r w:rsidR="00FB5DB7" w:rsidRPr="006222EA">
        <w:t xml:space="preserve"> </w:t>
      </w:r>
      <w:r w:rsidR="00FB5DB7">
        <w:t>the</w:t>
      </w:r>
      <w:r w:rsidR="0011370A">
        <w:t xml:space="preserve"> regional program better target</w:t>
      </w:r>
      <w:r w:rsidR="00E73768">
        <w:t>s</w:t>
      </w:r>
      <w:r w:rsidR="00FB5DB7">
        <w:t xml:space="preserve"> </w:t>
      </w:r>
      <w:r w:rsidR="00FB5DB7" w:rsidRPr="006222EA">
        <w:t>poverty alleviation</w:t>
      </w:r>
      <w:r w:rsidR="00FB5DB7">
        <w:t>,</w:t>
      </w:r>
      <w:r w:rsidR="00FB5DB7" w:rsidRPr="006222EA">
        <w:t xml:space="preserve"> including through stronger linkages with bilateral programs.</w:t>
      </w:r>
    </w:p>
    <w:p w14:paraId="420DC52E" w14:textId="77777777" w:rsidR="00C9090E" w:rsidRPr="009C4DCB" w:rsidRDefault="00F3550D" w:rsidP="00CF6793">
      <w:pPr>
        <w:pStyle w:val="BodyText"/>
        <w:rPr>
          <w:color w:val="000000" w:themeColor="text1"/>
          <w:lang w:val="en"/>
        </w:rPr>
      </w:pPr>
      <w:r>
        <w:t xml:space="preserve">The </w:t>
      </w:r>
      <w:r w:rsidR="00C9090E" w:rsidRPr="006222EA">
        <w:t>Millennium Development Goals (MDGs</w:t>
      </w:r>
      <w:r w:rsidR="00C9090E" w:rsidRPr="009C4DCB">
        <w:rPr>
          <w:color w:val="000000" w:themeColor="text1"/>
        </w:rPr>
        <w:t xml:space="preserve">) </w:t>
      </w:r>
      <w:r w:rsidR="00FB5DB7" w:rsidRPr="009C4DCB">
        <w:rPr>
          <w:color w:val="000000" w:themeColor="text1"/>
          <w:lang w:val="en"/>
        </w:rPr>
        <w:t>set time</w:t>
      </w:r>
      <w:r w:rsidR="00AC4DE1">
        <w:rPr>
          <w:color w:val="000000" w:themeColor="text1"/>
          <w:lang w:val="en"/>
        </w:rPr>
        <w:t>-</w:t>
      </w:r>
      <w:r w:rsidR="00FB5DB7" w:rsidRPr="009C4DCB">
        <w:rPr>
          <w:color w:val="000000" w:themeColor="text1"/>
          <w:lang w:val="en"/>
        </w:rPr>
        <w:t xml:space="preserve">bound targets by which progress in reducing income poverty, hunger, disease, lack of adequate shelter and exclusion—while </w:t>
      </w:r>
      <w:r w:rsidR="00FB5DB7" w:rsidRPr="009C4DCB">
        <w:rPr>
          <w:color w:val="000000" w:themeColor="text1"/>
          <w:lang w:val="en"/>
        </w:rPr>
        <w:lastRenderedPageBreak/>
        <w:t>promoting gender equality, health, education and environmental sustainability—</w:t>
      </w:r>
      <w:r w:rsidR="00E73768">
        <w:rPr>
          <w:color w:val="000000" w:themeColor="text1"/>
          <w:lang w:val="en"/>
        </w:rPr>
        <w:t xml:space="preserve">is being </w:t>
      </w:r>
      <w:r w:rsidR="00FB5DB7" w:rsidRPr="009C4DCB">
        <w:rPr>
          <w:color w:val="000000" w:themeColor="text1"/>
          <w:lang w:val="en"/>
        </w:rPr>
        <w:t>measured</w:t>
      </w:r>
      <w:r w:rsidR="00C9090E" w:rsidRPr="009C4DCB">
        <w:rPr>
          <w:color w:val="000000" w:themeColor="text1"/>
        </w:rPr>
        <w:t xml:space="preserve">. </w:t>
      </w:r>
    </w:p>
    <w:p w14:paraId="420DC52F" w14:textId="77777777" w:rsidR="00880FC7" w:rsidRDefault="00880FC7" w:rsidP="00CF6793">
      <w:pPr>
        <w:pStyle w:val="BodyText"/>
      </w:pPr>
      <w:r>
        <w:t xml:space="preserve">Progress by PICs against the MDGs varies, reflecting the region’s development challenges. Palau is the success story within Micronesia and is on track to meet all MDGs. Polynesia’s progress is sound. It is on track to achieve MDGs </w:t>
      </w:r>
      <w:r w:rsidR="001E3FC0" w:rsidRPr="001E3FC0">
        <w:t>2</w:t>
      </w:r>
      <w:r w:rsidRPr="001E3FC0">
        <w:t>,</w:t>
      </w:r>
      <w:r w:rsidR="001E3FC0">
        <w:t xml:space="preserve"> </w:t>
      </w:r>
      <w:r w:rsidR="001E3FC0" w:rsidRPr="001E3FC0">
        <w:t>4</w:t>
      </w:r>
      <w:r w:rsidR="001E3FC0">
        <w:t>,</w:t>
      </w:r>
      <w:r w:rsidRPr="001E3FC0">
        <w:t xml:space="preserve"> </w:t>
      </w:r>
      <w:r w:rsidR="001E3FC0" w:rsidRPr="001E3FC0">
        <w:t>5</w:t>
      </w:r>
      <w:r w:rsidRPr="001E3FC0">
        <w:t xml:space="preserve"> and </w:t>
      </w:r>
      <w:r w:rsidR="001E3FC0" w:rsidRPr="001E3FC0">
        <w:t>7</w:t>
      </w:r>
      <w:r>
        <w:t>. Melanesia (with the exception of P</w:t>
      </w:r>
      <w:r w:rsidR="00E73768">
        <w:t xml:space="preserve">apua </w:t>
      </w:r>
      <w:r>
        <w:t>N</w:t>
      </w:r>
      <w:r w:rsidR="00E73768">
        <w:t xml:space="preserve">ew </w:t>
      </w:r>
      <w:r>
        <w:t>G</w:t>
      </w:r>
      <w:r w:rsidR="00E73768">
        <w:t>uinea—PNG</w:t>
      </w:r>
      <w:r>
        <w:t>) is on track to meet MDG 4 only, with mixed progress against all others. PNG, the largest island in the Pacific, is showing poor results against all MDGs, indicating the depth of issues it faces.</w:t>
      </w:r>
      <w:r w:rsidRPr="00880FC7">
        <w:t xml:space="preserve"> </w:t>
      </w:r>
      <w:r w:rsidRPr="006222EA">
        <w:t>The micro-states of Kiribati, Nauru and Tuvalu face particularly challenging development issues</w:t>
      </w:r>
      <w:r>
        <w:t xml:space="preserve"> which </w:t>
      </w:r>
      <w:r w:rsidRPr="006222EA">
        <w:t>may require external assistance on a much longer-term basis than other PICs.</w:t>
      </w:r>
    </w:p>
    <w:p w14:paraId="420DC530" w14:textId="77777777" w:rsidR="00C9090E" w:rsidRPr="006222EA" w:rsidRDefault="00880FC7" w:rsidP="00CF6793">
      <w:pPr>
        <w:pStyle w:val="BodyText"/>
      </w:pPr>
      <w:r>
        <w:rPr>
          <w:bCs/>
        </w:rPr>
        <w:t>The Pacific faces</w:t>
      </w:r>
      <w:r w:rsidR="00C9090E" w:rsidRPr="006222EA">
        <w:rPr>
          <w:bCs/>
        </w:rPr>
        <w:t xml:space="preserve"> significant gender inequalities</w:t>
      </w:r>
      <w:r w:rsidR="005854E1">
        <w:rPr>
          <w:bCs/>
        </w:rPr>
        <w:t xml:space="preserve"> with</w:t>
      </w:r>
      <w:r w:rsidR="00C9090E" w:rsidRPr="006222EA">
        <w:rPr>
          <w:bCs/>
        </w:rPr>
        <w:t xml:space="preserve"> </w:t>
      </w:r>
      <w:r w:rsidR="00C9090E" w:rsidRPr="006222EA">
        <w:t>substantial barriers to women’s equality reflected in social norms, values and practices. Violence against women prevalence surveys</w:t>
      </w:r>
      <w:r w:rsidR="005854E1">
        <w:t>, for example,</w:t>
      </w:r>
      <w:r w:rsidR="00C9090E" w:rsidRPr="006222EA">
        <w:t xml:space="preserve"> </w:t>
      </w:r>
      <w:proofErr w:type="gramStart"/>
      <w:r w:rsidR="00C9090E" w:rsidRPr="006222EA">
        <w:t>show</w:t>
      </w:r>
      <w:proofErr w:type="gramEnd"/>
      <w:r w:rsidR="00C9090E" w:rsidRPr="006222EA">
        <w:t xml:space="preserve"> that up to 60 per cent of women and girls ha</w:t>
      </w:r>
      <w:r w:rsidR="001F609D" w:rsidRPr="006222EA">
        <w:t>ve</w:t>
      </w:r>
      <w:r w:rsidR="00C9090E" w:rsidRPr="006222EA">
        <w:t xml:space="preserve"> experienced violence at the hands of partners or family members.</w:t>
      </w:r>
      <w:r w:rsidR="00C9090E" w:rsidRPr="00CF6793">
        <w:rPr>
          <w:rStyle w:val="FootnoteReference"/>
        </w:rPr>
        <w:footnoteReference w:id="8"/>
      </w:r>
      <w:r w:rsidR="00C9090E" w:rsidRPr="006222EA">
        <w:t xml:space="preserve"> The </w:t>
      </w:r>
      <w:hyperlink r:id="rId9" w:tgtFrame="_blank" w:history="1">
        <w:r w:rsidR="00C9090E" w:rsidRPr="006222EA">
          <w:t>Inter-Parliamentary Union</w:t>
        </w:r>
      </w:hyperlink>
      <w:r w:rsidR="00C9090E" w:rsidRPr="00CF6793">
        <w:rPr>
          <w:rStyle w:val="FootnoteReference"/>
        </w:rPr>
        <w:footnoteReference w:id="9"/>
      </w:r>
      <w:r w:rsidR="00C9090E" w:rsidRPr="006222EA">
        <w:rPr>
          <w:sz w:val="16"/>
          <w:szCs w:val="16"/>
        </w:rPr>
        <w:t xml:space="preserve"> </w:t>
      </w:r>
      <w:r w:rsidR="00C9090E" w:rsidRPr="006222EA">
        <w:t xml:space="preserve">reports that women comprise 20 per cent of national parliamentarians (world average), but in the Pacific the proportion is just below </w:t>
      </w:r>
      <w:r w:rsidR="005854E1">
        <w:t>5</w:t>
      </w:r>
      <w:r w:rsidR="005854E1" w:rsidRPr="006222EA">
        <w:t xml:space="preserve"> </w:t>
      </w:r>
      <w:r w:rsidR="00C9090E" w:rsidRPr="006222EA">
        <w:t>per cent.</w:t>
      </w:r>
      <w:r w:rsidR="00C9090E" w:rsidRPr="006222EA">
        <w:rPr>
          <w:rStyle w:val="FootnoteReference"/>
          <w:szCs w:val="16"/>
        </w:rPr>
        <w:footnoteReference w:id="10"/>
      </w:r>
      <w:r w:rsidR="00C9090E" w:rsidRPr="006222EA">
        <w:t xml:space="preserve"> Men outnumber women in paid employment outside the agricultural sector by approximately two to one. </w:t>
      </w:r>
    </w:p>
    <w:p w14:paraId="420DC531" w14:textId="77777777" w:rsidR="00344548" w:rsidRPr="00CF6793" w:rsidRDefault="00344548" w:rsidP="00CF6793">
      <w:pPr>
        <w:pStyle w:val="BodyText"/>
        <w:rPr>
          <w:b/>
          <w:i/>
        </w:rPr>
      </w:pPr>
      <w:r w:rsidRPr="00CF6793">
        <w:rPr>
          <w:b/>
          <w:i/>
        </w:rPr>
        <w:t xml:space="preserve">Regionalism and </w:t>
      </w:r>
      <w:r w:rsidR="00A30CE4" w:rsidRPr="00CF6793">
        <w:rPr>
          <w:b/>
          <w:i/>
        </w:rPr>
        <w:t>r</w:t>
      </w:r>
      <w:r w:rsidRPr="00CF6793">
        <w:rPr>
          <w:b/>
          <w:i/>
        </w:rPr>
        <w:t xml:space="preserve">egional </w:t>
      </w:r>
      <w:r w:rsidR="00A30CE4" w:rsidRPr="00CF6793">
        <w:rPr>
          <w:b/>
          <w:i/>
        </w:rPr>
        <w:t>a</w:t>
      </w:r>
      <w:r w:rsidRPr="00CF6793">
        <w:rPr>
          <w:b/>
          <w:i/>
        </w:rPr>
        <w:t>rchitecture</w:t>
      </w:r>
    </w:p>
    <w:p w14:paraId="420DC532" w14:textId="266CE6D6" w:rsidR="00344548" w:rsidRPr="006222EA" w:rsidRDefault="00344548" w:rsidP="00CF6793">
      <w:pPr>
        <w:pStyle w:val="BodyText"/>
      </w:pPr>
      <w:r w:rsidRPr="006222EA">
        <w:t xml:space="preserve">The </w:t>
      </w:r>
      <w:r w:rsidR="005854E1">
        <w:t xml:space="preserve">initial </w:t>
      </w:r>
      <w:r w:rsidR="0073433B">
        <w:t>findings</w:t>
      </w:r>
      <w:r w:rsidR="005854E1">
        <w:t xml:space="preserve"> from the independent </w:t>
      </w:r>
      <w:r w:rsidRPr="006222EA">
        <w:t>review of the Pacific Plan show there is an appetite for further regional cooperation and integration</w:t>
      </w:r>
      <w:r w:rsidR="00E73768">
        <w:t>. V</w:t>
      </w:r>
      <w:r w:rsidRPr="006222EA">
        <w:t>iews</w:t>
      </w:r>
      <w:r w:rsidR="005854E1">
        <w:t xml:space="preserve"> vary, however,</w:t>
      </w:r>
      <w:r w:rsidRPr="006222EA">
        <w:t xml:space="preserve"> on how </w:t>
      </w:r>
      <w:r w:rsidR="005854E1">
        <w:t>to pursue this and how</w:t>
      </w:r>
      <w:r w:rsidRPr="006222EA">
        <w:t xml:space="preserve"> future regional architecture</w:t>
      </w:r>
      <w:r w:rsidR="005854E1">
        <w:t xml:space="preserve"> should be shaped</w:t>
      </w:r>
      <w:r w:rsidRPr="006222EA">
        <w:t xml:space="preserve">. </w:t>
      </w:r>
      <w:r w:rsidR="00EC6CA7">
        <w:t xml:space="preserve">The department’s </w:t>
      </w:r>
      <w:r w:rsidRPr="006222EA">
        <w:t>development of a new</w:t>
      </w:r>
      <w:r w:rsidR="005854E1">
        <w:t xml:space="preserve"> regional</w:t>
      </w:r>
      <w:r w:rsidRPr="006222EA">
        <w:t xml:space="preserve"> strategy is </w:t>
      </w:r>
      <w:r w:rsidR="005854E1">
        <w:t xml:space="preserve">therefore </w:t>
      </w:r>
      <w:r w:rsidRPr="006222EA">
        <w:t xml:space="preserve">timely and </w:t>
      </w:r>
      <w:r w:rsidR="005854E1">
        <w:t xml:space="preserve">it </w:t>
      </w:r>
      <w:r w:rsidRPr="006222EA">
        <w:t>will take account of t</w:t>
      </w:r>
      <w:r w:rsidR="005854E1">
        <w:t>he independent review’s findings and the</w:t>
      </w:r>
      <w:r w:rsidRPr="006222EA">
        <w:t xml:space="preserve"> dynamic environment in</w:t>
      </w:r>
      <w:r w:rsidR="005854E1">
        <w:t xml:space="preserve"> the Pacific when </w:t>
      </w:r>
      <w:r w:rsidRPr="006222EA">
        <w:t>making program decisions for the next four years.</w:t>
      </w:r>
    </w:p>
    <w:p w14:paraId="420DC533" w14:textId="77777777" w:rsidR="00F7433D" w:rsidRPr="006222EA" w:rsidRDefault="00F7433D" w:rsidP="00CF6793">
      <w:pPr>
        <w:pStyle w:val="BodyText"/>
      </w:pPr>
      <w:r w:rsidRPr="006222EA">
        <w:t xml:space="preserve">The two most prominent </w:t>
      </w:r>
      <w:r w:rsidR="00AB7772">
        <w:t>PROs</w:t>
      </w:r>
      <w:r w:rsidRPr="006222EA">
        <w:t>, the Pacific Islands Forum Secretariat and the Secretariat of the Pacific Community (SPC), were subject to</w:t>
      </w:r>
      <w:r w:rsidR="003D4BB9">
        <w:t xml:space="preserve"> their own</w:t>
      </w:r>
      <w:r w:rsidRPr="006222EA">
        <w:t xml:space="preserve"> independent reviews in 2012. </w:t>
      </w:r>
      <w:r w:rsidR="003D4BB9">
        <w:t>In response to findings, t</w:t>
      </w:r>
      <w:r w:rsidRPr="006222EA">
        <w:t>hese organisati</w:t>
      </w:r>
      <w:r w:rsidR="00AC4C20">
        <w:t>ons</w:t>
      </w:r>
      <w:r w:rsidR="00E73768">
        <w:t xml:space="preserve"> are</w:t>
      </w:r>
      <w:r w:rsidR="00AC4C20">
        <w:t xml:space="preserve"> now </w:t>
      </w:r>
      <w:r w:rsidR="00F3550D">
        <w:t>implementing</w:t>
      </w:r>
      <w:r w:rsidR="00AC4C20">
        <w:t xml:space="preserve"> necessary</w:t>
      </w:r>
      <w:r w:rsidRPr="006222EA">
        <w:t xml:space="preserve"> corporate reforms. </w:t>
      </w:r>
    </w:p>
    <w:p w14:paraId="420DC534" w14:textId="77777777" w:rsidR="00344548" w:rsidRPr="00CF6793" w:rsidRDefault="00344548" w:rsidP="00CF6793">
      <w:pPr>
        <w:pStyle w:val="BodyText"/>
        <w:rPr>
          <w:b/>
          <w:i/>
        </w:rPr>
      </w:pPr>
      <w:r w:rsidRPr="00CF6793">
        <w:rPr>
          <w:b/>
          <w:i/>
        </w:rPr>
        <w:t xml:space="preserve">Pacific Regional </w:t>
      </w:r>
      <w:r w:rsidR="00A30CE4" w:rsidRPr="00CF6793">
        <w:rPr>
          <w:b/>
          <w:i/>
        </w:rPr>
        <w:t>a</w:t>
      </w:r>
      <w:r w:rsidRPr="00CF6793">
        <w:rPr>
          <w:b/>
          <w:i/>
        </w:rPr>
        <w:t xml:space="preserve">id </w:t>
      </w:r>
      <w:r w:rsidR="00A30CE4" w:rsidRPr="00CF6793">
        <w:rPr>
          <w:b/>
          <w:i/>
        </w:rPr>
        <w:t>p</w:t>
      </w:r>
      <w:r w:rsidRPr="00CF6793">
        <w:rPr>
          <w:b/>
          <w:i/>
        </w:rPr>
        <w:t>rogram</w:t>
      </w:r>
    </w:p>
    <w:p w14:paraId="420DC535" w14:textId="77777777" w:rsidR="00C9090E" w:rsidRPr="006222EA" w:rsidRDefault="00C9090E" w:rsidP="006222EA">
      <w:pPr>
        <w:pStyle w:val="BodyText"/>
      </w:pPr>
      <w:r w:rsidRPr="006222EA">
        <w:rPr>
          <w:szCs w:val="22"/>
          <w:lang w:val="en"/>
        </w:rPr>
        <w:t xml:space="preserve">Around </w:t>
      </w:r>
      <w:r w:rsidR="00344548" w:rsidRPr="006222EA">
        <w:rPr>
          <w:szCs w:val="22"/>
          <w:lang w:val="en"/>
        </w:rPr>
        <w:t>20</w:t>
      </w:r>
      <w:r w:rsidRPr="006222EA">
        <w:rPr>
          <w:szCs w:val="22"/>
          <w:lang w:val="en"/>
        </w:rPr>
        <w:t xml:space="preserve"> per cent of Australia’s </w:t>
      </w:r>
      <w:r w:rsidR="003D4BB9">
        <w:rPr>
          <w:szCs w:val="22"/>
          <w:lang w:val="en"/>
        </w:rPr>
        <w:t xml:space="preserve">official development assistance </w:t>
      </w:r>
      <w:r w:rsidRPr="006222EA">
        <w:rPr>
          <w:szCs w:val="22"/>
          <w:lang w:val="en"/>
        </w:rPr>
        <w:t xml:space="preserve">in the Pacific region is delivered through </w:t>
      </w:r>
      <w:r w:rsidR="00344548" w:rsidRPr="006222EA">
        <w:rPr>
          <w:szCs w:val="22"/>
          <w:lang w:val="en"/>
        </w:rPr>
        <w:t xml:space="preserve">the regional </w:t>
      </w:r>
      <w:r w:rsidRPr="006222EA">
        <w:rPr>
          <w:szCs w:val="22"/>
          <w:lang w:val="en"/>
        </w:rPr>
        <w:t xml:space="preserve">program. The intent of the program </w:t>
      </w:r>
      <w:r w:rsidR="00344548" w:rsidRPr="006222EA">
        <w:rPr>
          <w:szCs w:val="22"/>
          <w:lang w:val="en"/>
        </w:rPr>
        <w:t xml:space="preserve">is not </w:t>
      </w:r>
      <w:r w:rsidRPr="006222EA">
        <w:rPr>
          <w:szCs w:val="22"/>
          <w:lang w:val="en"/>
        </w:rPr>
        <w:t xml:space="preserve">to duplicate or act as an alternative to well-focused bilateral initiatives. Rather, it </w:t>
      </w:r>
      <w:r w:rsidR="00344548" w:rsidRPr="006222EA">
        <w:rPr>
          <w:szCs w:val="22"/>
          <w:lang w:val="en"/>
        </w:rPr>
        <w:t>is to focus on</w:t>
      </w:r>
      <w:r w:rsidRPr="006222EA">
        <w:rPr>
          <w:szCs w:val="22"/>
          <w:lang w:val="en"/>
        </w:rPr>
        <w:t xml:space="preserve"> areas where a regio</w:t>
      </w:r>
      <w:r w:rsidR="00AC4C20">
        <w:rPr>
          <w:szCs w:val="22"/>
          <w:lang w:val="en"/>
        </w:rPr>
        <w:t xml:space="preserve">nal approach is more effective and meets </w:t>
      </w:r>
      <w:r w:rsidR="003D4BB9">
        <w:rPr>
          <w:szCs w:val="22"/>
          <w:lang w:val="en"/>
        </w:rPr>
        <w:t xml:space="preserve">the </w:t>
      </w:r>
      <w:r w:rsidR="00AC4C20">
        <w:rPr>
          <w:szCs w:val="22"/>
          <w:lang w:val="en"/>
        </w:rPr>
        <w:t>common needs of PICs.</w:t>
      </w:r>
    </w:p>
    <w:p w14:paraId="420DC536" w14:textId="77777777" w:rsidR="00180B19" w:rsidRPr="006222EA" w:rsidRDefault="00180B19" w:rsidP="00C65930">
      <w:pPr>
        <w:pStyle w:val="Heading2"/>
      </w:pPr>
      <w:r w:rsidRPr="006222EA">
        <w:t>Expenditure</w:t>
      </w:r>
    </w:p>
    <w:p w14:paraId="420DC537" w14:textId="4E788CF6" w:rsidR="00E70948" w:rsidRPr="006222EA" w:rsidRDefault="00E70948" w:rsidP="00E70948">
      <w:pPr>
        <w:pStyle w:val="BodyText"/>
      </w:pPr>
      <w:r w:rsidRPr="006222EA">
        <w:t xml:space="preserve">Expenditure is reported against </w:t>
      </w:r>
      <w:r w:rsidR="00465AAF" w:rsidRPr="006222EA">
        <w:t xml:space="preserve">the Australian </w:t>
      </w:r>
      <w:r w:rsidRPr="006222EA">
        <w:t xml:space="preserve">aid program’s goals in this </w:t>
      </w:r>
      <w:r w:rsidR="005C5D12">
        <w:t>APPR</w:t>
      </w:r>
      <w:r w:rsidR="00874389" w:rsidRPr="006222EA">
        <w:t xml:space="preserve">. </w:t>
      </w:r>
      <w:r w:rsidRPr="006222EA">
        <w:t xml:space="preserve">In the six months </w:t>
      </w:r>
      <w:r w:rsidR="00E73768">
        <w:t>(</w:t>
      </w:r>
      <w:r w:rsidRPr="006222EA">
        <w:t>January to June 2012</w:t>
      </w:r>
      <w:r w:rsidR="00E73768">
        <w:t>)</w:t>
      </w:r>
      <w:r w:rsidRPr="006222EA">
        <w:t>, the total aid</w:t>
      </w:r>
      <w:r w:rsidR="00E73768">
        <w:t xml:space="preserve"> </w:t>
      </w:r>
      <w:r w:rsidRPr="006222EA">
        <w:t>spend for the regional program was $95.5</w:t>
      </w:r>
      <w:r w:rsidR="00E76CDC">
        <w:t> </w:t>
      </w:r>
      <w:r w:rsidRPr="006222EA">
        <w:t>million</w:t>
      </w:r>
      <w:r w:rsidR="00F7433D" w:rsidRPr="006222EA">
        <w:t>.</w:t>
      </w:r>
      <w:r w:rsidRPr="006222EA">
        <w:t xml:space="preserve"> </w:t>
      </w:r>
      <w:r w:rsidR="00F7433D" w:rsidRPr="006222EA">
        <w:t>In</w:t>
      </w:r>
      <w:r w:rsidRPr="006222EA">
        <w:t xml:space="preserve"> the 12 months from July 2012 to June 2013, the total estimated aid spend is $194.3 million,</w:t>
      </w:r>
      <w:r w:rsidR="00F7433D" w:rsidRPr="006222EA">
        <w:t xml:space="preserve"> which represents 21 per cent of Australia’s total development assistance to the Pacific of $923.7 million in 2012</w:t>
      </w:r>
      <w:r w:rsidR="00A30CE4">
        <w:t>–</w:t>
      </w:r>
      <w:r w:rsidR="00F7433D" w:rsidRPr="006222EA">
        <w:t xml:space="preserve">13. Expenditure </w:t>
      </w:r>
      <w:r w:rsidR="003D4BB9">
        <w:t>is</w:t>
      </w:r>
      <w:r w:rsidR="003D4BB9" w:rsidRPr="006222EA">
        <w:t xml:space="preserve"> </w:t>
      </w:r>
      <w:r w:rsidRPr="006222EA">
        <w:t xml:space="preserve">allocated across </w:t>
      </w:r>
      <w:r w:rsidR="00F62F88" w:rsidRPr="006222EA">
        <w:t xml:space="preserve">the strategic goals </w:t>
      </w:r>
      <w:r w:rsidR="00A52372" w:rsidRPr="006222EA">
        <w:t>of the aid program</w:t>
      </w:r>
      <w:r w:rsidR="003D4BB9">
        <w:t xml:space="preserve"> (</w:t>
      </w:r>
      <w:r w:rsidR="00E73768">
        <w:t>t</w:t>
      </w:r>
      <w:r w:rsidR="003D4BB9">
        <w:t>ables 1A and 1B)</w:t>
      </w:r>
      <w:r w:rsidR="00F7433D" w:rsidRPr="006222EA">
        <w:t>.</w:t>
      </w:r>
    </w:p>
    <w:p w14:paraId="420DC538" w14:textId="77777777" w:rsidR="00E70948" w:rsidRPr="006222EA" w:rsidRDefault="00E70948" w:rsidP="00465AAF">
      <w:pPr>
        <w:pStyle w:val="Caption"/>
        <w:contextualSpacing/>
      </w:pPr>
      <w:r w:rsidRPr="006222EA">
        <w:lastRenderedPageBreak/>
        <w:t xml:space="preserve">Table </w:t>
      </w:r>
      <w:fldSimple w:instr=" SEQ Table \* ARABIC ">
        <w:r w:rsidR="00CA16F7">
          <w:rPr>
            <w:noProof/>
          </w:rPr>
          <w:t>1</w:t>
        </w:r>
      </w:fldSimple>
      <w:proofErr w:type="gramStart"/>
      <w:r w:rsidRPr="006222EA">
        <w:t>A</w:t>
      </w:r>
      <w:proofErr w:type="gramEnd"/>
      <w:r w:rsidRPr="006222EA">
        <w:t xml:space="preserve"> Expenditure 01 Jan 2012</w:t>
      </w:r>
      <w:r w:rsidR="00A30CE4">
        <w:t>–</w:t>
      </w:r>
      <w:r w:rsidRPr="006222EA">
        <w:t>30 Jun 2012</w:t>
      </w:r>
    </w:p>
    <w:tbl>
      <w:tblPr>
        <w:tblStyle w:val="APPR"/>
        <w:tblW w:w="5000" w:type="pct"/>
        <w:tblLayout w:type="fixed"/>
        <w:tblLook w:val="0000" w:firstRow="0" w:lastRow="0" w:firstColumn="0" w:lastColumn="0" w:noHBand="0" w:noVBand="0"/>
      </w:tblPr>
      <w:tblGrid>
        <w:gridCol w:w="4678"/>
        <w:gridCol w:w="1813"/>
        <w:gridCol w:w="2115"/>
      </w:tblGrid>
      <w:tr w:rsidR="00C3544B" w:rsidRPr="006222EA" w14:paraId="420DC53D"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3A" w14:textId="77777777" w:rsidR="00C3544B" w:rsidRPr="006222EA" w:rsidRDefault="00C3544B" w:rsidP="00462CE5">
            <w:pPr>
              <w:pStyle w:val="TableTextColumnHeading"/>
              <w:contextualSpacing/>
            </w:pPr>
            <w:r w:rsidRPr="006222EA">
              <w:t>Sector</w:t>
            </w:r>
          </w:p>
        </w:tc>
        <w:tc>
          <w:tcPr>
            <w:tcW w:w="1673" w:type="dxa"/>
          </w:tcPr>
          <w:p w14:paraId="420DC53B" w14:textId="77777777" w:rsidR="00C3544B" w:rsidRPr="006222EA" w:rsidRDefault="00C3544B" w:rsidP="00462CE5">
            <w:pPr>
              <w:pStyle w:val="TableTextColumnHeading"/>
              <w:contextualSpacing/>
            </w:pPr>
            <w:r w:rsidRPr="006222EA">
              <w:t>A$ million</w:t>
            </w:r>
          </w:p>
        </w:tc>
        <w:tc>
          <w:tcPr>
            <w:tcW w:w="1943" w:type="dxa"/>
          </w:tcPr>
          <w:p w14:paraId="420DC53C" w14:textId="77777777" w:rsidR="00C3544B" w:rsidRPr="006222EA" w:rsidRDefault="00C3544B" w:rsidP="00462CE5">
            <w:pPr>
              <w:pStyle w:val="TableTextColumnHeading"/>
              <w:contextualSpacing/>
            </w:pPr>
            <w:r w:rsidRPr="006222EA">
              <w:t>% of regional program</w:t>
            </w:r>
          </w:p>
        </w:tc>
      </w:tr>
      <w:tr w:rsidR="00C3544B" w:rsidRPr="006222EA" w14:paraId="420DC542"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3F" w14:textId="77777777" w:rsidR="00C3544B" w:rsidRPr="006222EA" w:rsidRDefault="00C3544B" w:rsidP="00462CE5">
            <w:pPr>
              <w:pStyle w:val="TableTextEntries"/>
              <w:contextualSpacing/>
            </w:pPr>
            <w:r w:rsidRPr="006222EA">
              <w:t>Health</w:t>
            </w:r>
          </w:p>
        </w:tc>
        <w:tc>
          <w:tcPr>
            <w:tcW w:w="1673" w:type="dxa"/>
          </w:tcPr>
          <w:p w14:paraId="420DC540" w14:textId="77777777" w:rsidR="00C3544B" w:rsidRPr="006222EA" w:rsidRDefault="00C3544B" w:rsidP="00462CE5">
            <w:pPr>
              <w:pStyle w:val="TableTextEntries"/>
              <w:contextualSpacing/>
            </w:pPr>
            <w:r w:rsidRPr="006222EA">
              <w:t>11.3</w:t>
            </w:r>
          </w:p>
        </w:tc>
        <w:tc>
          <w:tcPr>
            <w:tcW w:w="1943" w:type="dxa"/>
          </w:tcPr>
          <w:p w14:paraId="420DC541" w14:textId="77777777" w:rsidR="00C3544B" w:rsidRPr="006222EA" w:rsidRDefault="00C3544B" w:rsidP="00462CE5">
            <w:pPr>
              <w:pStyle w:val="TableTextEntries"/>
              <w:contextualSpacing/>
            </w:pPr>
          </w:p>
        </w:tc>
      </w:tr>
      <w:tr w:rsidR="00C3544B" w:rsidRPr="006222EA" w14:paraId="420DC547"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44" w14:textId="77777777" w:rsidR="00C3544B" w:rsidRPr="006222EA" w:rsidRDefault="00C3544B" w:rsidP="00462CE5">
            <w:pPr>
              <w:pStyle w:val="TableTextEntries"/>
              <w:contextualSpacing/>
              <w:rPr>
                <w:b/>
              </w:rPr>
            </w:pPr>
            <w:r w:rsidRPr="006222EA">
              <w:rPr>
                <w:b/>
              </w:rPr>
              <w:t>Total</w:t>
            </w:r>
          </w:p>
        </w:tc>
        <w:tc>
          <w:tcPr>
            <w:tcW w:w="1673" w:type="dxa"/>
            <w:shd w:val="clear" w:color="auto" w:fill="BFBFBF" w:themeFill="background1" w:themeFillShade="BF"/>
          </w:tcPr>
          <w:p w14:paraId="420DC545" w14:textId="77777777" w:rsidR="00C3544B" w:rsidRPr="006222EA" w:rsidRDefault="00C3544B" w:rsidP="00462CE5">
            <w:pPr>
              <w:pStyle w:val="TableTextEntries"/>
              <w:contextualSpacing/>
              <w:rPr>
                <w:b/>
              </w:rPr>
            </w:pPr>
            <w:r w:rsidRPr="006222EA">
              <w:rPr>
                <w:b/>
              </w:rPr>
              <w:t>11.3</w:t>
            </w:r>
          </w:p>
        </w:tc>
        <w:tc>
          <w:tcPr>
            <w:tcW w:w="1943" w:type="dxa"/>
            <w:shd w:val="clear" w:color="auto" w:fill="BFBFBF" w:themeFill="background1" w:themeFillShade="BF"/>
          </w:tcPr>
          <w:p w14:paraId="420DC546" w14:textId="77777777" w:rsidR="00C3544B" w:rsidRPr="006222EA" w:rsidRDefault="00C3544B" w:rsidP="00462CE5">
            <w:pPr>
              <w:pStyle w:val="TableTextEntries"/>
              <w:contextualSpacing/>
              <w:rPr>
                <w:b/>
              </w:rPr>
            </w:pPr>
            <w:r w:rsidRPr="006222EA">
              <w:rPr>
                <w:b/>
              </w:rPr>
              <w:t>11.</w:t>
            </w:r>
            <w:r>
              <w:rPr>
                <w:b/>
              </w:rPr>
              <w:t>8</w:t>
            </w:r>
          </w:p>
        </w:tc>
      </w:tr>
      <w:tr w:rsidR="00C3544B" w:rsidRPr="006222EA" w14:paraId="420DC54C"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49" w14:textId="77777777" w:rsidR="00C3544B" w:rsidRPr="006222EA" w:rsidRDefault="00C3544B" w:rsidP="00462CE5">
            <w:pPr>
              <w:pStyle w:val="TableTextEntries"/>
              <w:contextualSpacing/>
            </w:pPr>
            <w:r w:rsidRPr="006222EA">
              <w:t>Education</w:t>
            </w:r>
          </w:p>
        </w:tc>
        <w:tc>
          <w:tcPr>
            <w:tcW w:w="1673" w:type="dxa"/>
          </w:tcPr>
          <w:p w14:paraId="420DC54A" w14:textId="77777777" w:rsidR="00C3544B" w:rsidRPr="006222EA" w:rsidRDefault="00C3544B" w:rsidP="00462CE5">
            <w:pPr>
              <w:pStyle w:val="TableTextEntries"/>
              <w:contextualSpacing/>
            </w:pPr>
            <w:r w:rsidRPr="006222EA">
              <w:t>22.7</w:t>
            </w:r>
          </w:p>
        </w:tc>
        <w:tc>
          <w:tcPr>
            <w:tcW w:w="1943" w:type="dxa"/>
          </w:tcPr>
          <w:p w14:paraId="420DC54B" w14:textId="77777777" w:rsidR="00C3544B" w:rsidRPr="006222EA" w:rsidRDefault="00C3544B" w:rsidP="00462CE5">
            <w:pPr>
              <w:pStyle w:val="TableTextEntries"/>
              <w:contextualSpacing/>
            </w:pPr>
          </w:p>
        </w:tc>
      </w:tr>
      <w:tr w:rsidR="00C3544B" w:rsidRPr="006222EA" w14:paraId="420DC551"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4E" w14:textId="77777777" w:rsidR="00C3544B" w:rsidRPr="006222EA" w:rsidRDefault="00C3544B" w:rsidP="00462CE5">
            <w:pPr>
              <w:pStyle w:val="TableTextEntries"/>
              <w:contextualSpacing/>
              <w:rPr>
                <w:b/>
              </w:rPr>
            </w:pPr>
            <w:r w:rsidRPr="006222EA">
              <w:rPr>
                <w:b/>
              </w:rPr>
              <w:t>Total</w:t>
            </w:r>
          </w:p>
        </w:tc>
        <w:tc>
          <w:tcPr>
            <w:tcW w:w="1673" w:type="dxa"/>
            <w:shd w:val="clear" w:color="auto" w:fill="BFBFBF" w:themeFill="background1" w:themeFillShade="BF"/>
          </w:tcPr>
          <w:p w14:paraId="420DC54F" w14:textId="77777777" w:rsidR="00C3544B" w:rsidRPr="006222EA" w:rsidRDefault="00C3544B" w:rsidP="00462CE5">
            <w:pPr>
              <w:pStyle w:val="TableTextEntries"/>
              <w:contextualSpacing/>
              <w:rPr>
                <w:b/>
              </w:rPr>
            </w:pPr>
            <w:r w:rsidRPr="006222EA">
              <w:rPr>
                <w:b/>
              </w:rPr>
              <w:t>22.7</w:t>
            </w:r>
          </w:p>
        </w:tc>
        <w:tc>
          <w:tcPr>
            <w:tcW w:w="1943" w:type="dxa"/>
            <w:shd w:val="clear" w:color="auto" w:fill="BFBFBF" w:themeFill="background1" w:themeFillShade="BF"/>
          </w:tcPr>
          <w:p w14:paraId="420DC550" w14:textId="77777777" w:rsidR="00C3544B" w:rsidRPr="006222EA" w:rsidRDefault="00C3544B" w:rsidP="00462CE5">
            <w:pPr>
              <w:pStyle w:val="TableTextEntries"/>
              <w:contextualSpacing/>
              <w:rPr>
                <w:b/>
              </w:rPr>
            </w:pPr>
            <w:r w:rsidRPr="006222EA">
              <w:rPr>
                <w:b/>
              </w:rPr>
              <w:t>23.8</w:t>
            </w:r>
          </w:p>
        </w:tc>
      </w:tr>
      <w:tr w:rsidR="00C3544B" w:rsidRPr="006222EA" w14:paraId="420DC556"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53" w14:textId="77777777" w:rsidR="00C3544B" w:rsidRPr="006222EA" w:rsidRDefault="00C3544B" w:rsidP="00462CE5">
            <w:pPr>
              <w:pStyle w:val="TableTextEntries"/>
              <w:contextualSpacing/>
            </w:pPr>
            <w:r w:rsidRPr="006222EA">
              <w:t xml:space="preserve">Environment and </w:t>
            </w:r>
            <w:r>
              <w:t>n</w:t>
            </w:r>
            <w:r w:rsidRPr="006222EA">
              <w:t xml:space="preserve">atural </w:t>
            </w:r>
            <w:r>
              <w:t>r</w:t>
            </w:r>
            <w:r w:rsidRPr="006222EA">
              <w:t xml:space="preserve">esource </w:t>
            </w:r>
            <w:r>
              <w:t>m</w:t>
            </w:r>
            <w:r w:rsidRPr="006222EA">
              <w:t>anagement</w:t>
            </w:r>
          </w:p>
        </w:tc>
        <w:tc>
          <w:tcPr>
            <w:tcW w:w="1673" w:type="dxa"/>
          </w:tcPr>
          <w:p w14:paraId="420DC554" w14:textId="77777777" w:rsidR="00C3544B" w:rsidRPr="006222EA" w:rsidRDefault="00C3544B" w:rsidP="00462CE5">
            <w:pPr>
              <w:pStyle w:val="TableTextEntries"/>
              <w:contextualSpacing/>
            </w:pPr>
            <w:r w:rsidRPr="006222EA">
              <w:t>13.1</w:t>
            </w:r>
          </w:p>
        </w:tc>
        <w:tc>
          <w:tcPr>
            <w:tcW w:w="1943" w:type="dxa"/>
          </w:tcPr>
          <w:p w14:paraId="420DC555" w14:textId="77777777" w:rsidR="00C3544B" w:rsidRPr="006222EA" w:rsidRDefault="00C3544B" w:rsidP="00462CE5">
            <w:pPr>
              <w:pStyle w:val="TableTextEntries"/>
              <w:contextualSpacing/>
            </w:pPr>
          </w:p>
        </w:tc>
      </w:tr>
      <w:tr w:rsidR="00C3544B" w:rsidRPr="006222EA" w14:paraId="420DC55B"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58" w14:textId="77777777" w:rsidR="00C3544B" w:rsidRPr="006222EA" w:rsidRDefault="00C3544B" w:rsidP="00462CE5">
            <w:pPr>
              <w:pStyle w:val="TableTextEntries"/>
              <w:contextualSpacing/>
            </w:pPr>
            <w:r w:rsidRPr="006222EA">
              <w:t xml:space="preserve">Food </w:t>
            </w:r>
            <w:r>
              <w:t>s</w:t>
            </w:r>
            <w:r w:rsidRPr="006222EA">
              <w:t>ecurity</w:t>
            </w:r>
          </w:p>
        </w:tc>
        <w:tc>
          <w:tcPr>
            <w:tcW w:w="1673" w:type="dxa"/>
          </w:tcPr>
          <w:p w14:paraId="420DC559" w14:textId="77777777" w:rsidR="00C3544B" w:rsidRPr="006222EA" w:rsidRDefault="00C3544B" w:rsidP="00462CE5">
            <w:pPr>
              <w:pStyle w:val="TableTextEntries"/>
              <w:contextualSpacing/>
            </w:pPr>
            <w:r w:rsidRPr="006222EA">
              <w:t>5.8</w:t>
            </w:r>
          </w:p>
        </w:tc>
        <w:tc>
          <w:tcPr>
            <w:tcW w:w="1943" w:type="dxa"/>
          </w:tcPr>
          <w:p w14:paraId="420DC55A" w14:textId="77777777" w:rsidR="00C3544B" w:rsidRPr="006222EA" w:rsidRDefault="00C3544B" w:rsidP="00462CE5">
            <w:pPr>
              <w:pStyle w:val="TableTextEntries"/>
              <w:contextualSpacing/>
            </w:pPr>
          </w:p>
        </w:tc>
      </w:tr>
      <w:tr w:rsidR="00C3544B" w:rsidRPr="006222EA" w14:paraId="420DC560"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5D" w14:textId="77777777" w:rsidR="00C3544B" w:rsidRPr="006222EA" w:rsidRDefault="00C3544B" w:rsidP="00462CE5">
            <w:pPr>
              <w:pStyle w:val="TableTextEntries"/>
              <w:contextualSpacing/>
            </w:pPr>
            <w:r w:rsidRPr="006222EA">
              <w:t xml:space="preserve">Business, </w:t>
            </w:r>
            <w:r>
              <w:t>f</w:t>
            </w:r>
            <w:r w:rsidRPr="006222EA">
              <w:t xml:space="preserve">inance and </w:t>
            </w:r>
            <w:r>
              <w:t>t</w:t>
            </w:r>
            <w:r w:rsidRPr="006222EA">
              <w:t>rade</w:t>
            </w:r>
          </w:p>
        </w:tc>
        <w:tc>
          <w:tcPr>
            <w:tcW w:w="1673" w:type="dxa"/>
          </w:tcPr>
          <w:p w14:paraId="420DC55E" w14:textId="77777777" w:rsidR="00C3544B" w:rsidRPr="006222EA" w:rsidRDefault="00C3544B" w:rsidP="00462CE5">
            <w:pPr>
              <w:pStyle w:val="TableTextEntries"/>
              <w:contextualSpacing/>
            </w:pPr>
            <w:r w:rsidRPr="006222EA">
              <w:t>6.0</w:t>
            </w:r>
          </w:p>
        </w:tc>
        <w:tc>
          <w:tcPr>
            <w:tcW w:w="1943" w:type="dxa"/>
          </w:tcPr>
          <w:p w14:paraId="420DC55F" w14:textId="77777777" w:rsidR="00C3544B" w:rsidRPr="006222EA" w:rsidRDefault="00C3544B" w:rsidP="00462CE5">
            <w:pPr>
              <w:pStyle w:val="TableTextEntries"/>
              <w:contextualSpacing/>
            </w:pPr>
          </w:p>
        </w:tc>
      </w:tr>
      <w:tr w:rsidR="00C3544B" w:rsidRPr="006222EA" w14:paraId="420DC565"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62" w14:textId="77777777" w:rsidR="00C3544B" w:rsidRPr="006222EA" w:rsidRDefault="00C3544B" w:rsidP="00462CE5">
            <w:pPr>
              <w:pStyle w:val="TableTextEntries"/>
              <w:contextualSpacing/>
              <w:rPr>
                <w:b/>
              </w:rPr>
            </w:pPr>
            <w:r w:rsidRPr="006222EA">
              <w:rPr>
                <w:b/>
              </w:rPr>
              <w:t>Total</w:t>
            </w:r>
          </w:p>
        </w:tc>
        <w:tc>
          <w:tcPr>
            <w:tcW w:w="1673" w:type="dxa"/>
            <w:shd w:val="clear" w:color="auto" w:fill="BFBFBF" w:themeFill="background1" w:themeFillShade="BF"/>
          </w:tcPr>
          <w:p w14:paraId="420DC563" w14:textId="77777777" w:rsidR="00C3544B" w:rsidRPr="006222EA" w:rsidRDefault="00C3544B" w:rsidP="00462CE5">
            <w:pPr>
              <w:pStyle w:val="TableTextEntries"/>
              <w:contextualSpacing/>
              <w:rPr>
                <w:b/>
              </w:rPr>
            </w:pPr>
            <w:r w:rsidRPr="006222EA">
              <w:rPr>
                <w:b/>
              </w:rPr>
              <w:t>24.8</w:t>
            </w:r>
          </w:p>
        </w:tc>
        <w:tc>
          <w:tcPr>
            <w:tcW w:w="1943" w:type="dxa"/>
            <w:shd w:val="clear" w:color="auto" w:fill="BFBFBF" w:themeFill="background1" w:themeFillShade="BF"/>
          </w:tcPr>
          <w:p w14:paraId="420DC564" w14:textId="77777777" w:rsidR="00C3544B" w:rsidRPr="006222EA" w:rsidRDefault="00C3544B" w:rsidP="00462CE5">
            <w:pPr>
              <w:pStyle w:val="TableTextEntries"/>
              <w:contextualSpacing/>
              <w:rPr>
                <w:b/>
              </w:rPr>
            </w:pPr>
            <w:r w:rsidRPr="006222EA">
              <w:rPr>
                <w:b/>
              </w:rPr>
              <w:t>26</w:t>
            </w:r>
          </w:p>
        </w:tc>
      </w:tr>
      <w:tr w:rsidR="00C3544B" w:rsidRPr="006222EA" w14:paraId="420DC56A"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67" w14:textId="77777777" w:rsidR="00C3544B" w:rsidRPr="006222EA" w:rsidRDefault="00C3544B" w:rsidP="00462CE5">
            <w:pPr>
              <w:pStyle w:val="TableTextEntries"/>
              <w:contextualSpacing/>
            </w:pPr>
            <w:r w:rsidRPr="006222EA">
              <w:t xml:space="preserve">Human </w:t>
            </w:r>
            <w:r>
              <w:t>r</w:t>
            </w:r>
            <w:r w:rsidRPr="006222EA">
              <w:t>ights</w:t>
            </w:r>
          </w:p>
        </w:tc>
        <w:tc>
          <w:tcPr>
            <w:tcW w:w="1673" w:type="dxa"/>
          </w:tcPr>
          <w:p w14:paraId="420DC568" w14:textId="77777777" w:rsidR="00C3544B" w:rsidRPr="006222EA" w:rsidRDefault="00C3544B" w:rsidP="00462CE5">
            <w:pPr>
              <w:pStyle w:val="TableTextEntries"/>
              <w:contextualSpacing/>
            </w:pPr>
            <w:r w:rsidRPr="006222EA">
              <w:t>3.3</w:t>
            </w:r>
          </w:p>
        </w:tc>
        <w:tc>
          <w:tcPr>
            <w:tcW w:w="1943" w:type="dxa"/>
          </w:tcPr>
          <w:p w14:paraId="420DC569" w14:textId="77777777" w:rsidR="00C3544B" w:rsidRPr="006222EA" w:rsidRDefault="00C3544B" w:rsidP="00462CE5">
            <w:pPr>
              <w:pStyle w:val="TableTextEntries"/>
              <w:contextualSpacing/>
            </w:pPr>
          </w:p>
        </w:tc>
      </w:tr>
      <w:tr w:rsidR="00C3544B" w:rsidRPr="006222EA" w14:paraId="420DC56F"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6C" w14:textId="77777777" w:rsidR="00C3544B" w:rsidRPr="006222EA" w:rsidRDefault="00C3544B" w:rsidP="00462CE5">
            <w:pPr>
              <w:pStyle w:val="TableTextEntries"/>
              <w:contextualSpacing/>
            </w:pPr>
            <w:r w:rsidRPr="006222EA">
              <w:t xml:space="preserve">Security and </w:t>
            </w:r>
            <w:r>
              <w:t>j</w:t>
            </w:r>
            <w:r w:rsidRPr="006222EA">
              <w:t>ustice</w:t>
            </w:r>
          </w:p>
        </w:tc>
        <w:tc>
          <w:tcPr>
            <w:tcW w:w="1673" w:type="dxa"/>
          </w:tcPr>
          <w:p w14:paraId="420DC56D" w14:textId="77777777" w:rsidR="00C3544B" w:rsidRPr="006222EA" w:rsidRDefault="00C3544B" w:rsidP="00462CE5">
            <w:pPr>
              <w:pStyle w:val="TableTextEntries"/>
              <w:contextualSpacing/>
            </w:pPr>
            <w:r w:rsidRPr="006222EA">
              <w:t>0.1</w:t>
            </w:r>
          </w:p>
        </w:tc>
        <w:tc>
          <w:tcPr>
            <w:tcW w:w="1943" w:type="dxa"/>
          </w:tcPr>
          <w:p w14:paraId="420DC56E" w14:textId="77777777" w:rsidR="00C3544B" w:rsidRPr="006222EA" w:rsidRDefault="00C3544B" w:rsidP="00462CE5">
            <w:pPr>
              <w:pStyle w:val="TableTextEntries"/>
              <w:contextualSpacing/>
            </w:pPr>
          </w:p>
        </w:tc>
      </w:tr>
      <w:tr w:rsidR="00C3544B" w:rsidRPr="006222EA" w14:paraId="420DC574"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71" w14:textId="77777777" w:rsidR="00C3544B" w:rsidRPr="006222EA" w:rsidRDefault="00C3544B" w:rsidP="00462CE5">
            <w:pPr>
              <w:pStyle w:val="TableTextEntries"/>
              <w:contextualSpacing/>
            </w:pPr>
            <w:r w:rsidRPr="006222EA">
              <w:t xml:space="preserve">Improved </w:t>
            </w:r>
            <w:r>
              <w:t>g</w:t>
            </w:r>
            <w:r w:rsidRPr="006222EA">
              <w:t>overnment</w:t>
            </w:r>
          </w:p>
        </w:tc>
        <w:tc>
          <w:tcPr>
            <w:tcW w:w="1673" w:type="dxa"/>
          </w:tcPr>
          <w:p w14:paraId="420DC572" w14:textId="77777777" w:rsidR="00C3544B" w:rsidRPr="006222EA" w:rsidRDefault="00C3544B" w:rsidP="00462CE5">
            <w:pPr>
              <w:pStyle w:val="TableTextEntries"/>
              <w:contextualSpacing/>
            </w:pPr>
            <w:r w:rsidRPr="006222EA">
              <w:t>16.0</w:t>
            </w:r>
          </w:p>
        </w:tc>
        <w:tc>
          <w:tcPr>
            <w:tcW w:w="1943" w:type="dxa"/>
          </w:tcPr>
          <w:p w14:paraId="420DC573" w14:textId="77777777" w:rsidR="00C3544B" w:rsidRPr="006222EA" w:rsidRDefault="00C3544B" w:rsidP="00462CE5">
            <w:pPr>
              <w:pStyle w:val="TableTextEntries"/>
              <w:contextualSpacing/>
            </w:pPr>
          </w:p>
        </w:tc>
      </w:tr>
      <w:tr w:rsidR="00C3544B" w:rsidRPr="006222EA" w14:paraId="420DC579"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76" w14:textId="77777777" w:rsidR="00C3544B" w:rsidRPr="006222EA" w:rsidRDefault="00C3544B" w:rsidP="00462CE5">
            <w:pPr>
              <w:pStyle w:val="TableTextEntries"/>
              <w:contextualSpacing/>
              <w:rPr>
                <w:b/>
              </w:rPr>
            </w:pPr>
            <w:r w:rsidRPr="006222EA">
              <w:rPr>
                <w:b/>
              </w:rPr>
              <w:t>Total</w:t>
            </w:r>
          </w:p>
        </w:tc>
        <w:tc>
          <w:tcPr>
            <w:tcW w:w="1673" w:type="dxa"/>
            <w:shd w:val="clear" w:color="auto" w:fill="BFBFBF" w:themeFill="background1" w:themeFillShade="BF"/>
          </w:tcPr>
          <w:p w14:paraId="420DC577" w14:textId="77777777" w:rsidR="00C3544B" w:rsidRPr="006222EA" w:rsidRDefault="00C3544B" w:rsidP="00462CE5">
            <w:pPr>
              <w:pStyle w:val="TableTextEntries"/>
              <w:contextualSpacing/>
              <w:rPr>
                <w:b/>
              </w:rPr>
            </w:pPr>
            <w:r w:rsidRPr="006222EA">
              <w:rPr>
                <w:b/>
              </w:rPr>
              <w:t>19.4</w:t>
            </w:r>
          </w:p>
        </w:tc>
        <w:tc>
          <w:tcPr>
            <w:tcW w:w="1943" w:type="dxa"/>
            <w:shd w:val="clear" w:color="auto" w:fill="BFBFBF" w:themeFill="background1" w:themeFillShade="BF"/>
          </w:tcPr>
          <w:p w14:paraId="420DC578" w14:textId="77777777" w:rsidR="00C3544B" w:rsidRPr="006222EA" w:rsidRDefault="00C3544B" w:rsidP="00462CE5">
            <w:pPr>
              <w:pStyle w:val="TableTextEntries"/>
              <w:contextualSpacing/>
              <w:rPr>
                <w:b/>
              </w:rPr>
            </w:pPr>
            <w:r w:rsidRPr="006222EA">
              <w:rPr>
                <w:b/>
              </w:rPr>
              <w:t>20.3</w:t>
            </w:r>
          </w:p>
        </w:tc>
      </w:tr>
      <w:tr w:rsidR="00C3544B" w:rsidRPr="006222EA" w14:paraId="420DC57E"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7B" w14:textId="77777777" w:rsidR="00C3544B" w:rsidRPr="006222EA" w:rsidRDefault="00C3544B" w:rsidP="00462CE5">
            <w:pPr>
              <w:pStyle w:val="TableTextEntries"/>
              <w:contextualSpacing/>
            </w:pPr>
            <w:r w:rsidRPr="006222EA">
              <w:t xml:space="preserve">Humanitarian </w:t>
            </w:r>
            <w:r>
              <w:t>r</w:t>
            </w:r>
            <w:r w:rsidRPr="006222EA">
              <w:t>esponse</w:t>
            </w:r>
          </w:p>
        </w:tc>
        <w:tc>
          <w:tcPr>
            <w:tcW w:w="1673" w:type="dxa"/>
          </w:tcPr>
          <w:p w14:paraId="420DC57C" w14:textId="77777777" w:rsidR="00C3544B" w:rsidRPr="006222EA" w:rsidRDefault="00C3544B" w:rsidP="00462CE5">
            <w:pPr>
              <w:pStyle w:val="TableTextEntries"/>
              <w:contextualSpacing/>
            </w:pPr>
            <w:r w:rsidRPr="006222EA">
              <w:t>0.9</w:t>
            </w:r>
          </w:p>
        </w:tc>
        <w:tc>
          <w:tcPr>
            <w:tcW w:w="1943" w:type="dxa"/>
          </w:tcPr>
          <w:p w14:paraId="420DC57D" w14:textId="77777777" w:rsidR="00C3544B" w:rsidRPr="006222EA" w:rsidRDefault="00C3544B" w:rsidP="00462CE5">
            <w:pPr>
              <w:pStyle w:val="TableTextEntries"/>
              <w:contextualSpacing/>
            </w:pPr>
          </w:p>
        </w:tc>
      </w:tr>
      <w:tr w:rsidR="00C3544B" w:rsidRPr="006222EA" w14:paraId="420DC583"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80" w14:textId="77777777" w:rsidR="00C3544B" w:rsidRPr="006222EA" w:rsidRDefault="00C3544B" w:rsidP="00462CE5">
            <w:pPr>
              <w:pStyle w:val="TableTextEntries"/>
              <w:contextualSpacing/>
            </w:pPr>
            <w:r w:rsidRPr="006222EA">
              <w:t xml:space="preserve">Conflict </w:t>
            </w:r>
            <w:r>
              <w:t>p</w:t>
            </w:r>
            <w:r w:rsidRPr="006222EA">
              <w:t xml:space="preserve">revention and </w:t>
            </w:r>
            <w:r>
              <w:t>r</w:t>
            </w:r>
            <w:r w:rsidRPr="006222EA">
              <w:t>esolution</w:t>
            </w:r>
          </w:p>
        </w:tc>
        <w:tc>
          <w:tcPr>
            <w:tcW w:w="1673" w:type="dxa"/>
          </w:tcPr>
          <w:p w14:paraId="420DC581" w14:textId="77777777" w:rsidR="00C3544B" w:rsidRPr="006222EA" w:rsidRDefault="00C3544B" w:rsidP="00462CE5">
            <w:pPr>
              <w:pStyle w:val="TableTextEntries"/>
              <w:contextualSpacing/>
            </w:pPr>
            <w:r w:rsidRPr="006222EA">
              <w:t>1.1</w:t>
            </w:r>
          </w:p>
        </w:tc>
        <w:tc>
          <w:tcPr>
            <w:tcW w:w="1943" w:type="dxa"/>
          </w:tcPr>
          <w:p w14:paraId="420DC582" w14:textId="77777777" w:rsidR="00C3544B" w:rsidRPr="006222EA" w:rsidRDefault="00C3544B" w:rsidP="00462CE5">
            <w:pPr>
              <w:pStyle w:val="TableTextEntries"/>
              <w:contextualSpacing/>
            </w:pPr>
          </w:p>
        </w:tc>
      </w:tr>
      <w:tr w:rsidR="00C3544B" w:rsidRPr="006222EA" w14:paraId="420DC588"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85" w14:textId="77777777" w:rsidR="00C3544B" w:rsidRPr="006222EA" w:rsidRDefault="00C3544B" w:rsidP="00462CE5">
            <w:pPr>
              <w:pStyle w:val="TableTextEntries"/>
              <w:contextualSpacing/>
              <w:rPr>
                <w:b/>
              </w:rPr>
            </w:pPr>
            <w:r w:rsidRPr="006222EA">
              <w:rPr>
                <w:b/>
              </w:rPr>
              <w:t>Total</w:t>
            </w:r>
          </w:p>
        </w:tc>
        <w:tc>
          <w:tcPr>
            <w:tcW w:w="1673" w:type="dxa"/>
            <w:shd w:val="clear" w:color="auto" w:fill="BFBFBF" w:themeFill="background1" w:themeFillShade="BF"/>
          </w:tcPr>
          <w:p w14:paraId="420DC586" w14:textId="77777777" w:rsidR="00C3544B" w:rsidRPr="006222EA" w:rsidRDefault="00C3544B" w:rsidP="00462CE5">
            <w:pPr>
              <w:pStyle w:val="TableTextEntries"/>
              <w:contextualSpacing/>
              <w:rPr>
                <w:b/>
              </w:rPr>
            </w:pPr>
            <w:r w:rsidRPr="006222EA">
              <w:rPr>
                <w:b/>
              </w:rPr>
              <w:t>1.9</w:t>
            </w:r>
          </w:p>
        </w:tc>
        <w:tc>
          <w:tcPr>
            <w:tcW w:w="1943" w:type="dxa"/>
            <w:shd w:val="clear" w:color="auto" w:fill="BFBFBF" w:themeFill="background1" w:themeFillShade="BF"/>
          </w:tcPr>
          <w:p w14:paraId="420DC587" w14:textId="77777777" w:rsidR="00C3544B" w:rsidRPr="006222EA" w:rsidRDefault="00C3544B" w:rsidP="00462CE5">
            <w:pPr>
              <w:pStyle w:val="TableTextEntries"/>
              <w:contextualSpacing/>
              <w:rPr>
                <w:b/>
              </w:rPr>
            </w:pPr>
            <w:r w:rsidRPr="006222EA">
              <w:rPr>
                <w:b/>
              </w:rPr>
              <w:t>2.0</w:t>
            </w:r>
          </w:p>
        </w:tc>
      </w:tr>
      <w:tr w:rsidR="00C3544B" w:rsidRPr="006222EA" w14:paraId="420DC58D"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tcPr>
          <w:p w14:paraId="420DC58A" w14:textId="77777777" w:rsidR="00C3544B" w:rsidRPr="006222EA" w:rsidRDefault="00C3544B" w:rsidP="00462CE5">
            <w:pPr>
              <w:pStyle w:val="TableTextEntries"/>
              <w:contextualSpacing/>
            </w:pPr>
            <w:r w:rsidRPr="006222EA">
              <w:t xml:space="preserve">General </w:t>
            </w:r>
            <w:r>
              <w:t>d</w:t>
            </w:r>
            <w:r w:rsidRPr="006222EA">
              <w:t xml:space="preserve">evelopment </w:t>
            </w:r>
            <w:r>
              <w:t>s</w:t>
            </w:r>
            <w:r w:rsidRPr="006222EA">
              <w:t>upport</w:t>
            </w:r>
          </w:p>
        </w:tc>
        <w:tc>
          <w:tcPr>
            <w:tcW w:w="1673" w:type="dxa"/>
          </w:tcPr>
          <w:p w14:paraId="420DC58B" w14:textId="77777777" w:rsidR="00C3544B" w:rsidRPr="006222EA" w:rsidRDefault="00C3544B" w:rsidP="00462CE5">
            <w:pPr>
              <w:pStyle w:val="TableTextEntries"/>
              <w:contextualSpacing/>
            </w:pPr>
            <w:r w:rsidRPr="006222EA">
              <w:t>15.4</w:t>
            </w:r>
          </w:p>
        </w:tc>
        <w:tc>
          <w:tcPr>
            <w:tcW w:w="1943" w:type="dxa"/>
          </w:tcPr>
          <w:p w14:paraId="420DC58C" w14:textId="77777777" w:rsidR="00C3544B" w:rsidRPr="006222EA" w:rsidRDefault="00C3544B" w:rsidP="00462CE5">
            <w:pPr>
              <w:pStyle w:val="TableTextEntries"/>
              <w:contextualSpacing/>
            </w:pPr>
          </w:p>
        </w:tc>
      </w:tr>
      <w:tr w:rsidR="00C3544B" w:rsidRPr="006222EA" w14:paraId="420DC592"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8F" w14:textId="77777777" w:rsidR="00C3544B" w:rsidRPr="006222EA" w:rsidRDefault="00C3544B" w:rsidP="00462CE5">
            <w:pPr>
              <w:pStyle w:val="TableTextEntries"/>
              <w:contextualSpacing/>
              <w:rPr>
                <w:b/>
              </w:rPr>
            </w:pPr>
            <w:r w:rsidRPr="006222EA">
              <w:rPr>
                <w:b/>
              </w:rPr>
              <w:t>Total</w:t>
            </w:r>
          </w:p>
        </w:tc>
        <w:tc>
          <w:tcPr>
            <w:tcW w:w="1673" w:type="dxa"/>
            <w:shd w:val="clear" w:color="auto" w:fill="BFBFBF" w:themeFill="background1" w:themeFillShade="BF"/>
          </w:tcPr>
          <w:p w14:paraId="420DC590" w14:textId="77777777" w:rsidR="00C3544B" w:rsidRPr="006222EA" w:rsidRDefault="00C3544B" w:rsidP="00462CE5">
            <w:pPr>
              <w:pStyle w:val="TableTextEntries"/>
              <w:contextualSpacing/>
              <w:rPr>
                <w:b/>
              </w:rPr>
            </w:pPr>
            <w:r w:rsidRPr="006222EA">
              <w:rPr>
                <w:b/>
              </w:rPr>
              <w:t>15.4</w:t>
            </w:r>
          </w:p>
        </w:tc>
        <w:tc>
          <w:tcPr>
            <w:tcW w:w="1943" w:type="dxa"/>
            <w:shd w:val="clear" w:color="auto" w:fill="BFBFBF" w:themeFill="background1" w:themeFillShade="BF"/>
          </w:tcPr>
          <w:p w14:paraId="420DC591" w14:textId="77777777" w:rsidR="00C3544B" w:rsidRPr="006222EA" w:rsidRDefault="00C3544B" w:rsidP="00462CE5">
            <w:pPr>
              <w:pStyle w:val="TableTextEntries"/>
              <w:contextualSpacing/>
              <w:rPr>
                <w:b/>
              </w:rPr>
            </w:pPr>
            <w:r w:rsidRPr="006222EA">
              <w:rPr>
                <w:b/>
              </w:rPr>
              <w:t>16.1</w:t>
            </w:r>
          </w:p>
        </w:tc>
      </w:tr>
      <w:tr w:rsidR="00C3544B" w:rsidRPr="006222EA" w14:paraId="420DC597" w14:textId="77777777" w:rsidTr="005247A7">
        <w:trPr>
          <w:cnfStyle w:val="000000010000" w:firstRow="0" w:lastRow="0" w:firstColumn="0" w:lastColumn="0" w:oddVBand="0" w:evenVBand="0" w:oddHBand="0" w:evenHBand="1" w:firstRowFirstColumn="0" w:firstRowLastColumn="0" w:lastRowFirstColumn="0" w:lastRowLastColumn="0"/>
        </w:trPr>
        <w:tc>
          <w:tcPr>
            <w:tcW w:w="4347" w:type="dxa"/>
            <w:shd w:val="clear" w:color="auto" w:fill="BFBFBF" w:themeFill="background1" w:themeFillShade="BF"/>
          </w:tcPr>
          <w:p w14:paraId="420DC594" w14:textId="77777777" w:rsidR="00C3544B" w:rsidRPr="006222EA" w:rsidRDefault="00C3544B" w:rsidP="00462CE5">
            <w:pPr>
              <w:pStyle w:val="TableTextEntries"/>
              <w:contextualSpacing/>
              <w:rPr>
                <w:b/>
              </w:rPr>
            </w:pPr>
          </w:p>
        </w:tc>
        <w:tc>
          <w:tcPr>
            <w:tcW w:w="1673" w:type="dxa"/>
            <w:shd w:val="clear" w:color="auto" w:fill="BFBFBF" w:themeFill="background1" w:themeFillShade="BF"/>
          </w:tcPr>
          <w:p w14:paraId="420DC595" w14:textId="77777777" w:rsidR="00C3544B" w:rsidRPr="006222EA" w:rsidRDefault="00C3544B" w:rsidP="00462CE5">
            <w:pPr>
              <w:pStyle w:val="TableTextEntries"/>
              <w:contextualSpacing/>
              <w:rPr>
                <w:b/>
              </w:rPr>
            </w:pPr>
            <w:r w:rsidRPr="006222EA">
              <w:rPr>
                <w:b/>
              </w:rPr>
              <w:t>95.6</w:t>
            </w:r>
          </w:p>
        </w:tc>
        <w:tc>
          <w:tcPr>
            <w:tcW w:w="1943" w:type="dxa"/>
            <w:shd w:val="clear" w:color="auto" w:fill="BFBFBF" w:themeFill="background1" w:themeFillShade="BF"/>
          </w:tcPr>
          <w:p w14:paraId="420DC596" w14:textId="77777777" w:rsidR="00C3544B" w:rsidRPr="006222EA" w:rsidRDefault="00C3544B" w:rsidP="00462CE5">
            <w:pPr>
              <w:pStyle w:val="TableTextEntries"/>
              <w:contextualSpacing/>
              <w:rPr>
                <w:b/>
              </w:rPr>
            </w:pPr>
            <w:r w:rsidRPr="006222EA">
              <w:rPr>
                <w:b/>
              </w:rPr>
              <w:t>100</w:t>
            </w:r>
          </w:p>
        </w:tc>
      </w:tr>
    </w:tbl>
    <w:p w14:paraId="420DC598" w14:textId="46CA32E9" w:rsidR="00CF6793" w:rsidRDefault="00A477C1" w:rsidP="0090035E">
      <w:pPr>
        <w:pStyle w:val="Note"/>
        <w:contextualSpacing/>
      </w:pPr>
      <w:r>
        <w:t>Note:</w:t>
      </w:r>
      <w:r w:rsidR="0090035E">
        <w:t xml:space="preserve"> Any minor errors are due to rounding of figures.</w:t>
      </w:r>
    </w:p>
    <w:p w14:paraId="420DC599" w14:textId="560FDDEC" w:rsidR="00CF6793" w:rsidRDefault="00CF6793" w:rsidP="00CF6793">
      <w:pPr>
        <w:rPr>
          <w:rFonts w:ascii="Arial" w:eastAsia="Times New Roman" w:hAnsi="Arial" w:cs="Arial"/>
          <w:color w:val="7E6D5F"/>
          <w:szCs w:val="19"/>
        </w:rPr>
      </w:pPr>
    </w:p>
    <w:p w14:paraId="420DC59A" w14:textId="77777777" w:rsidR="00E70948" w:rsidRPr="006222EA" w:rsidRDefault="00E70948" w:rsidP="00465AAF">
      <w:pPr>
        <w:pStyle w:val="Caption"/>
        <w:contextualSpacing/>
      </w:pPr>
      <w:r w:rsidRPr="006222EA">
        <w:t>Table 1B Estimated expenditure in FY 2012</w:t>
      </w:r>
      <w:r w:rsidR="00A30CE4">
        <w:t>–</w:t>
      </w:r>
      <w:r w:rsidRPr="006222EA">
        <w:t>13</w:t>
      </w:r>
    </w:p>
    <w:tbl>
      <w:tblPr>
        <w:tblStyle w:val="APPR"/>
        <w:tblW w:w="5000" w:type="pct"/>
        <w:tblLayout w:type="fixed"/>
        <w:tblLook w:val="0000" w:firstRow="0" w:lastRow="0" w:firstColumn="0" w:lastColumn="0" w:noHBand="0" w:noVBand="0"/>
      </w:tblPr>
      <w:tblGrid>
        <w:gridCol w:w="4678"/>
        <w:gridCol w:w="1813"/>
        <w:gridCol w:w="2115"/>
      </w:tblGrid>
      <w:tr w:rsidR="00C3544B" w:rsidRPr="006222EA" w14:paraId="420DC59F"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9C" w14:textId="77777777" w:rsidR="00C3544B" w:rsidRPr="006222EA" w:rsidRDefault="00C3544B" w:rsidP="00462CE5">
            <w:pPr>
              <w:pStyle w:val="TableTextColumnHeading"/>
              <w:contextualSpacing/>
            </w:pPr>
            <w:r w:rsidRPr="006222EA">
              <w:t>Sector</w:t>
            </w:r>
          </w:p>
        </w:tc>
        <w:tc>
          <w:tcPr>
            <w:tcW w:w="1785" w:type="dxa"/>
          </w:tcPr>
          <w:p w14:paraId="420DC59D" w14:textId="77777777" w:rsidR="00C3544B" w:rsidRPr="006222EA" w:rsidRDefault="00C3544B" w:rsidP="00462CE5">
            <w:pPr>
              <w:pStyle w:val="TableTextColumnHeading"/>
              <w:contextualSpacing/>
            </w:pPr>
            <w:r w:rsidRPr="006222EA">
              <w:t>A$ million</w:t>
            </w:r>
          </w:p>
        </w:tc>
        <w:tc>
          <w:tcPr>
            <w:tcW w:w="2073" w:type="dxa"/>
          </w:tcPr>
          <w:p w14:paraId="420DC59E" w14:textId="77777777" w:rsidR="00C3544B" w:rsidRPr="006222EA" w:rsidRDefault="00C3544B" w:rsidP="00462CE5">
            <w:pPr>
              <w:pStyle w:val="TableTextColumnHeading"/>
              <w:contextualSpacing/>
            </w:pPr>
            <w:r w:rsidRPr="006222EA">
              <w:t>% of regional program</w:t>
            </w:r>
          </w:p>
        </w:tc>
      </w:tr>
      <w:tr w:rsidR="00C3544B" w:rsidRPr="006222EA" w14:paraId="420DC5A4"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A1" w14:textId="77777777" w:rsidR="00C3544B" w:rsidRPr="006222EA" w:rsidRDefault="00C3544B" w:rsidP="00462CE5">
            <w:pPr>
              <w:pStyle w:val="TableTextEntries"/>
              <w:contextualSpacing/>
            </w:pPr>
            <w:r w:rsidRPr="006222EA">
              <w:t>Health</w:t>
            </w:r>
          </w:p>
        </w:tc>
        <w:tc>
          <w:tcPr>
            <w:tcW w:w="1785" w:type="dxa"/>
          </w:tcPr>
          <w:p w14:paraId="420DC5A2" w14:textId="77777777" w:rsidR="00C3544B" w:rsidRPr="006222EA" w:rsidRDefault="00C3544B" w:rsidP="00462CE5">
            <w:pPr>
              <w:pStyle w:val="TableTextEntries"/>
              <w:contextualSpacing/>
            </w:pPr>
            <w:r w:rsidRPr="006222EA">
              <w:t>15.9</w:t>
            </w:r>
          </w:p>
        </w:tc>
        <w:tc>
          <w:tcPr>
            <w:tcW w:w="2073" w:type="dxa"/>
          </w:tcPr>
          <w:p w14:paraId="420DC5A3" w14:textId="77777777" w:rsidR="00C3544B" w:rsidRPr="006222EA" w:rsidRDefault="00C3544B" w:rsidP="00462CE5">
            <w:pPr>
              <w:pStyle w:val="TableTextEntries"/>
              <w:contextualSpacing/>
            </w:pPr>
          </w:p>
        </w:tc>
      </w:tr>
      <w:tr w:rsidR="00C3544B" w:rsidRPr="006222EA" w14:paraId="420DC5A9"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A6" w14:textId="77777777" w:rsidR="00C3544B" w:rsidRPr="006222EA" w:rsidRDefault="00C3544B" w:rsidP="00462CE5">
            <w:pPr>
              <w:pStyle w:val="TableTextEntries"/>
              <w:contextualSpacing/>
              <w:rPr>
                <w:b/>
              </w:rPr>
            </w:pPr>
            <w:r w:rsidRPr="006222EA">
              <w:rPr>
                <w:b/>
              </w:rPr>
              <w:t>Total</w:t>
            </w:r>
          </w:p>
        </w:tc>
        <w:tc>
          <w:tcPr>
            <w:tcW w:w="1785" w:type="dxa"/>
            <w:shd w:val="clear" w:color="auto" w:fill="BFBFBF" w:themeFill="background1" w:themeFillShade="BF"/>
          </w:tcPr>
          <w:p w14:paraId="420DC5A7" w14:textId="77777777" w:rsidR="00C3544B" w:rsidRPr="006222EA" w:rsidRDefault="00C3544B" w:rsidP="00462CE5">
            <w:pPr>
              <w:pStyle w:val="TableTextEntries"/>
              <w:contextualSpacing/>
              <w:rPr>
                <w:b/>
              </w:rPr>
            </w:pPr>
            <w:r w:rsidRPr="006222EA">
              <w:rPr>
                <w:b/>
              </w:rPr>
              <w:t>15.9</w:t>
            </w:r>
          </w:p>
        </w:tc>
        <w:tc>
          <w:tcPr>
            <w:tcW w:w="2073" w:type="dxa"/>
            <w:shd w:val="clear" w:color="auto" w:fill="BFBFBF" w:themeFill="background1" w:themeFillShade="BF"/>
          </w:tcPr>
          <w:p w14:paraId="420DC5A8" w14:textId="77777777" w:rsidR="00C3544B" w:rsidRPr="006222EA" w:rsidRDefault="00C3544B" w:rsidP="00462CE5">
            <w:pPr>
              <w:pStyle w:val="TableTextEntries"/>
              <w:contextualSpacing/>
              <w:rPr>
                <w:b/>
              </w:rPr>
            </w:pPr>
            <w:r w:rsidRPr="006222EA">
              <w:rPr>
                <w:b/>
              </w:rPr>
              <w:t>8.2</w:t>
            </w:r>
          </w:p>
        </w:tc>
      </w:tr>
      <w:tr w:rsidR="00C3544B" w:rsidRPr="006222EA" w14:paraId="420DC5AE"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AB" w14:textId="77777777" w:rsidR="00C3544B" w:rsidRPr="006222EA" w:rsidRDefault="00C3544B" w:rsidP="00462CE5">
            <w:pPr>
              <w:pStyle w:val="TableTextEntries"/>
              <w:contextualSpacing/>
            </w:pPr>
            <w:r w:rsidRPr="006222EA">
              <w:t>Education</w:t>
            </w:r>
          </w:p>
        </w:tc>
        <w:tc>
          <w:tcPr>
            <w:tcW w:w="1785" w:type="dxa"/>
          </w:tcPr>
          <w:p w14:paraId="420DC5AC" w14:textId="77777777" w:rsidR="00C3544B" w:rsidRPr="006222EA" w:rsidRDefault="00C3544B" w:rsidP="00462CE5">
            <w:pPr>
              <w:pStyle w:val="TableTextEntries"/>
              <w:contextualSpacing/>
            </w:pPr>
            <w:r w:rsidRPr="006222EA">
              <w:t>42.9</w:t>
            </w:r>
          </w:p>
        </w:tc>
        <w:tc>
          <w:tcPr>
            <w:tcW w:w="2073" w:type="dxa"/>
          </w:tcPr>
          <w:p w14:paraId="420DC5AD" w14:textId="77777777" w:rsidR="00C3544B" w:rsidRPr="006222EA" w:rsidRDefault="00C3544B" w:rsidP="00462CE5">
            <w:pPr>
              <w:pStyle w:val="TableTextEntries"/>
              <w:contextualSpacing/>
            </w:pPr>
          </w:p>
        </w:tc>
      </w:tr>
      <w:tr w:rsidR="00C3544B" w:rsidRPr="006222EA" w14:paraId="420DC5B3"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B0" w14:textId="77777777" w:rsidR="00C3544B" w:rsidRPr="006222EA" w:rsidRDefault="00C3544B" w:rsidP="00462CE5">
            <w:pPr>
              <w:pStyle w:val="TableTextEntries"/>
              <w:contextualSpacing/>
              <w:rPr>
                <w:b/>
              </w:rPr>
            </w:pPr>
            <w:r w:rsidRPr="006222EA">
              <w:rPr>
                <w:b/>
              </w:rPr>
              <w:t>Total</w:t>
            </w:r>
          </w:p>
        </w:tc>
        <w:tc>
          <w:tcPr>
            <w:tcW w:w="1785" w:type="dxa"/>
            <w:shd w:val="clear" w:color="auto" w:fill="BFBFBF" w:themeFill="background1" w:themeFillShade="BF"/>
          </w:tcPr>
          <w:p w14:paraId="420DC5B1" w14:textId="77777777" w:rsidR="00C3544B" w:rsidRPr="006222EA" w:rsidRDefault="00C3544B" w:rsidP="00462CE5">
            <w:pPr>
              <w:pStyle w:val="TableTextEntries"/>
              <w:contextualSpacing/>
              <w:rPr>
                <w:b/>
              </w:rPr>
            </w:pPr>
            <w:r w:rsidRPr="006222EA">
              <w:rPr>
                <w:b/>
              </w:rPr>
              <w:t>42.9</w:t>
            </w:r>
          </w:p>
        </w:tc>
        <w:tc>
          <w:tcPr>
            <w:tcW w:w="2073" w:type="dxa"/>
            <w:shd w:val="clear" w:color="auto" w:fill="BFBFBF" w:themeFill="background1" w:themeFillShade="BF"/>
          </w:tcPr>
          <w:p w14:paraId="420DC5B2" w14:textId="77777777" w:rsidR="00C3544B" w:rsidRPr="006222EA" w:rsidRDefault="00C3544B" w:rsidP="00462CE5">
            <w:pPr>
              <w:pStyle w:val="TableTextEntries"/>
              <w:contextualSpacing/>
              <w:rPr>
                <w:b/>
              </w:rPr>
            </w:pPr>
            <w:r w:rsidRPr="006222EA">
              <w:rPr>
                <w:b/>
              </w:rPr>
              <w:t>22.1</w:t>
            </w:r>
          </w:p>
        </w:tc>
      </w:tr>
      <w:tr w:rsidR="00C3544B" w:rsidRPr="006222EA" w14:paraId="420DC5B8"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B5" w14:textId="77777777" w:rsidR="00C3544B" w:rsidRPr="006222EA" w:rsidRDefault="00C3544B" w:rsidP="00462CE5">
            <w:pPr>
              <w:pStyle w:val="TableTextEntries"/>
              <w:contextualSpacing/>
            </w:pPr>
            <w:r>
              <w:t>Environment and n</w:t>
            </w:r>
            <w:r w:rsidRPr="006222EA">
              <w:t xml:space="preserve">atural </w:t>
            </w:r>
            <w:r>
              <w:t>resource m</w:t>
            </w:r>
            <w:r w:rsidRPr="006222EA">
              <w:t>anagement</w:t>
            </w:r>
          </w:p>
        </w:tc>
        <w:tc>
          <w:tcPr>
            <w:tcW w:w="1785" w:type="dxa"/>
          </w:tcPr>
          <w:p w14:paraId="420DC5B6" w14:textId="77777777" w:rsidR="00C3544B" w:rsidRPr="006222EA" w:rsidRDefault="00C3544B" w:rsidP="00462CE5">
            <w:pPr>
              <w:pStyle w:val="TableTextEntries"/>
              <w:contextualSpacing/>
            </w:pPr>
            <w:r w:rsidRPr="006222EA">
              <w:t>38.6</w:t>
            </w:r>
          </w:p>
        </w:tc>
        <w:tc>
          <w:tcPr>
            <w:tcW w:w="2073" w:type="dxa"/>
          </w:tcPr>
          <w:p w14:paraId="420DC5B7" w14:textId="77777777" w:rsidR="00C3544B" w:rsidRPr="006222EA" w:rsidRDefault="00C3544B" w:rsidP="00462CE5">
            <w:pPr>
              <w:pStyle w:val="TableTextEntries"/>
              <w:contextualSpacing/>
            </w:pPr>
          </w:p>
        </w:tc>
      </w:tr>
      <w:tr w:rsidR="00C3544B" w:rsidRPr="006222EA" w14:paraId="420DC5BD"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BA" w14:textId="77777777" w:rsidR="00C3544B" w:rsidRPr="006222EA" w:rsidRDefault="00C3544B" w:rsidP="00462CE5">
            <w:pPr>
              <w:pStyle w:val="TableTextEntries"/>
              <w:contextualSpacing/>
            </w:pPr>
            <w:r>
              <w:t>Food s</w:t>
            </w:r>
            <w:r w:rsidRPr="006222EA">
              <w:t>ecurity</w:t>
            </w:r>
          </w:p>
        </w:tc>
        <w:tc>
          <w:tcPr>
            <w:tcW w:w="1785" w:type="dxa"/>
          </w:tcPr>
          <w:p w14:paraId="420DC5BB" w14:textId="77777777" w:rsidR="00C3544B" w:rsidRPr="006222EA" w:rsidRDefault="00C3544B" w:rsidP="00462CE5">
            <w:pPr>
              <w:pStyle w:val="TableTextEntries"/>
              <w:contextualSpacing/>
            </w:pPr>
            <w:r w:rsidRPr="006222EA">
              <w:t>5.5</w:t>
            </w:r>
          </w:p>
        </w:tc>
        <w:tc>
          <w:tcPr>
            <w:tcW w:w="2073" w:type="dxa"/>
          </w:tcPr>
          <w:p w14:paraId="420DC5BC" w14:textId="77777777" w:rsidR="00C3544B" w:rsidRPr="006222EA" w:rsidRDefault="00C3544B" w:rsidP="00462CE5">
            <w:pPr>
              <w:pStyle w:val="TableTextEntries"/>
              <w:contextualSpacing/>
            </w:pPr>
          </w:p>
        </w:tc>
      </w:tr>
      <w:tr w:rsidR="00C3544B" w:rsidRPr="006222EA" w14:paraId="420DC5C2"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BF" w14:textId="77777777" w:rsidR="00C3544B" w:rsidRPr="006222EA" w:rsidRDefault="00C3544B" w:rsidP="00462CE5">
            <w:pPr>
              <w:pStyle w:val="TableTextEntries"/>
              <w:contextualSpacing/>
            </w:pPr>
            <w:r>
              <w:t>Infrastructure</w:t>
            </w:r>
          </w:p>
        </w:tc>
        <w:tc>
          <w:tcPr>
            <w:tcW w:w="1785" w:type="dxa"/>
          </w:tcPr>
          <w:p w14:paraId="420DC5C0" w14:textId="77777777" w:rsidR="00C3544B" w:rsidRPr="006222EA" w:rsidRDefault="00C3544B" w:rsidP="00462CE5">
            <w:pPr>
              <w:pStyle w:val="TableTextEntries"/>
              <w:contextualSpacing/>
            </w:pPr>
            <w:r>
              <w:t>10.2</w:t>
            </w:r>
          </w:p>
        </w:tc>
        <w:tc>
          <w:tcPr>
            <w:tcW w:w="2073" w:type="dxa"/>
          </w:tcPr>
          <w:p w14:paraId="420DC5C1" w14:textId="77777777" w:rsidR="00C3544B" w:rsidRPr="006222EA" w:rsidRDefault="00C3544B" w:rsidP="00462CE5">
            <w:pPr>
              <w:pStyle w:val="TableTextEntries"/>
              <w:contextualSpacing/>
            </w:pPr>
          </w:p>
        </w:tc>
      </w:tr>
      <w:tr w:rsidR="00C3544B" w:rsidRPr="006222EA" w14:paraId="420DC5C7"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C4" w14:textId="77777777" w:rsidR="00C3544B" w:rsidRPr="006222EA" w:rsidRDefault="00C3544B" w:rsidP="00462CE5">
            <w:pPr>
              <w:pStyle w:val="TableTextEntries"/>
              <w:contextualSpacing/>
            </w:pPr>
            <w:r w:rsidRPr="006222EA">
              <w:t xml:space="preserve">Business, </w:t>
            </w:r>
            <w:r>
              <w:t>finance and t</w:t>
            </w:r>
            <w:r w:rsidRPr="006222EA">
              <w:t>rade</w:t>
            </w:r>
          </w:p>
        </w:tc>
        <w:tc>
          <w:tcPr>
            <w:tcW w:w="1785" w:type="dxa"/>
          </w:tcPr>
          <w:p w14:paraId="420DC5C5" w14:textId="77777777" w:rsidR="00C3544B" w:rsidRPr="006222EA" w:rsidRDefault="00C3544B" w:rsidP="00462CE5">
            <w:pPr>
              <w:pStyle w:val="TableTextEntries"/>
              <w:contextualSpacing/>
            </w:pPr>
            <w:r w:rsidRPr="006222EA">
              <w:t>20.3</w:t>
            </w:r>
          </w:p>
        </w:tc>
        <w:tc>
          <w:tcPr>
            <w:tcW w:w="2073" w:type="dxa"/>
          </w:tcPr>
          <w:p w14:paraId="420DC5C6" w14:textId="77777777" w:rsidR="00C3544B" w:rsidRPr="006222EA" w:rsidRDefault="00C3544B" w:rsidP="00462CE5">
            <w:pPr>
              <w:pStyle w:val="TableTextEntries"/>
              <w:contextualSpacing/>
            </w:pPr>
          </w:p>
        </w:tc>
      </w:tr>
      <w:tr w:rsidR="00C3544B" w:rsidRPr="006222EA" w14:paraId="420DC5CC"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C9" w14:textId="77777777" w:rsidR="00C3544B" w:rsidRPr="006222EA" w:rsidRDefault="00C3544B" w:rsidP="00462CE5">
            <w:pPr>
              <w:pStyle w:val="TableTextEntries"/>
              <w:contextualSpacing/>
              <w:rPr>
                <w:b/>
              </w:rPr>
            </w:pPr>
            <w:r w:rsidRPr="006222EA">
              <w:rPr>
                <w:b/>
              </w:rPr>
              <w:t>Total</w:t>
            </w:r>
          </w:p>
        </w:tc>
        <w:tc>
          <w:tcPr>
            <w:tcW w:w="1785" w:type="dxa"/>
            <w:shd w:val="clear" w:color="auto" w:fill="BFBFBF" w:themeFill="background1" w:themeFillShade="BF"/>
          </w:tcPr>
          <w:p w14:paraId="420DC5CA" w14:textId="77777777" w:rsidR="00C3544B" w:rsidRPr="006222EA" w:rsidRDefault="00C3544B" w:rsidP="00462CE5">
            <w:pPr>
              <w:pStyle w:val="TableTextEntries"/>
              <w:contextualSpacing/>
              <w:rPr>
                <w:b/>
              </w:rPr>
            </w:pPr>
            <w:r w:rsidRPr="006222EA">
              <w:rPr>
                <w:b/>
              </w:rPr>
              <w:t>74.6</w:t>
            </w:r>
          </w:p>
        </w:tc>
        <w:tc>
          <w:tcPr>
            <w:tcW w:w="2073" w:type="dxa"/>
            <w:shd w:val="clear" w:color="auto" w:fill="BFBFBF" w:themeFill="background1" w:themeFillShade="BF"/>
          </w:tcPr>
          <w:p w14:paraId="420DC5CB" w14:textId="77777777" w:rsidR="00C3544B" w:rsidRPr="006222EA" w:rsidRDefault="00C3544B" w:rsidP="00462CE5">
            <w:pPr>
              <w:pStyle w:val="TableTextEntries"/>
              <w:contextualSpacing/>
              <w:rPr>
                <w:b/>
              </w:rPr>
            </w:pPr>
            <w:r w:rsidRPr="006222EA">
              <w:rPr>
                <w:b/>
              </w:rPr>
              <w:t>38.4</w:t>
            </w:r>
          </w:p>
        </w:tc>
      </w:tr>
      <w:tr w:rsidR="00C3544B" w:rsidRPr="006222EA" w14:paraId="420DC5D1"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CE" w14:textId="77777777" w:rsidR="00C3544B" w:rsidRPr="006222EA" w:rsidRDefault="00C3544B" w:rsidP="00462CE5">
            <w:pPr>
              <w:pStyle w:val="TableTextEntries"/>
              <w:contextualSpacing/>
            </w:pPr>
            <w:r>
              <w:t>Human r</w:t>
            </w:r>
            <w:r w:rsidRPr="006222EA">
              <w:t>ights</w:t>
            </w:r>
          </w:p>
        </w:tc>
        <w:tc>
          <w:tcPr>
            <w:tcW w:w="1785" w:type="dxa"/>
          </w:tcPr>
          <w:p w14:paraId="420DC5CF" w14:textId="77777777" w:rsidR="00C3544B" w:rsidRPr="006222EA" w:rsidRDefault="00C3544B" w:rsidP="00462CE5">
            <w:pPr>
              <w:pStyle w:val="TableTextEntries"/>
              <w:contextualSpacing/>
            </w:pPr>
            <w:r w:rsidRPr="006222EA">
              <w:t>10.1</w:t>
            </w:r>
          </w:p>
        </w:tc>
        <w:tc>
          <w:tcPr>
            <w:tcW w:w="2073" w:type="dxa"/>
          </w:tcPr>
          <w:p w14:paraId="420DC5D0" w14:textId="77777777" w:rsidR="00C3544B" w:rsidRPr="006222EA" w:rsidRDefault="00C3544B" w:rsidP="00462CE5">
            <w:pPr>
              <w:pStyle w:val="TableTextEntries"/>
              <w:contextualSpacing/>
            </w:pPr>
          </w:p>
        </w:tc>
      </w:tr>
      <w:tr w:rsidR="00C3544B" w:rsidRPr="006222EA" w14:paraId="420DC5D6"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D3" w14:textId="77777777" w:rsidR="00C3544B" w:rsidRPr="006222EA" w:rsidRDefault="00C3544B" w:rsidP="00462CE5">
            <w:pPr>
              <w:pStyle w:val="TableTextEntries"/>
              <w:contextualSpacing/>
            </w:pPr>
            <w:r w:rsidRPr="006222EA">
              <w:t xml:space="preserve">Security and </w:t>
            </w:r>
            <w:r>
              <w:t>j</w:t>
            </w:r>
            <w:r w:rsidRPr="006222EA">
              <w:t>ustice</w:t>
            </w:r>
          </w:p>
        </w:tc>
        <w:tc>
          <w:tcPr>
            <w:tcW w:w="1785" w:type="dxa"/>
          </w:tcPr>
          <w:p w14:paraId="420DC5D4" w14:textId="77777777" w:rsidR="00C3544B" w:rsidRPr="006222EA" w:rsidRDefault="00C3544B" w:rsidP="00462CE5">
            <w:pPr>
              <w:pStyle w:val="TableTextEntries"/>
              <w:contextualSpacing/>
            </w:pPr>
            <w:r w:rsidRPr="006222EA">
              <w:t>1.1</w:t>
            </w:r>
          </w:p>
        </w:tc>
        <w:tc>
          <w:tcPr>
            <w:tcW w:w="2073" w:type="dxa"/>
          </w:tcPr>
          <w:p w14:paraId="420DC5D5" w14:textId="77777777" w:rsidR="00C3544B" w:rsidRPr="006222EA" w:rsidRDefault="00C3544B" w:rsidP="00462CE5">
            <w:pPr>
              <w:pStyle w:val="TableTextEntries"/>
              <w:contextualSpacing/>
            </w:pPr>
          </w:p>
        </w:tc>
      </w:tr>
      <w:tr w:rsidR="00C3544B" w:rsidRPr="006222EA" w14:paraId="420DC5DB"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D8" w14:textId="77777777" w:rsidR="00C3544B" w:rsidRPr="006222EA" w:rsidRDefault="00C3544B" w:rsidP="00462CE5">
            <w:pPr>
              <w:pStyle w:val="TableTextEntries"/>
              <w:contextualSpacing/>
            </w:pPr>
            <w:r>
              <w:t>Improved g</w:t>
            </w:r>
            <w:r w:rsidRPr="006222EA">
              <w:t>overnment</w:t>
            </w:r>
          </w:p>
        </w:tc>
        <w:tc>
          <w:tcPr>
            <w:tcW w:w="1785" w:type="dxa"/>
          </w:tcPr>
          <w:p w14:paraId="420DC5D9" w14:textId="77777777" w:rsidR="00C3544B" w:rsidRPr="006222EA" w:rsidRDefault="00C3544B" w:rsidP="00462CE5">
            <w:pPr>
              <w:pStyle w:val="TableTextEntries"/>
              <w:contextualSpacing/>
            </w:pPr>
            <w:r w:rsidRPr="006222EA">
              <w:t>24.6</w:t>
            </w:r>
          </w:p>
        </w:tc>
        <w:tc>
          <w:tcPr>
            <w:tcW w:w="2073" w:type="dxa"/>
          </w:tcPr>
          <w:p w14:paraId="420DC5DA" w14:textId="77777777" w:rsidR="00C3544B" w:rsidRPr="006222EA" w:rsidRDefault="00C3544B" w:rsidP="00462CE5">
            <w:pPr>
              <w:pStyle w:val="TableTextEntries"/>
              <w:contextualSpacing/>
            </w:pPr>
          </w:p>
        </w:tc>
      </w:tr>
      <w:tr w:rsidR="00C3544B" w:rsidRPr="006222EA" w14:paraId="420DC5E0"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DD" w14:textId="77777777" w:rsidR="00C3544B" w:rsidRPr="006222EA" w:rsidRDefault="00C3544B" w:rsidP="00462CE5">
            <w:pPr>
              <w:pStyle w:val="TableTextEntries"/>
              <w:contextualSpacing/>
              <w:rPr>
                <w:b/>
              </w:rPr>
            </w:pPr>
            <w:r w:rsidRPr="006222EA">
              <w:rPr>
                <w:b/>
              </w:rPr>
              <w:t>Total</w:t>
            </w:r>
          </w:p>
        </w:tc>
        <w:tc>
          <w:tcPr>
            <w:tcW w:w="1785" w:type="dxa"/>
            <w:shd w:val="clear" w:color="auto" w:fill="BFBFBF" w:themeFill="background1" w:themeFillShade="BF"/>
          </w:tcPr>
          <w:p w14:paraId="420DC5DE" w14:textId="77777777" w:rsidR="00C3544B" w:rsidRPr="006222EA" w:rsidRDefault="00C3544B" w:rsidP="00462CE5">
            <w:pPr>
              <w:pStyle w:val="TableTextEntries"/>
              <w:contextualSpacing/>
              <w:rPr>
                <w:b/>
              </w:rPr>
            </w:pPr>
            <w:r w:rsidRPr="006222EA">
              <w:rPr>
                <w:b/>
              </w:rPr>
              <w:t>35.8</w:t>
            </w:r>
          </w:p>
        </w:tc>
        <w:tc>
          <w:tcPr>
            <w:tcW w:w="2073" w:type="dxa"/>
            <w:shd w:val="clear" w:color="auto" w:fill="BFBFBF" w:themeFill="background1" w:themeFillShade="BF"/>
          </w:tcPr>
          <w:p w14:paraId="420DC5DF" w14:textId="77777777" w:rsidR="00C3544B" w:rsidRPr="006222EA" w:rsidRDefault="00C3544B" w:rsidP="00462CE5">
            <w:pPr>
              <w:pStyle w:val="TableTextEntries"/>
              <w:contextualSpacing/>
              <w:rPr>
                <w:b/>
              </w:rPr>
            </w:pPr>
            <w:r w:rsidRPr="006222EA">
              <w:rPr>
                <w:b/>
              </w:rPr>
              <w:t>18.4</w:t>
            </w:r>
          </w:p>
        </w:tc>
      </w:tr>
      <w:tr w:rsidR="00C3544B" w:rsidRPr="006222EA" w14:paraId="420DC5E5"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E2" w14:textId="77777777" w:rsidR="00C3544B" w:rsidRPr="006222EA" w:rsidRDefault="00C3544B" w:rsidP="00462CE5">
            <w:pPr>
              <w:pStyle w:val="TableTextEntries"/>
              <w:contextualSpacing/>
            </w:pPr>
            <w:r w:rsidRPr="006222EA">
              <w:t xml:space="preserve">Humanitarian </w:t>
            </w:r>
            <w:r>
              <w:t>r</w:t>
            </w:r>
            <w:r w:rsidRPr="006222EA">
              <w:t>esponse</w:t>
            </w:r>
          </w:p>
        </w:tc>
        <w:tc>
          <w:tcPr>
            <w:tcW w:w="1785" w:type="dxa"/>
          </w:tcPr>
          <w:p w14:paraId="420DC5E3" w14:textId="77777777" w:rsidR="00C3544B" w:rsidRPr="006222EA" w:rsidRDefault="00C3544B" w:rsidP="00462CE5">
            <w:pPr>
              <w:pStyle w:val="TableTextEntries"/>
              <w:contextualSpacing/>
            </w:pPr>
            <w:r w:rsidRPr="006222EA">
              <w:t>0.7</w:t>
            </w:r>
          </w:p>
        </w:tc>
        <w:tc>
          <w:tcPr>
            <w:tcW w:w="2073" w:type="dxa"/>
          </w:tcPr>
          <w:p w14:paraId="420DC5E4" w14:textId="77777777" w:rsidR="00C3544B" w:rsidRPr="006222EA" w:rsidRDefault="00C3544B" w:rsidP="00462CE5">
            <w:pPr>
              <w:pStyle w:val="TableTextEntries"/>
              <w:contextualSpacing/>
            </w:pPr>
          </w:p>
        </w:tc>
      </w:tr>
      <w:tr w:rsidR="00C3544B" w:rsidRPr="006222EA" w14:paraId="420DC5EA"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E7" w14:textId="77777777" w:rsidR="00C3544B" w:rsidRPr="006222EA" w:rsidRDefault="00C3544B" w:rsidP="00462CE5">
            <w:pPr>
              <w:pStyle w:val="TableTextEntries"/>
              <w:contextualSpacing/>
            </w:pPr>
            <w:r w:rsidRPr="006222EA">
              <w:t xml:space="preserve">Conflict </w:t>
            </w:r>
            <w:r>
              <w:t>p</w:t>
            </w:r>
            <w:r w:rsidRPr="006222EA">
              <w:t xml:space="preserve">revention and </w:t>
            </w:r>
            <w:r>
              <w:t>r</w:t>
            </w:r>
            <w:r w:rsidRPr="006222EA">
              <w:t>esolution</w:t>
            </w:r>
          </w:p>
        </w:tc>
        <w:tc>
          <w:tcPr>
            <w:tcW w:w="1785" w:type="dxa"/>
          </w:tcPr>
          <w:p w14:paraId="420DC5E8" w14:textId="77777777" w:rsidR="00C3544B" w:rsidRPr="006222EA" w:rsidRDefault="00C3544B" w:rsidP="00462CE5">
            <w:pPr>
              <w:pStyle w:val="TableTextEntries"/>
              <w:contextualSpacing/>
            </w:pPr>
            <w:r w:rsidRPr="006222EA">
              <w:t>5.6</w:t>
            </w:r>
          </w:p>
        </w:tc>
        <w:tc>
          <w:tcPr>
            <w:tcW w:w="2073" w:type="dxa"/>
          </w:tcPr>
          <w:p w14:paraId="420DC5E9" w14:textId="77777777" w:rsidR="00C3544B" w:rsidRPr="006222EA" w:rsidRDefault="00C3544B" w:rsidP="00462CE5">
            <w:pPr>
              <w:pStyle w:val="TableTextEntries"/>
              <w:contextualSpacing/>
            </w:pPr>
          </w:p>
        </w:tc>
      </w:tr>
      <w:tr w:rsidR="00C3544B" w:rsidRPr="006222EA" w14:paraId="420DC5EF"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EC" w14:textId="77777777" w:rsidR="00C3544B" w:rsidRPr="006222EA" w:rsidRDefault="00C3544B" w:rsidP="00462CE5">
            <w:pPr>
              <w:pStyle w:val="TableTextEntries"/>
              <w:contextualSpacing/>
              <w:rPr>
                <w:b/>
              </w:rPr>
            </w:pPr>
            <w:r w:rsidRPr="006222EA">
              <w:rPr>
                <w:b/>
              </w:rPr>
              <w:t>Total</w:t>
            </w:r>
          </w:p>
        </w:tc>
        <w:tc>
          <w:tcPr>
            <w:tcW w:w="1785" w:type="dxa"/>
            <w:shd w:val="clear" w:color="auto" w:fill="BFBFBF" w:themeFill="background1" w:themeFillShade="BF"/>
          </w:tcPr>
          <w:p w14:paraId="420DC5ED" w14:textId="77777777" w:rsidR="00C3544B" w:rsidRPr="006222EA" w:rsidRDefault="00C3544B" w:rsidP="00462CE5">
            <w:pPr>
              <w:pStyle w:val="TableTextEntries"/>
              <w:contextualSpacing/>
              <w:rPr>
                <w:b/>
              </w:rPr>
            </w:pPr>
            <w:r w:rsidRPr="006222EA">
              <w:rPr>
                <w:b/>
              </w:rPr>
              <w:t>6.3</w:t>
            </w:r>
          </w:p>
        </w:tc>
        <w:tc>
          <w:tcPr>
            <w:tcW w:w="2073" w:type="dxa"/>
            <w:shd w:val="clear" w:color="auto" w:fill="BFBFBF" w:themeFill="background1" w:themeFillShade="BF"/>
          </w:tcPr>
          <w:p w14:paraId="420DC5EE" w14:textId="77777777" w:rsidR="00C3544B" w:rsidRPr="006222EA" w:rsidRDefault="00C3544B" w:rsidP="00462CE5">
            <w:pPr>
              <w:pStyle w:val="TableTextEntries"/>
              <w:contextualSpacing/>
              <w:rPr>
                <w:b/>
              </w:rPr>
            </w:pPr>
            <w:r w:rsidRPr="006222EA">
              <w:rPr>
                <w:b/>
              </w:rPr>
              <w:t>3.2</w:t>
            </w:r>
          </w:p>
        </w:tc>
      </w:tr>
      <w:tr w:rsidR="00C3544B" w:rsidRPr="006222EA" w14:paraId="420DC5F4"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tcPr>
          <w:p w14:paraId="420DC5F1" w14:textId="77777777" w:rsidR="00C3544B" w:rsidRPr="006222EA" w:rsidRDefault="00C3544B" w:rsidP="00462CE5">
            <w:pPr>
              <w:pStyle w:val="TableTextEntries"/>
              <w:contextualSpacing/>
            </w:pPr>
            <w:r w:rsidRPr="006222EA">
              <w:t xml:space="preserve">General </w:t>
            </w:r>
            <w:r>
              <w:t>d</w:t>
            </w:r>
            <w:r w:rsidRPr="006222EA">
              <w:t xml:space="preserve">evelopment </w:t>
            </w:r>
            <w:r>
              <w:t>s</w:t>
            </w:r>
            <w:r w:rsidRPr="006222EA">
              <w:t>upport</w:t>
            </w:r>
          </w:p>
        </w:tc>
        <w:tc>
          <w:tcPr>
            <w:tcW w:w="1785" w:type="dxa"/>
          </w:tcPr>
          <w:p w14:paraId="420DC5F2" w14:textId="77777777" w:rsidR="00C3544B" w:rsidRPr="006222EA" w:rsidRDefault="00C3544B" w:rsidP="00462CE5">
            <w:pPr>
              <w:pStyle w:val="TableTextEntries"/>
              <w:contextualSpacing/>
            </w:pPr>
            <w:r w:rsidRPr="006222EA">
              <w:t>18.9</w:t>
            </w:r>
          </w:p>
        </w:tc>
        <w:tc>
          <w:tcPr>
            <w:tcW w:w="2073" w:type="dxa"/>
          </w:tcPr>
          <w:p w14:paraId="420DC5F3" w14:textId="77777777" w:rsidR="00C3544B" w:rsidRPr="006222EA" w:rsidRDefault="00C3544B" w:rsidP="00462CE5">
            <w:pPr>
              <w:pStyle w:val="TableTextEntries"/>
              <w:contextualSpacing/>
            </w:pPr>
          </w:p>
        </w:tc>
      </w:tr>
      <w:tr w:rsidR="00C3544B" w:rsidRPr="006222EA" w14:paraId="420DC5F9"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F6" w14:textId="77777777" w:rsidR="00C3544B" w:rsidRPr="006222EA" w:rsidRDefault="00C3544B" w:rsidP="00462CE5">
            <w:pPr>
              <w:pStyle w:val="TableTextEntries"/>
              <w:contextualSpacing/>
              <w:rPr>
                <w:b/>
              </w:rPr>
            </w:pPr>
            <w:r w:rsidRPr="006222EA">
              <w:rPr>
                <w:b/>
              </w:rPr>
              <w:t>Total</w:t>
            </w:r>
          </w:p>
        </w:tc>
        <w:tc>
          <w:tcPr>
            <w:tcW w:w="1785" w:type="dxa"/>
            <w:shd w:val="clear" w:color="auto" w:fill="BFBFBF" w:themeFill="background1" w:themeFillShade="BF"/>
          </w:tcPr>
          <w:p w14:paraId="420DC5F7" w14:textId="77777777" w:rsidR="00C3544B" w:rsidRPr="006222EA" w:rsidRDefault="00C3544B" w:rsidP="00462CE5">
            <w:pPr>
              <w:pStyle w:val="TableTextEntries"/>
              <w:contextualSpacing/>
              <w:rPr>
                <w:b/>
              </w:rPr>
            </w:pPr>
            <w:r w:rsidRPr="006222EA">
              <w:rPr>
                <w:b/>
              </w:rPr>
              <w:t>18.9</w:t>
            </w:r>
          </w:p>
        </w:tc>
        <w:tc>
          <w:tcPr>
            <w:tcW w:w="2073" w:type="dxa"/>
            <w:shd w:val="clear" w:color="auto" w:fill="BFBFBF" w:themeFill="background1" w:themeFillShade="BF"/>
          </w:tcPr>
          <w:p w14:paraId="420DC5F8" w14:textId="77777777" w:rsidR="00C3544B" w:rsidRPr="006222EA" w:rsidRDefault="00C3544B" w:rsidP="00462CE5">
            <w:pPr>
              <w:pStyle w:val="TableTextEntries"/>
              <w:contextualSpacing/>
              <w:rPr>
                <w:b/>
              </w:rPr>
            </w:pPr>
            <w:r w:rsidRPr="006222EA">
              <w:rPr>
                <w:b/>
              </w:rPr>
              <w:t>9.7</w:t>
            </w:r>
          </w:p>
        </w:tc>
      </w:tr>
      <w:tr w:rsidR="00C3544B" w:rsidRPr="006222EA" w14:paraId="420DC5FE" w14:textId="77777777" w:rsidTr="005247A7">
        <w:trPr>
          <w:cnfStyle w:val="000000010000" w:firstRow="0" w:lastRow="0" w:firstColumn="0" w:lastColumn="0" w:oddVBand="0" w:evenVBand="0" w:oddHBand="0" w:evenHBand="1" w:firstRowFirstColumn="0" w:firstRowLastColumn="0" w:lastRowFirstColumn="0" w:lastRowLastColumn="0"/>
        </w:trPr>
        <w:tc>
          <w:tcPr>
            <w:tcW w:w="4636" w:type="dxa"/>
            <w:shd w:val="clear" w:color="auto" w:fill="BFBFBF" w:themeFill="background1" w:themeFillShade="BF"/>
          </w:tcPr>
          <w:p w14:paraId="420DC5FB" w14:textId="77777777" w:rsidR="00C3544B" w:rsidRPr="006222EA" w:rsidRDefault="00C3544B" w:rsidP="00462CE5">
            <w:pPr>
              <w:pStyle w:val="TableTextEntries"/>
              <w:contextualSpacing/>
              <w:rPr>
                <w:b/>
              </w:rPr>
            </w:pPr>
          </w:p>
        </w:tc>
        <w:tc>
          <w:tcPr>
            <w:tcW w:w="1785" w:type="dxa"/>
            <w:shd w:val="clear" w:color="auto" w:fill="BFBFBF" w:themeFill="background1" w:themeFillShade="BF"/>
          </w:tcPr>
          <w:p w14:paraId="420DC5FC" w14:textId="77777777" w:rsidR="00C3544B" w:rsidRPr="006222EA" w:rsidRDefault="00C3544B" w:rsidP="00462CE5">
            <w:pPr>
              <w:pStyle w:val="TableTextEntries"/>
              <w:contextualSpacing/>
              <w:rPr>
                <w:b/>
              </w:rPr>
            </w:pPr>
            <w:r w:rsidRPr="006222EA">
              <w:rPr>
                <w:b/>
              </w:rPr>
              <w:t>194.3</w:t>
            </w:r>
          </w:p>
        </w:tc>
        <w:tc>
          <w:tcPr>
            <w:tcW w:w="2073" w:type="dxa"/>
            <w:shd w:val="clear" w:color="auto" w:fill="BFBFBF" w:themeFill="background1" w:themeFillShade="BF"/>
          </w:tcPr>
          <w:p w14:paraId="420DC5FD" w14:textId="77777777" w:rsidR="00C3544B" w:rsidRPr="006222EA" w:rsidRDefault="00C3544B" w:rsidP="00462CE5">
            <w:pPr>
              <w:pStyle w:val="TableTextEntries"/>
              <w:contextualSpacing/>
              <w:rPr>
                <w:b/>
              </w:rPr>
            </w:pPr>
            <w:r w:rsidRPr="006222EA">
              <w:rPr>
                <w:b/>
              </w:rPr>
              <w:t>100</w:t>
            </w:r>
          </w:p>
        </w:tc>
      </w:tr>
    </w:tbl>
    <w:p w14:paraId="420DC5FF" w14:textId="513F0BA1" w:rsidR="00465AAF" w:rsidRPr="006222EA" w:rsidRDefault="00A477C1" w:rsidP="00465AAF">
      <w:pPr>
        <w:pStyle w:val="Note"/>
        <w:contextualSpacing/>
      </w:pPr>
      <w:r>
        <w:t>Note: Any minor errors are due to rounding of figures.</w:t>
      </w:r>
    </w:p>
    <w:p w14:paraId="420DC600" w14:textId="77777777" w:rsidR="00152088" w:rsidRDefault="00152088">
      <w:pPr>
        <w:spacing w:after="200" w:line="276" w:lineRule="auto"/>
        <w:rPr>
          <w:rFonts w:ascii="Franklin Gothic Demi" w:eastAsia="Times New Roman" w:hAnsi="Franklin Gothic Demi" w:cs="Arial"/>
          <w:color w:val="AD495D"/>
          <w:kern w:val="28"/>
          <w:sz w:val="28"/>
          <w:szCs w:val="28"/>
        </w:rPr>
      </w:pPr>
      <w:r>
        <w:br w:type="page"/>
      </w:r>
    </w:p>
    <w:p w14:paraId="420DC601" w14:textId="77777777" w:rsidR="00180B19" w:rsidRPr="006222EA" w:rsidRDefault="00180B19" w:rsidP="00180B19">
      <w:pPr>
        <w:pStyle w:val="Heading1"/>
      </w:pPr>
      <w:r w:rsidRPr="006222EA">
        <w:lastRenderedPageBreak/>
        <w:t>Progress towards objectives</w:t>
      </w:r>
    </w:p>
    <w:p w14:paraId="420DC602" w14:textId="77777777" w:rsidR="001353F7" w:rsidRPr="006222EA" w:rsidRDefault="00E12830" w:rsidP="00CF6793">
      <w:pPr>
        <w:pStyle w:val="BodyText"/>
      </w:pPr>
      <w:r w:rsidRPr="006222EA">
        <w:t>To date, the regional program has primarily been assessed on the progress of individual activities</w:t>
      </w:r>
      <w:r w:rsidR="008F75B0" w:rsidRPr="006222EA">
        <w:t xml:space="preserve">. </w:t>
      </w:r>
      <w:r w:rsidRPr="006222EA">
        <w:t>O</w:t>
      </w:r>
      <w:r w:rsidR="00554C41">
        <w:t>verall program o</w:t>
      </w:r>
      <w:r w:rsidRPr="006222EA">
        <w:t xml:space="preserve">bjectives </w:t>
      </w:r>
      <w:r w:rsidR="00554C41">
        <w:t>were</w:t>
      </w:r>
      <w:r w:rsidR="00554C41" w:rsidRPr="006222EA">
        <w:t xml:space="preserve"> </w:t>
      </w:r>
      <w:r w:rsidRPr="006222EA">
        <w:t>not defined</w:t>
      </w:r>
      <w:r w:rsidR="00554C41">
        <w:t xml:space="preserve"> </w:t>
      </w:r>
      <w:r w:rsidRPr="006222EA">
        <w:t>and therefore not reported against.</w:t>
      </w:r>
      <w:r w:rsidR="00063AD6" w:rsidRPr="006222EA">
        <w:t xml:space="preserve"> </w:t>
      </w:r>
      <w:r w:rsidR="00554C41">
        <w:t>T</w:t>
      </w:r>
      <w:r w:rsidR="00063AD6" w:rsidRPr="006222EA">
        <w:t>able</w:t>
      </w:r>
      <w:r w:rsidR="00554C41">
        <w:t xml:space="preserve"> 2</w:t>
      </w:r>
      <w:r w:rsidR="00063AD6" w:rsidRPr="006222EA">
        <w:t xml:space="preserve"> </w:t>
      </w:r>
      <w:r w:rsidR="00554C41">
        <w:t>lists the current rating of</w:t>
      </w:r>
      <w:r w:rsidR="00063AD6" w:rsidRPr="006222EA">
        <w:t xml:space="preserve"> progress </w:t>
      </w:r>
      <w:r w:rsidR="00554C41">
        <w:t xml:space="preserve">of </w:t>
      </w:r>
      <w:r w:rsidR="00063AD6" w:rsidRPr="006222EA">
        <w:t xml:space="preserve">each sector. </w:t>
      </w:r>
      <w:r w:rsidR="002776D4" w:rsidRPr="006222EA">
        <w:t xml:space="preserve">Each </w:t>
      </w:r>
      <w:r w:rsidR="00063AD6" w:rsidRPr="006222EA">
        <w:t>rating was determined by an aggregate of the perform</w:t>
      </w:r>
      <w:r w:rsidR="00465AAF" w:rsidRPr="006222EA">
        <w:t xml:space="preserve">ance of individual initiatives. </w:t>
      </w:r>
      <w:r w:rsidR="00554C41">
        <w:t>I</w:t>
      </w:r>
      <w:r w:rsidR="00063AD6" w:rsidRPr="006222EA">
        <w:t>ndividual ratings are at Annex B</w:t>
      </w:r>
      <w:r w:rsidR="008F75B0" w:rsidRPr="006222EA">
        <w:t>. S</w:t>
      </w:r>
      <w:r w:rsidR="001810B9" w:rsidRPr="006222EA">
        <w:t xml:space="preserve">ectoral outcomes are discussed </w:t>
      </w:r>
      <w:r w:rsidR="00554C41">
        <w:t>under ‘S</w:t>
      </w:r>
      <w:r w:rsidR="001810B9" w:rsidRPr="006222EA">
        <w:t xml:space="preserve">ectoral </w:t>
      </w:r>
      <w:proofErr w:type="gramStart"/>
      <w:r w:rsidR="001810B9" w:rsidRPr="006222EA">
        <w:t>analysis</w:t>
      </w:r>
      <w:r w:rsidR="00CE30D1">
        <w:t>’</w:t>
      </w:r>
      <w:proofErr w:type="gramEnd"/>
      <w:r w:rsidR="001810B9" w:rsidRPr="006222EA">
        <w:t xml:space="preserve">. </w:t>
      </w:r>
    </w:p>
    <w:p w14:paraId="420DC603" w14:textId="77777777" w:rsidR="00063AD6" w:rsidRPr="006222EA" w:rsidRDefault="00063AD6" w:rsidP="00063AD6">
      <w:pPr>
        <w:pStyle w:val="Caption"/>
      </w:pPr>
      <w:r w:rsidRPr="006222EA">
        <w:t xml:space="preserve">Table 2 </w:t>
      </w:r>
      <w:r w:rsidR="00A30CE4">
        <w:t>R</w:t>
      </w:r>
      <w:r w:rsidRPr="006222EA">
        <w:t>atings of the program across sectors</w:t>
      </w:r>
    </w:p>
    <w:tbl>
      <w:tblPr>
        <w:tblStyle w:val="APPR"/>
        <w:tblW w:w="5000" w:type="pct"/>
        <w:tblLook w:val="0000" w:firstRow="0" w:lastRow="0" w:firstColumn="0" w:lastColumn="0" w:noHBand="0" w:noVBand="0"/>
      </w:tblPr>
      <w:tblGrid>
        <w:gridCol w:w="5925"/>
        <w:gridCol w:w="1093"/>
        <w:gridCol w:w="427"/>
        <w:gridCol w:w="1161"/>
      </w:tblGrid>
      <w:tr w:rsidR="00063AD6" w:rsidRPr="006222EA" w14:paraId="420DC608" w14:textId="77777777" w:rsidTr="00063AD6">
        <w:trPr>
          <w:cnfStyle w:val="000000010000" w:firstRow="0" w:lastRow="0" w:firstColumn="0" w:lastColumn="0" w:oddVBand="0" w:evenVBand="0" w:oddHBand="0" w:evenHBand="1" w:firstRowFirstColumn="0" w:firstRowLastColumn="0" w:lastRowFirstColumn="0" w:lastRowLastColumn="0"/>
          <w:trHeight w:val="651"/>
        </w:trPr>
        <w:tc>
          <w:tcPr>
            <w:tcW w:w="5844" w:type="dxa"/>
          </w:tcPr>
          <w:p w14:paraId="420DC604" w14:textId="77777777" w:rsidR="00063AD6" w:rsidRPr="006222EA" w:rsidRDefault="00063AD6" w:rsidP="00063AD6">
            <w:pPr>
              <w:pStyle w:val="TableTextColumnHeading"/>
              <w:rPr>
                <w:rFonts w:ascii="Franklin Gothic Book" w:hAnsi="Franklin Gothic Book"/>
              </w:rPr>
            </w:pPr>
            <w:r w:rsidRPr="006222EA">
              <w:rPr>
                <w:rFonts w:ascii="Franklin Gothic Book" w:hAnsi="Franklin Gothic Book"/>
                <w:noProof/>
                <w:lang w:eastAsia="en-AU"/>
              </w:rPr>
              <w:drawing>
                <wp:anchor distT="0" distB="0" distL="114300" distR="114300" simplePos="0" relativeHeight="251687936" behindDoc="0" locked="0" layoutInCell="1" allowOverlap="1" wp14:anchorId="420DCECA" wp14:editId="420DCECB">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2EA">
              <w:rPr>
                <w:rFonts w:ascii="Franklin Gothic Book" w:hAnsi="Franklin Gothic Book"/>
              </w:rPr>
              <w:t>Sector</w:t>
            </w:r>
          </w:p>
        </w:tc>
        <w:tc>
          <w:tcPr>
            <w:tcW w:w="1058" w:type="dxa"/>
          </w:tcPr>
          <w:p w14:paraId="420DC605" w14:textId="77777777" w:rsidR="00063AD6" w:rsidRPr="006222EA" w:rsidRDefault="00063AD6" w:rsidP="00A30CE4">
            <w:pPr>
              <w:pStyle w:val="TableTextColumnHeading"/>
              <w:rPr>
                <w:rFonts w:ascii="Franklin Gothic Book" w:hAnsi="Franklin Gothic Book"/>
              </w:rPr>
            </w:pPr>
            <w:r w:rsidRPr="006222EA">
              <w:rPr>
                <w:rFonts w:ascii="Franklin Gothic Book" w:hAnsi="Franklin Gothic Book"/>
              </w:rPr>
              <w:t xml:space="preserve">Current </w:t>
            </w:r>
            <w:r w:rsidR="00A30CE4">
              <w:rPr>
                <w:rFonts w:ascii="Franklin Gothic Book" w:hAnsi="Franklin Gothic Book"/>
              </w:rPr>
              <w:t>r</w:t>
            </w:r>
            <w:r w:rsidRPr="006222EA">
              <w:rPr>
                <w:rFonts w:ascii="Franklin Gothic Book" w:hAnsi="Franklin Gothic Book"/>
              </w:rPr>
              <w:t>ating</w:t>
            </w:r>
          </w:p>
        </w:tc>
        <w:tc>
          <w:tcPr>
            <w:tcW w:w="396" w:type="dxa"/>
          </w:tcPr>
          <w:p w14:paraId="420DC606" w14:textId="77777777" w:rsidR="00063AD6" w:rsidRPr="006222EA" w:rsidRDefault="00063AD6" w:rsidP="00063AD6">
            <w:pPr>
              <w:pStyle w:val="TableTextColumnHeading"/>
              <w:rPr>
                <w:rFonts w:ascii="Franklin Gothic Book" w:hAnsi="Franklin Gothic Book"/>
              </w:rPr>
            </w:pPr>
          </w:p>
        </w:tc>
        <w:tc>
          <w:tcPr>
            <w:tcW w:w="1112" w:type="dxa"/>
          </w:tcPr>
          <w:p w14:paraId="420DC607" w14:textId="77777777" w:rsidR="00063AD6" w:rsidRPr="006222EA" w:rsidRDefault="00063AD6" w:rsidP="00A30CE4">
            <w:pPr>
              <w:pStyle w:val="TableTextColumnHeading"/>
              <w:rPr>
                <w:rFonts w:ascii="Franklin Gothic Book" w:hAnsi="Franklin Gothic Book"/>
              </w:rPr>
            </w:pPr>
            <w:r w:rsidRPr="006222EA">
              <w:rPr>
                <w:rFonts w:ascii="Franklin Gothic Book" w:hAnsi="Franklin Gothic Book"/>
              </w:rPr>
              <w:t xml:space="preserve">Previous </w:t>
            </w:r>
            <w:r w:rsidR="00A30CE4">
              <w:rPr>
                <w:rFonts w:ascii="Franklin Gothic Book" w:hAnsi="Franklin Gothic Book"/>
              </w:rPr>
              <w:t>r</w:t>
            </w:r>
            <w:r w:rsidRPr="006222EA">
              <w:rPr>
                <w:rFonts w:ascii="Franklin Gothic Book" w:hAnsi="Franklin Gothic Book"/>
              </w:rPr>
              <w:t>ating</w:t>
            </w:r>
          </w:p>
        </w:tc>
      </w:tr>
      <w:tr w:rsidR="00063AD6" w:rsidRPr="006222EA" w14:paraId="420DC60D"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09" w14:textId="77777777" w:rsidR="00063AD6" w:rsidRPr="0042762E" w:rsidRDefault="00CE30D1" w:rsidP="0042762E">
            <w:pPr>
              <w:pStyle w:val="TableTextEntries"/>
            </w:pPr>
            <w:r w:rsidRPr="0042762E">
              <w:t>Pacific r</w:t>
            </w:r>
            <w:r w:rsidR="00063AD6" w:rsidRPr="0042762E">
              <w:t xml:space="preserve">egional </w:t>
            </w:r>
            <w:r w:rsidRPr="0042762E">
              <w:t>o</w:t>
            </w:r>
            <w:r w:rsidR="00063AD6" w:rsidRPr="0042762E">
              <w:t>rganisations</w:t>
            </w:r>
          </w:p>
        </w:tc>
        <w:tc>
          <w:tcPr>
            <w:tcW w:w="1058" w:type="dxa"/>
            <w:shd w:val="clear" w:color="auto" w:fill="92D050"/>
            <w:noWrap/>
          </w:tcPr>
          <w:p w14:paraId="420DC60A" w14:textId="77777777" w:rsidR="00063AD6" w:rsidRPr="0042762E" w:rsidRDefault="00063AD6" w:rsidP="0042762E">
            <w:pPr>
              <w:pStyle w:val="TableTextEntries"/>
              <w:jc w:val="center"/>
            </w:pPr>
            <w:r w:rsidRPr="0042762E">
              <w:t>Green</w:t>
            </w:r>
          </w:p>
        </w:tc>
        <w:tc>
          <w:tcPr>
            <w:tcW w:w="396" w:type="dxa"/>
          </w:tcPr>
          <w:p w14:paraId="420DC60B" w14:textId="77777777" w:rsidR="00063AD6" w:rsidRPr="0042762E" w:rsidRDefault="00063AD6" w:rsidP="0042762E">
            <w:pPr>
              <w:pStyle w:val="TableTextEntries"/>
              <w:jc w:val="center"/>
            </w:pPr>
          </w:p>
        </w:tc>
        <w:tc>
          <w:tcPr>
            <w:tcW w:w="1112" w:type="dxa"/>
            <w:shd w:val="clear" w:color="auto" w:fill="auto"/>
            <w:noWrap/>
          </w:tcPr>
          <w:p w14:paraId="420DC60C" w14:textId="77777777" w:rsidR="00063AD6" w:rsidRPr="0042762E" w:rsidRDefault="00063AD6" w:rsidP="0042762E">
            <w:pPr>
              <w:pStyle w:val="TableTextEntries"/>
              <w:jc w:val="center"/>
            </w:pPr>
            <w:r w:rsidRPr="0042762E">
              <w:t>N/A</w:t>
            </w:r>
          </w:p>
        </w:tc>
      </w:tr>
      <w:tr w:rsidR="00063AD6" w:rsidRPr="006222EA" w14:paraId="420DC612"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0E" w14:textId="77777777" w:rsidR="00063AD6" w:rsidRPr="0042762E" w:rsidRDefault="00063AD6" w:rsidP="0042762E">
            <w:pPr>
              <w:pStyle w:val="TableTextEntries"/>
            </w:pPr>
            <w:r w:rsidRPr="0042762E">
              <w:t>Health</w:t>
            </w:r>
          </w:p>
        </w:tc>
        <w:tc>
          <w:tcPr>
            <w:tcW w:w="1058" w:type="dxa"/>
            <w:shd w:val="clear" w:color="auto" w:fill="F79646" w:themeFill="accent6"/>
            <w:noWrap/>
          </w:tcPr>
          <w:p w14:paraId="420DC60F" w14:textId="77777777" w:rsidR="00063AD6" w:rsidRPr="0042762E" w:rsidRDefault="00063AD6" w:rsidP="0042762E">
            <w:pPr>
              <w:pStyle w:val="TableTextEntries"/>
              <w:jc w:val="center"/>
            </w:pPr>
            <w:r w:rsidRPr="0042762E">
              <w:t>Amber</w:t>
            </w:r>
          </w:p>
        </w:tc>
        <w:tc>
          <w:tcPr>
            <w:tcW w:w="396" w:type="dxa"/>
          </w:tcPr>
          <w:p w14:paraId="420DC610" w14:textId="77777777" w:rsidR="00063AD6" w:rsidRPr="0042762E" w:rsidRDefault="00063AD6" w:rsidP="0042762E">
            <w:pPr>
              <w:pStyle w:val="TableTextEntries"/>
              <w:jc w:val="center"/>
            </w:pPr>
          </w:p>
        </w:tc>
        <w:tc>
          <w:tcPr>
            <w:tcW w:w="1112" w:type="dxa"/>
            <w:shd w:val="clear" w:color="auto" w:fill="auto"/>
            <w:noWrap/>
          </w:tcPr>
          <w:p w14:paraId="420DC611" w14:textId="77777777" w:rsidR="00063AD6" w:rsidRPr="0042762E" w:rsidRDefault="00063AD6" w:rsidP="0042762E">
            <w:pPr>
              <w:pStyle w:val="TableTextEntries"/>
              <w:jc w:val="center"/>
            </w:pPr>
            <w:r w:rsidRPr="0042762E">
              <w:t>N/A</w:t>
            </w:r>
          </w:p>
        </w:tc>
      </w:tr>
      <w:tr w:rsidR="00063AD6" w:rsidRPr="006222EA" w14:paraId="420DC617"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13" w14:textId="77777777" w:rsidR="00063AD6" w:rsidRPr="0042762E" w:rsidRDefault="00063AD6" w:rsidP="0042762E">
            <w:pPr>
              <w:pStyle w:val="TableTextEntries"/>
            </w:pPr>
            <w:r w:rsidRPr="0042762E">
              <w:t>Education</w:t>
            </w:r>
          </w:p>
        </w:tc>
        <w:tc>
          <w:tcPr>
            <w:tcW w:w="1058" w:type="dxa"/>
            <w:shd w:val="clear" w:color="auto" w:fill="92D050"/>
            <w:noWrap/>
          </w:tcPr>
          <w:p w14:paraId="420DC614" w14:textId="77777777" w:rsidR="00063AD6" w:rsidRPr="0042762E" w:rsidRDefault="00063AD6" w:rsidP="0042762E">
            <w:pPr>
              <w:pStyle w:val="TableTextEntries"/>
              <w:jc w:val="center"/>
            </w:pPr>
            <w:r w:rsidRPr="0042762E">
              <w:t>Green</w:t>
            </w:r>
          </w:p>
        </w:tc>
        <w:tc>
          <w:tcPr>
            <w:tcW w:w="396" w:type="dxa"/>
          </w:tcPr>
          <w:p w14:paraId="420DC615" w14:textId="77777777" w:rsidR="00063AD6" w:rsidRPr="0042762E" w:rsidRDefault="00063AD6" w:rsidP="0042762E">
            <w:pPr>
              <w:pStyle w:val="TableTextEntries"/>
              <w:jc w:val="center"/>
            </w:pPr>
          </w:p>
        </w:tc>
        <w:tc>
          <w:tcPr>
            <w:tcW w:w="1112" w:type="dxa"/>
            <w:shd w:val="clear" w:color="auto" w:fill="auto"/>
            <w:noWrap/>
          </w:tcPr>
          <w:p w14:paraId="420DC616" w14:textId="77777777" w:rsidR="00063AD6" w:rsidRPr="0042762E" w:rsidRDefault="00063AD6" w:rsidP="0042762E">
            <w:pPr>
              <w:pStyle w:val="TableTextEntries"/>
              <w:jc w:val="center"/>
            </w:pPr>
            <w:r w:rsidRPr="0042762E">
              <w:t>N/A</w:t>
            </w:r>
          </w:p>
        </w:tc>
      </w:tr>
      <w:tr w:rsidR="00B866A9" w:rsidRPr="006222EA" w14:paraId="420DC61C"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18" w14:textId="77777777" w:rsidR="00B866A9" w:rsidRPr="0042762E" w:rsidRDefault="00B866A9" w:rsidP="0042762E">
            <w:pPr>
              <w:pStyle w:val="TableTextEntries"/>
            </w:pPr>
            <w:r w:rsidRPr="0042762E">
              <w:t xml:space="preserve">Disability </w:t>
            </w:r>
            <w:r w:rsidR="00CE30D1" w:rsidRPr="0042762E">
              <w:t>i</w:t>
            </w:r>
            <w:r w:rsidRPr="0042762E">
              <w:t xml:space="preserve">nclusive </w:t>
            </w:r>
            <w:r w:rsidR="00CE30D1" w:rsidRPr="0042762E">
              <w:t>d</w:t>
            </w:r>
            <w:r w:rsidRPr="0042762E">
              <w:t>evelopment</w:t>
            </w:r>
          </w:p>
        </w:tc>
        <w:tc>
          <w:tcPr>
            <w:tcW w:w="1058" w:type="dxa"/>
            <w:shd w:val="clear" w:color="auto" w:fill="92D050"/>
            <w:noWrap/>
          </w:tcPr>
          <w:p w14:paraId="420DC619" w14:textId="77777777" w:rsidR="00B866A9" w:rsidRPr="0042762E" w:rsidRDefault="00B866A9" w:rsidP="0042762E">
            <w:pPr>
              <w:pStyle w:val="TableTextEntries"/>
              <w:jc w:val="center"/>
            </w:pPr>
            <w:r w:rsidRPr="0042762E">
              <w:t>Green</w:t>
            </w:r>
          </w:p>
        </w:tc>
        <w:tc>
          <w:tcPr>
            <w:tcW w:w="396" w:type="dxa"/>
          </w:tcPr>
          <w:p w14:paraId="420DC61A" w14:textId="77777777" w:rsidR="00B866A9" w:rsidRPr="0042762E" w:rsidRDefault="00B866A9" w:rsidP="0042762E">
            <w:pPr>
              <w:pStyle w:val="TableTextEntries"/>
              <w:jc w:val="center"/>
            </w:pPr>
          </w:p>
        </w:tc>
        <w:tc>
          <w:tcPr>
            <w:tcW w:w="1112" w:type="dxa"/>
            <w:shd w:val="clear" w:color="auto" w:fill="auto"/>
            <w:noWrap/>
          </w:tcPr>
          <w:p w14:paraId="420DC61B" w14:textId="77777777" w:rsidR="00B866A9" w:rsidRPr="0042762E" w:rsidRDefault="00465AAF" w:rsidP="0042762E">
            <w:pPr>
              <w:pStyle w:val="TableTextEntries"/>
              <w:jc w:val="center"/>
            </w:pPr>
            <w:r w:rsidRPr="0042762E">
              <w:t>N/A</w:t>
            </w:r>
          </w:p>
        </w:tc>
      </w:tr>
      <w:tr w:rsidR="00B866A9" w:rsidRPr="006222EA" w14:paraId="420DC621" w14:textId="77777777" w:rsidTr="00B866A9">
        <w:trPr>
          <w:cnfStyle w:val="000000010000" w:firstRow="0" w:lastRow="0" w:firstColumn="0" w:lastColumn="0" w:oddVBand="0" w:evenVBand="0" w:oddHBand="0" w:evenHBand="1" w:firstRowFirstColumn="0" w:firstRowLastColumn="0" w:lastRowFirstColumn="0" w:lastRowLastColumn="0"/>
        </w:trPr>
        <w:tc>
          <w:tcPr>
            <w:tcW w:w="5844" w:type="dxa"/>
          </w:tcPr>
          <w:p w14:paraId="420DC61D" w14:textId="77777777" w:rsidR="00B866A9" w:rsidRPr="0042762E" w:rsidRDefault="00CE30D1" w:rsidP="0042762E">
            <w:pPr>
              <w:pStyle w:val="TableTextEntries"/>
            </w:pPr>
            <w:r w:rsidRPr="0042762E">
              <w:t>Gender e</w:t>
            </w:r>
            <w:r w:rsidR="00B866A9" w:rsidRPr="0042762E">
              <w:t xml:space="preserve">quality and </w:t>
            </w:r>
            <w:r w:rsidRPr="0042762E">
              <w:t>w</w:t>
            </w:r>
            <w:r w:rsidR="00B866A9" w:rsidRPr="0042762E">
              <w:t xml:space="preserve">omen’s </w:t>
            </w:r>
            <w:r w:rsidRPr="0042762E">
              <w:t>e</w:t>
            </w:r>
            <w:r w:rsidR="00B866A9" w:rsidRPr="0042762E">
              <w:t>mpowerment</w:t>
            </w:r>
          </w:p>
        </w:tc>
        <w:tc>
          <w:tcPr>
            <w:tcW w:w="1058" w:type="dxa"/>
            <w:shd w:val="clear" w:color="auto" w:fill="F79646" w:themeFill="accent6"/>
            <w:noWrap/>
          </w:tcPr>
          <w:p w14:paraId="420DC61E" w14:textId="77777777" w:rsidR="00B866A9" w:rsidRPr="0042762E" w:rsidRDefault="00B866A9" w:rsidP="0042762E">
            <w:pPr>
              <w:pStyle w:val="TableTextEntries"/>
              <w:jc w:val="center"/>
            </w:pPr>
            <w:r w:rsidRPr="0042762E">
              <w:t>Amber</w:t>
            </w:r>
          </w:p>
        </w:tc>
        <w:tc>
          <w:tcPr>
            <w:tcW w:w="396" w:type="dxa"/>
          </w:tcPr>
          <w:p w14:paraId="420DC61F" w14:textId="77777777" w:rsidR="00B866A9" w:rsidRPr="0042762E" w:rsidRDefault="00B866A9" w:rsidP="0042762E">
            <w:pPr>
              <w:pStyle w:val="TableTextEntries"/>
              <w:jc w:val="center"/>
            </w:pPr>
          </w:p>
        </w:tc>
        <w:tc>
          <w:tcPr>
            <w:tcW w:w="1112" w:type="dxa"/>
            <w:shd w:val="clear" w:color="auto" w:fill="auto"/>
            <w:noWrap/>
          </w:tcPr>
          <w:p w14:paraId="420DC620" w14:textId="77777777" w:rsidR="00B866A9" w:rsidRPr="0042762E" w:rsidRDefault="00465AAF" w:rsidP="0042762E">
            <w:pPr>
              <w:pStyle w:val="TableTextEntries"/>
              <w:jc w:val="center"/>
            </w:pPr>
            <w:r w:rsidRPr="0042762E">
              <w:t>N/A</w:t>
            </w:r>
          </w:p>
        </w:tc>
      </w:tr>
      <w:tr w:rsidR="00063AD6" w:rsidRPr="006222EA" w14:paraId="420DC626"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22" w14:textId="77777777" w:rsidR="00063AD6" w:rsidRPr="0042762E" w:rsidRDefault="00063AD6" w:rsidP="0042762E">
            <w:pPr>
              <w:pStyle w:val="TableTextEntries"/>
            </w:pPr>
            <w:r w:rsidRPr="0042762E">
              <w:t xml:space="preserve">Climate </w:t>
            </w:r>
            <w:r w:rsidR="00CE30D1" w:rsidRPr="0042762E">
              <w:t>c</w:t>
            </w:r>
            <w:r w:rsidRPr="0042762E">
              <w:t xml:space="preserve">hange and </w:t>
            </w:r>
            <w:r w:rsidR="00CE30D1" w:rsidRPr="0042762E">
              <w:t>e</w:t>
            </w:r>
            <w:r w:rsidRPr="0042762E">
              <w:t>nvironment</w:t>
            </w:r>
          </w:p>
        </w:tc>
        <w:tc>
          <w:tcPr>
            <w:tcW w:w="1058" w:type="dxa"/>
            <w:shd w:val="clear" w:color="auto" w:fill="92D050"/>
            <w:noWrap/>
          </w:tcPr>
          <w:p w14:paraId="420DC623" w14:textId="77777777" w:rsidR="00063AD6" w:rsidRPr="0042762E" w:rsidRDefault="00063AD6" w:rsidP="0042762E">
            <w:pPr>
              <w:pStyle w:val="TableTextEntries"/>
              <w:jc w:val="center"/>
            </w:pPr>
            <w:r w:rsidRPr="0042762E">
              <w:t>Green</w:t>
            </w:r>
          </w:p>
        </w:tc>
        <w:tc>
          <w:tcPr>
            <w:tcW w:w="396" w:type="dxa"/>
          </w:tcPr>
          <w:p w14:paraId="420DC624" w14:textId="77777777" w:rsidR="00063AD6" w:rsidRPr="0042762E" w:rsidRDefault="00063AD6" w:rsidP="0042762E">
            <w:pPr>
              <w:pStyle w:val="TableTextEntries"/>
              <w:jc w:val="center"/>
            </w:pPr>
          </w:p>
        </w:tc>
        <w:tc>
          <w:tcPr>
            <w:tcW w:w="1112" w:type="dxa"/>
            <w:shd w:val="clear" w:color="auto" w:fill="auto"/>
            <w:noWrap/>
          </w:tcPr>
          <w:p w14:paraId="420DC625" w14:textId="77777777" w:rsidR="00063AD6" w:rsidRPr="0042762E" w:rsidRDefault="00063AD6" w:rsidP="0042762E">
            <w:pPr>
              <w:pStyle w:val="TableTextEntries"/>
              <w:jc w:val="center"/>
            </w:pPr>
            <w:r w:rsidRPr="0042762E">
              <w:t>N/A</w:t>
            </w:r>
          </w:p>
        </w:tc>
      </w:tr>
      <w:tr w:rsidR="00063AD6" w:rsidRPr="006222EA" w14:paraId="420DC62B"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27" w14:textId="77777777" w:rsidR="00063AD6" w:rsidRPr="0042762E" w:rsidRDefault="00B866A9" w:rsidP="0042762E">
            <w:pPr>
              <w:pStyle w:val="TableTextEntries"/>
            </w:pPr>
            <w:r w:rsidRPr="0042762E">
              <w:t>Fisheries</w:t>
            </w:r>
          </w:p>
        </w:tc>
        <w:tc>
          <w:tcPr>
            <w:tcW w:w="1058" w:type="dxa"/>
            <w:shd w:val="clear" w:color="auto" w:fill="92D050"/>
            <w:noWrap/>
          </w:tcPr>
          <w:p w14:paraId="420DC628" w14:textId="77777777" w:rsidR="00063AD6" w:rsidRPr="0042762E" w:rsidRDefault="00063AD6" w:rsidP="0042762E">
            <w:pPr>
              <w:pStyle w:val="TableTextEntries"/>
              <w:jc w:val="center"/>
            </w:pPr>
            <w:r w:rsidRPr="0042762E">
              <w:t>Green</w:t>
            </w:r>
          </w:p>
        </w:tc>
        <w:tc>
          <w:tcPr>
            <w:tcW w:w="396" w:type="dxa"/>
          </w:tcPr>
          <w:p w14:paraId="420DC629" w14:textId="77777777" w:rsidR="00063AD6" w:rsidRPr="0042762E" w:rsidRDefault="00063AD6" w:rsidP="0042762E">
            <w:pPr>
              <w:pStyle w:val="TableTextEntries"/>
              <w:jc w:val="center"/>
            </w:pPr>
          </w:p>
        </w:tc>
        <w:tc>
          <w:tcPr>
            <w:tcW w:w="1112" w:type="dxa"/>
            <w:shd w:val="clear" w:color="auto" w:fill="auto"/>
            <w:noWrap/>
          </w:tcPr>
          <w:p w14:paraId="420DC62A" w14:textId="77777777" w:rsidR="00063AD6" w:rsidRPr="0042762E" w:rsidRDefault="00063AD6" w:rsidP="0042762E">
            <w:pPr>
              <w:pStyle w:val="TableTextEntries"/>
              <w:jc w:val="center"/>
            </w:pPr>
            <w:r w:rsidRPr="0042762E">
              <w:t>N/A</w:t>
            </w:r>
          </w:p>
        </w:tc>
      </w:tr>
      <w:tr w:rsidR="00B866A9" w:rsidRPr="006222EA" w14:paraId="420DC630" w14:textId="77777777" w:rsidTr="00B866A9">
        <w:trPr>
          <w:cnfStyle w:val="000000010000" w:firstRow="0" w:lastRow="0" w:firstColumn="0" w:lastColumn="0" w:oddVBand="0" w:evenVBand="0" w:oddHBand="0" w:evenHBand="1" w:firstRowFirstColumn="0" w:firstRowLastColumn="0" w:lastRowFirstColumn="0" w:lastRowLastColumn="0"/>
        </w:trPr>
        <w:tc>
          <w:tcPr>
            <w:tcW w:w="5844" w:type="dxa"/>
          </w:tcPr>
          <w:p w14:paraId="420DC62C" w14:textId="77777777" w:rsidR="00B866A9" w:rsidRPr="0042762E" w:rsidRDefault="00B866A9" w:rsidP="0042762E">
            <w:pPr>
              <w:pStyle w:val="TableTextEntries"/>
            </w:pPr>
            <w:r w:rsidRPr="0042762E">
              <w:t>Sustainable</w:t>
            </w:r>
            <w:r w:rsidR="00CE30D1" w:rsidRPr="0042762E">
              <w:t xml:space="preserve"> economic d</w:t>
            </w:r>
            <w:r w:rsidRPr="0042762E">
              <w:t>evelopment</w:t>
            </w:r>
          </w:p>
        </w:tc>
        <w:tc>
          <w:tcPr>
            <w:tcW w:w="1058" w:type="dxa"/>
            <w:shd w:val="clear" w:color="auto" w:fill="F79646" w:themeFill="accent6"/>
            <w:noWrap/>
          </w:tcPr>
          <w:p w14:paraId="420DC62D" w14:textId="77777777" w:rsidR="00B866A9" w:rsidRPr="0042762E" w:rsidRDefault="00B866A9" w:rsidP="0042762E">
            <w:pPr>
              <w:pStyle w:val="TableTextEntries"/>
              <w:jc w:val="center"/>
            </w:pPr>
            <w:r w:rsidRPr="0042762E">
              <w:t>Amber</w:t>
            </w:r>
          </w:p>
        </w:tc>
        <w:tc>
          <w:tcPr>
            <w:tcW w:w="396" w:type="dxa"/>
          </w:tcPr>
          <w:p w14:paraId="420DC62E" w14:textId="77777777" w:rsidR="00B866A9" w:rsidRPr="0042762E" w:rsidRDefault="00B866A9" w:rsidP="0042762E">
            <w:pPr>
              <w:pStyle w:val="TableTextEntries"/>
              <w:jc w:val="center"/>
            </w:pPr>
          </w:p>
        </w:tc>
        <w:tc>
          <w:tcPr>
            <w:tcW w:w="1112" w:type="dxa"/>
            <w:shd w:val="clear" w:color="auto" w:fill="auto"/>
            <w:noWrap/>
          </w:tcPr>
          <w:p w14:paraId="420DC62F" w14:textId="77777777" w:rsidR="00B866A9" w:rsidRPr="0042762E" w:rsidRDefault="00465AAF" w:rsidP="0042762E">
            <w:pPr>
              <w:pStyle w:val="TableTextEntries"/>
              <w:jc w:val="center"/>
            </w:pPr>
            <w:r w:rsidRPr="0042762E">
              <w:t>N/A</w:t>
            </w:r>
          </w:p>
        </w:tc>
      </w:tr>
      <w:tr w:rsidR="00B866A9" w:rsidRPr="006222EA" w14:paraId="420DC635"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31" w14:textId="77777777" w:rsidR="00B866A9" w:rsidRPr="0042762E" w:rsidRDefault="00B866A9" w:rsidP="0042762E">
            <w:pPr>
              <w:pStyle w:val="TableTextEntries"/>
            </w:pPr>
            <w:r w:rsidRPr="0042762E">
              <w:t>Infrastructure</w:t>
            </w:r>
          </w:p>
        </w:tc>
        <w:tc>
          <w:tcPr>
            <w:tcW w:w="1058" w:type="dxa"/>
            <w:shd w:val="clear" w:color="auto" w:fill="92D050"/>
            <w:noWrap/>
          </w:tcPr>
          <w:p w14:paraId="420DC632" w14:textId="77777777" w:rsidR="00B866A9" w:rsidRPr="0042762E" w:rsidRDefault="00B866A9" w:rsidP="0042762E">
            <w:pPr>
              <w:pStyle w:val="TableTextEntries"/>
              <w:jc w:val="center"/>
            </w:pPr>
            <w:r w:rsidRPr="0042762E">
              <w:t>Green</w:t>
            </w:r>
          </w:p>
        </w:tc>
        <w:tc>
          <w:tcPr>
            <w:tcW w:w="396" w:type="dxa"/>
          </w:tcPr>
          <w:p w14:paraId="420DC633" w14:textId="77777777" w:rsidR="00B866A9" w:rsidRPr="0042762E" w:rsidRDefault="00B866A9" w:rsidP="0042762E">
            <w:pPr>
              <w:pStyle w:val="TableTextEntries"/>
              <w:jc w:val="center"/>
            </w:pPr>
          </w:p>
        </w:tc>
        <w:tc>
          <w:tcPr>
            <w:tcW w:w="1112" w:type="dxa"/>
            <w:shd w:val="clear" w:color="auto" w:fill="auto"/>
            <w:noWrap/>
          </w:tcPr>
          <w:p w14:paraId="420DC634" w14:textId="77777777" w:rsidR="00B866A9" w:rsidRPr="0042762E" w:rsidRDefault="00465AAF" w:rsidP="0042762E">
            <w:pPr>
              <w:pStyle w:val="TableTextEntries"/>
              <w:jc w:val="center"/>
            </w:pPr>
            <w:r w:rsidRPr="0042762E">
              <w:t>N/A</w:t>
            </w:r>
          </w:p>
        </w:tc>
      </w:tr>
      <w:tr w:rsidR="00B866A9" w:rsidRPr="006222EA" w14:paraId="420DC63A" w14:textId="77777777" w:rsidTr="00B866A9">
        <w:trPr>
          <w:cnfStyle w:val="000000010000" w:firstRow="0" w:lastRow="0" w:firstColumn="0" w:lastColumn="0" w:oddVBand="0" w:evenVBand="0" w:oddHBand="0" w:evenHBand="1" w:firstRowFirstColumn="0" w:firstRowLastColumn="0" w:lastRowFirstColumn="0" w:lastRowLastColumn="0"/>
        </w:trPr>
        <w:tc>
          <w:tcPr>
            <w:tcW w:w="5844" w:type="dxa"/>
          </w:tcPr>
          <w:p w14:paraId="420DC636" w14:textId="77777777" w:rsidR="00B866A9" w:rsidRPr="0042762E" w:rsidRDefault="00B866A9" w:rsidP="0042762E">
            <w:pPr>
              <w:pStyle w:val="TableTextEntries"/>
            </w:pPr>
            <w:r w:rsidRPr="0042762E">
              <w:t>Governance</w:t>
            </w:r>
          </w:p>
        </w:tc>
        <w:tc>
          <w:tcPr>
            <w:tcW w:w="1058" w:type="dxa"/>
            <w:shd w:val="clear" w:color="auto" w:fill="F79646" w:themeFill="accent6"/>
            <w:noWrap/>
          </w:tcPr>
          <w:p w14:paraId="420DC637" w14:textId="77777777" w:rsidR="00B866A9" w:rsidRPr="0042762E" w:rsidRDefault="00B866A9" w:rsidP="0042762E">
            <w:pPr>
              <w:pStyle w:val="TableTextEntries"/>
              <w:jc w:val="center"/>
            </w:pPr>
            <w:r w:rsidRPr="0042762E">
              <w:t>Amber</w:t>
            </w:r>
          </w:p>
        </w:tc>
        <w:tc>
          <w:tcPr>
            <w:tcW w:w="396" w:type="dxa"/>
          </w:tcPr>
          <w:p w14:paraId="420DC638" w14:textId="77777777" w:rsidR="00B866A9" w:rsidRPr="0042762E" w:rsidRDefault="00B866A9" w:rsidP="0042762E">
            <w:pPr>
              <w:pStyle w:val="TableTextEntries"/>
              <w:jc w:val="center"/>
            </w:pPr>
          </w:p>
        </w:tc>
        <w:tc>
          <w:tcPr>
            <w:tcW w:w="1112" w:type="dxa"/>
            <w:shd w:val="clear" w:color="auto" w:fill="auto"/>
            <w:noWrap/>
          </w:tcPr>
          <w:p w14:paraId="420DC639" w14:textId="77777777" w:rsidR="00B866A9" w:rsidRPr="0042762E" w:rsidRDefault="00465AAF" w:rsidP="0042762E">
            <w:pPr>
              <w:pStyle w:val="TableTextEntries"/>
              <w:jc w:val="center"/>
            </w:pPr>
            <w:r w:rsidRPr="0042762E">
              <w:t>N/A</w:t>
            </w:r>
          </w:p>
        </w:tc>
      </w:tr>
      <w:tr w:rsidR="00B866A9" w:rsidRPr="006222EA" w14:paraId="420DC63F" w14:textId="77777777" w:rsidTr="00B866A9">
        <w:trPr>
          <w:cnfStyle w:val="000000010000" w:firstRow="0" w:lastRow="0" w:firstColumn="0" w:lastColumn="0" w:oddVBand="0" w:evenVBand="0" w:oddHBand="0" w:evenHBand="1" w:firstRowFirstColumn="0" w:firstRowLastColumn="0" w:lastRowFirstColumn="0" w:lastRowLastColumn="0"/>
        </w:trPr>
        <w:tc>
          <w:tcPr>
            <w:tcW w:w="5844" w:type="dxa"/>
          </w:tcPr>
          <w:p w14:paraId="420DC63B" w14:textId="77777777" w:rsidR="00B866A9" w:rsidRPr="0042762E" w:rsidRDefault="00B866A9" w:rsidP="0042762E">
            <w:pPr>
              <w:pStyle w:val="TableTextEntries"/>
            </w:pPr>
            <w:r w:rsidRPr="0042762E">
              <w:t>Multilaterals</w:t>
            </w:r>
          </w:p>
        </w:tc>
        <w:tc>
          <w:tcPr>
            <w:tcW w:w="1058" w:type="dxa"/>
            <w:shd w:val="clear" w:color="auto" w:fill="F79646" w:themeFill="accent6"/>
            <w:noWrap/>
          </w:tcPr>
          <w:p w14:paraId="420DC63C" w14:textId="77777777" w:rsidR="00B866A9" w:rsidRPr="0042762E" w:rsidRDefault="00B866A9" w:rsidP="0042762E">
            <w:pPr>
              <w:pStyle w:val="TableTextEntries"/>
              <w:jc w:val="center"/>
            </w:pPr>
            <w:r w:rsidRPr="0042762E">
              <w:t>Amber</w:t>
            </w:r>
          </w:p>
        </w:tc>
        <w:tc>
          <w:tcPr>
            <w:tcW w:w="396" w:type="dxa"/>
          </w:tcPr>
          <w:p w14:paraId="420DC63D" w14:textId="77777777" w:rsidR="00B866A9" w:rsidRPr="0042762E" w:rsidRDefault="00B866A9" w:rsidP="0042762E">
            <w:pPr>
              <w:pStyle w:val="TableTextEntries"/>
              <w:jc w:val="center"/>
            </w:pPr>
          </w:p>
        </w:tc>
        <w:tc>
          <w:tcPr>
            <w:tcW w:w="1112" w:type="dxa"/>
            <w:shd w:val="clear" w:color="auto" w:fill="auto"/>
            <w:noWrap/>
          </w:tcPr>
          <w:p w14:paraId="420DC63E" w14:textId="77777777" w:rsidR="00B866A9" w:rsidRPr="0042762E" w:rsidRDefault="00465AAF" w:rsidP="0042762E">
            <w:pPr>
              <w:pStyle w:val="TableTextEntries"/>
              <w:jc w:val="center"/>
            </w:pPr>
            <w:r w:rsidRPr="0042762E">
              <w:t>N/A</w:t>
            </w:r>
          </w:p>
        </w:tc>
      </w:tr>
      <w:tr w:rsidR="00B866A9" w:rsidRPr="006222EA" w14:paraId="420DC644" w14:textId="77777777" w:rsidTr="00063AD6">
        <w:trPr>
          <w:cnfStyle w:val="000000010000" w:firstRow="0" w:lastRow="0" w:firstColumn="0" w:lastColumn="0" w:oddVBand="0" w:evenVBand="0" w:oddHBand="0" w:evenHBand="1" w:firstRowFirstColumn="0" w:firstRowLastColumn="0" w:lastRowFirstColumn="0" w:lastRowLastColumn="0"/>
        </w:trPr>
        <w:tc>
          <w:tcPr>
            <w:tcW w:w="5844" w:type="dxa"/>
          </w:tcPr>
          <w:p w14:paraId="420DC640" w14:textId="77777777" w:rsidR="00B866A9" w:rsidRPr="0042762E" w:rsidRDefault="00CE30D1" w:rsidP="0042762E">
            <w:pPr>
              <w:pStyle w:val="TableTextEntries"/>
            </w:pPr>
            <w:r w:rsidRPr="0042762E">
              <w:t>Development t</w:t>
            </w:r>
            <w:r w:rsidR="00B866A9" w:rsidRPr="0042762E">
              <w:t xml:space="preserve">hrough </w:t>
            </w:r>
            <w:r w:rsidRPr="0042762E">
              <w:t>s</w:t>
            </w:r>
            <w:r w:rsidR="00B866A9" w:rsidRPr="0042762E">
              <w:t>port</w:t>
            </w:r>
          </w:p>
        </w:tc>
        <w:tc>
          <w:tcPr>
            <w:tcW w:w="1058" w:type="dxa"/>
            <w:shd w:val="clear" w:color="auto" w:fill="92D050"/>
            <w:noWrap/>
          </w:tcPr>
          <w:p w14:paraId="420DC641" w14:textId="77777777" w:rsidR="00B866A9" w:rsidRPr="0042762E" w:rsidRDefault="00B866A9" w:rsidP="0042762E">
            <w:pPr>
              <w:pStyle w:val="TableTextEntries"/>
              <w:jc w:val="center"/>
            </w:pPr>
            <w:r w:rsidRPr="0042762E">
              <w:t>Green</w:t>
            </w:r>
          </w:p>
        </w:tc>
        <w:tc>
          <w:tcPr>
            <w:tcW w:w="396" w:type="dxa"/>
          </w:tcPr>
          <w:p w14:paraId="420DC642" w14:textId="77777777" w:rsidR="00B866A9" w:rsidRPr="0042762E" w:rsidRDefault="00B866A9" w:rsidP="0042762E">
            <w:pPr>
              <w:pStyle w:val="TableTextEntries"/>
              <w:jc w:val="center"/>
            </w:pPr>
          </w:p>
        </w:tc>
        <w:tc>
          <w:tcPr>
            <w:tcW w:w="1112" w:type="dxa"/>
            <w:shd w:val="clear" w:color="auto" w:fill="auto"/>
            <w:noWrap/>
          </w:tcPr>
          <w:p w14:paraId="420DC643" w14:textId="77777777" w:rsidR="00B866A9" w:rsidRPr="0042762E" w:rsidRDefault="00465AAF" w:rsidP="0042762E">
            <w:pPr>
              <w:pStyle w:val="TableTextEntries"/>
              <w:jc w:val="center"/>
            </w:pPr>
            <w:r w:rsidRPr="0042762E">
              <w:t>N/A</w:t>
            </w:r>
          </w:p>
        </w:tc>
      </w:tr>
    </w:tbl>
    <w:p w14:paraId="420DC645" w14:textId="77777777" w:rsidR="00063AD6" w:rsidRPr="006222EA" w:rsidRDefault="00063AD6" w:rsidP="00FE62B5">
      <w:pPr>
        <w:pStyle w:val="Note"/>
      </w:pPr>
      <w:r w:rsidRPr="006222EA">
        <w:rPr>
          <w:color w:val="92D050"/>
        </w:rPr>
        <w:sym w:font="Webdings" w:char="F067"/>
      </w:r>
      <w:r w:rsidRPr="006222EA">
        <w:t> </w:t>
      </w:r>
      <w:r w:rsidRPr="006222EA">
        <w:t xml:space="preserve"> </w:t>
      </w:r>
      <w:proofErr w:type="gramStart"/>
      <w:r w:rsidRPr="006222EA">
        <w:t>Green.</w:t>
      </w:r>
      <w:proofErr w:type="gramEnd"/>
      <w:r w:rsidRPr="006222EA">
        <w:t xml:space="preserve"> Progress is as expected for this point in time and it is likely that the objective will be achieved. Standard program management practices are sufficient.</w:t>
      </w:r>
    </w:p>
    <w:p w14:paraId="420DC646" w14:textId="77777777" w:rsidR="00063AD6" w:rsidRPr="006222EA" w:rsidRDefault="00063AD6" w:rsidP="00FE62B5">
      <w:pPr>
        <w:pStyle w:val="Note"/>
      </w:pPr>
      <w:r w:rsidRPr="006222EA">
        <w:rPr>
          <w:color w:val="F79646" w:themeColor="accent6"/>
        </w:rPr>
        <w:sym w:font="Webdings" w:char="F067"/>
      </w:r>
      <w:r w:rsidRPr="006222EA">
        <w:t> </w:t>
      </w:r>
      <w:r w:rsidRPr="006222EA">
        <w:t xml:space="preserve"> Amber. Progress is somewhat less than expected for this point in time and restorative action will be necessary if the objective is to be achieved. Close performance monitoring is recommended.</w:t>
      </w:r>
    </w:p>
    <w:p w14:paraId="420DC647" w14:textId="77777777" w:rsidR="00063AD6" w:rsidRPr="006222EA" w:rsidRDefault="00063AD6" w:rsidP="00FE62B5">
      <w:pPr>
        <w:pStyle w:val="Note"/>
        <w:rPr>
          <w:szCs w:val="22"/>
        </w:rPr>
      </w:pPr>
      <w:r w:rsidRPr="006222EA">
        <w:rPr>
          <w:color w:val="FF0000"/>
        </w:rPr>
        <w:sym w:font="Webdings" w:char="F067"/>
      </w:r>
      <w:r w:rsidRPr="006222EA">
        <w:t> </w:t>
      </w:r>
      <w:r w:rsidRPr="006222EA">
        <w:t xml:space="preserve"> </w:t>
      </w:r>
      <w:proofErr w:type="gramStart"/>
      <w:r w:rsidRPr="006222EA">
        <w:t>Red.</w:t>
      </w:r>
      <w:proofErr w:type="gramEnd"/>
      <w:r w:rsidRPr="006222EA">
        <w:t xml:space="preserve"> Progress is significantly less than expected for this point in time and the objective is not likely to be met given available resources and priorities. Recasting the objective may be required. </w:t>
      </w:r>
    </w:p>
    <w:p w14:paraId="420DC648" w14:textId="77777777" w:rsidR="00B2767A" w:rsidRPr="006222EA" w:rsidRDefault="00E12830" w:rsidP="00B2767A">
      <w:pPr>
        <w:pStyle w:val="Heading1"/>
      </w:pPr>
      <w:r w:rsidRPr="006222EA">
        <w:t xml:space="preserve">Pacific </w:t>
      </w:r>
      <w:r w:rsidR="00F95B9A">
        <w:t>r</w:t>
      </w:r>
      <w:r w:rsidR="00B2767A" w:rsidRPr="006222EA">
        <w:t xml:space="preserve">egional </w:t>
      </w:r>
      <w:r w:rsidR="00F95B9A">
        <w:t>o</w:t>
      </w:r>
      <w:r w:rsidR="00B2767A" w:rsidRPr="006222EA">
        <w:t>rganisations</w:t>
      </w:r>
    </w:p>
    <w:p w14:paraId="420DC649" w14:textId="77777777" w:rsidR="00B2767A" w:rsidRPr="006222EA" w:rsidRDefault="00B2767A" w:rsidP="00B2767A">
      <w:pPr>
        <w:pStyle w:val="Heading2"/>
      </w:pPr>
      <w:r w:rsidRPr="006222EA">
        <w:t>Program objectives</w:t>
      </w:r>
    </w:p>
    <w:p w14:paraId="420DC64A" w14:textId="77777777" w:rsidR="00A46233" w:rsidRPr="006222EA" w:rsidRDefault="00A46233" w:rsidP="00FE62B5">
      <w:pPr>
        <w:pStyle w:val="BodyText"/>
      </w:pPr>
      <w:r w:rsidRPr="006222EA">
        <w:t xml:space="preserve">Australia is a major donor to and member of several </w:t>
      </w:r>
      <w:proofErr w:type="spellStart"/>
      <w:r w:rsidR="00AC4DAB" w:rsidRPr="006222EA">
        <w:t>PROs</w:t>
      </w:r>
      <w:r w:rsidRPr="006222EA">
        <w:t>.</w:t>
      </w:r>
      <w:proofErr w:type="spellEnd"/>
      <w:r w:rsidRPr="006222EA">
        <w:t xml:space="preserve"> </w:t>
      </w:r>
      <w:r w:rsidRPr="006222EA">
        <w:rPr>
          <w:lang w:val="en"/>
        </w:rPr>
        <w:t>Australia provides</w:t>
      </w:r>
      <w:r w:rsidR="009F2FC1">
        <w:rPr>
          <w:lang w:val="en"/>
        </w:rPr>
        <w:t xml:space="preserve"> </w:t>
      </w:r>
      <w:r w:rsidRPr="006222EA">
        <w:rPr>
          <w:lang w:val="en"/>
        </w:rPr>
        <w:t>core funding</w:t>
      </w:r>
      <w:r w:rsidR="009F2FC1">
        <w:rPr>
          <w:lang w:val="en"/>
        </w:rPr>
        <w:t xml:space="preserve"> to</w:t>
      </w:r>
      <w:r w:rsidR="00605392">
        <w:rPr>
          <w:lang w:val="en"/>
        </w:rPr>
        <w:t>,</w:t>
      </w:r>
      <w:r w:rsidRPr="006222EA">
        <w:rPr>
          <w:lang w:val="en"/>
        </w:rPr>
        <w:t xml:space="preserve"> and additional project support for</w:t>
      </w:r>
      <w:r w:rsidR="00605392">
        <w:rPr>
          <w:lang w:val="en"/>
        </w:rPr>
        <w:t>,</w:t>
      </w:r>
      <w:r w:rsidRPr="006222EA">
        <w:rPr>
          <w:lang w:val="en"/>
        </w:rPr>
        <w:t xml:space="preserve"> the implementation of initiatives</w:t>
      </w:r>
      <w:r w:rsidR="009F2FC1">
        <w:rPr>
          <w:lang w:val="en"/>
        </w:rPr>
        <w:t xml:space="preserve"> through these </w:t>
      </w:r>
      <w:r w:rsidR="009F2FC1" w:rsidRPr="007B734F">
        <w:t>organisations</w:t>
      </w:r>
      <w:r w:rsidRPr="006222EA">
        <w:rPr>
          <w:lang w:val="en"/>
        </w:rPr>
        <w:t xml:space="preserve">. </w:t>
      </w:r>
      <w:r w:rsidRPr="006222EA">
        <w:t>P</w:t>
      </w:r>
      <w:r w:rsidR="00F95B9A">
        <w:t>ROs</w:t>
      </w:r>
      <w:r w:rsidRPr="006222EA">
        <w:t xml:space="preserve"> articulate a common voice for the development needs and concerns of the region </w:t>
      </w:r>
      <w:r w:rsidR="00000F04">
        <w:t xml:space="preserve">through </w:t>
      </w:r>
      <w:r w:rsidRPr="006222EA">
        <w:t xml:space="preserve">international </w:t>
      </w:r>
      <w:proofErr w:type="spellStart"/>
      <w:r w:rsidRPr="006222EA">
        <w:t>fora</w:t>
      </w:r>
      <w:proofErr w:type="spellEnd"/>
      <w:r w:rsidRPr="006222EA">
        <w:t>, such as advocacy for the needs of Small I</w:t>
      </w:r>
      <w:r w:rsidR="00B0028B">
        <w:t>sland Developing States.</w:t>
      </w:r>
    </w:p>
    <w:p w14:paraId="420DC64B" w14:textId="5218F247" w:rsidR="00F30681" w:rsidRPr="006222EA" w:rsidRDefault="00EC6CA7" w:rsidP="00FE62B5">
      <w:pPr>
        <w:pStyle w:val="BodyText"/>
        <w:rPr>
          <w:lang w:val="en"/>
        </w:rPr>
      </w:pPr>
      <w:r>
        <w:t xml:space="preserve">Australia </w:t>
      </w:r>
      <w:r w:rsidR="00A46233" w:rsidRPr="006222EA">
        <w:t xml:space="preserve">contributes </w:t>
      </w:r>
      <w:proofErr w:type="gramStart"/>
      <w:r w:rsidR="00A46233" w:rsidRPr="006222EA">
        <w:t xml:space="preserve">significantly </w:t>
      </w:r>
      <w:r w:rsidR="00B2767A" w:rsidRPr="006222EA">
        <w:t xml:space="preserve"> </w:t>
      </w:r>
      <w:r w:rsidR="00605392">
        <w:t>through</w:t>
      </w:r>
      <w:proofErr w:type="gramEnd"/>
      <w:r w:rsidR="009F2FC1">
        <w:t xml:space="preserve"> a range of PROs, including</w:t>
      </w:r>
      <w:r w:rsidR="00B2767A" w:rsidRPr="006222EA">
        <w:t xml:space="preserve"> </w:t>
      </w:r>
      <w:r w:rsidR="008F75B0" w:rsidRPr="006222EA">
        <w:t xml:space="preserve">the </w:t>
      </w:r>
      <w:r w:rsidR="00A46233" w:rsidRPr="006222EA">
        <w:t>P</w:t>
      </w:r>
      <w:r w:rsidR="00AB7772">
        <w:t>acific Island Forum Secretariat</w:t>
      </w:r>
      <w:r w:rsidR="00A46233" w:rsidRPr="006222EA">
        <w:t xml:space="preserve">, </w:t>
      </w:r>
      <w:r w:rsidR="00A477C1">
        <w:t>Secretariat of the Pacific Community (</w:t>
      </w:r>
      <w:r w:rsidR="00B2767A" w:rsidRPr="006222EA">
        <w:t>SPC</w:t>
      </w:r>
      <w:r w:rsidR="00A477C1">
        <w:t>)</w:t>
      </w:r>
      <w:r w:rsidR="00B2767A" w:rsidRPr="006222EA">
        <w:t>, Forum Fisheries Agency (FFA), Secretariat of the Pacific Regional Environment Programme (SPREP)</w:t>
      </w:r>
      <w:r w:rsidR="00000F04">
        <w:t>,</w:t>
      </w:r>
      <w:r w:rsidR="00B2767A" w:rsidRPr="006222EA">
        <w:t xml:space="preserve"> and Univers</w:t>
      </w:r>
      <w:r w:rsidR="00CC0B4F" w:rsidRPr="006222EA">
        <w:t>ity of the South Pacific (USP).</w:t>
      </w:r>
      <w:r w:rsidR="00A46233" w:rsidRPr="006222EA">
        <w:t xml:space="preserve"> </w:t>
      </w:r>
      <w:r w:rsidR="009F2FC1">
        <w:t>This f</w:t>
      </w:r>
      <w:r w:rsidR="00A46233" w:rsidRPr="006222EA">
        <w:t>inancial s</w:t>
      </w:r>
      <w:r w:rsidR="00B2767A" w:rsidRPr="006222EA">
        <w:t>upport</w:t>
      </w:r>
      <w:r w:rsidR="00000F04">
        <w:t xml:space="preserve"> </w:t>
      </w:r>
      <w:r w:rsidR="009F2FC1">
        <w:t>is</w:t>
      </w:r>
      <w:r w:rsidR="00B2767A" w:rsidRPr="006222EA">
        <w:t xml:space="preserve"> approximately one</w:t>
      </w:r>
      <w:r w:rsidR="009F2FC1">
        <w:t>-</w:t>
      </w:r>
      <w:r w:rsidR="00B2767A" w:rsidRPr="006222EA">
        <w:t xml:space="preserve">third </w:t>
      </w:r>
      <w:r w:rsidR="00A52372" w:rsidRPr="006222EA">
        <w:t>of the regional program</w:t>
      </w:r>
      <w:r w:rsidR="00A46233" w:rsidRPr="006222EA">
        <w:t>.</w:t>
      </w:r>
      <w:r w:rsidR="00A46233" w:rsidRPr="006222EA">
        <w:rPr>
          <w:rStyle w:val="FootnoteReference"/>
        </w:rPr>
        <w:footnoteReference w:id="11"/>
      </w:r>
      <w:r w:rsidR="00D8178B" w:rsidRPr="006222EA">
        <w:t xml:space="preserve"> </w:t>
      </w:r>
      <w:r w:rsidR="00AC4DAB" w:rsidRPr="006222EA">
        <w:t xml:space="preserve">Other Australian </w:t>
      </w:r>
      <w:r w:rsidR="00A90EC5">
        <w:t>G</w:t>
      </w:r>
      <w:r w:rsidR="00AC4DAB" w:rsidRPr="006222EA">
        <w:t>overnment agencies</w:t>
      </w:r>
      <w:r w:rsidR="009F2FC1">
        <w:t xml:space="preserve"> </w:t>
      </w:r>
      <w:r w:rsidR="00AC4DAB" w:rsidRPr="006222EA">
        <w:t xml:space="preserve">engage with PROs as members, such as the Department of Agriculture, Fisheries and Forestry and </w:t>
      </w:r>
      <w:r w:rsidR="00AC4DAB" w:rsidRPr="006222EA">
        <w:rPr>
          <w:rStyle w:val="st"/>
          <w:color w:val="222222"/>
          <w:szCs w:val="22"/>
        </w:rPr>
        <w:t xml:space="preserve">Department of Sustainability, </w:t>
      </w:r>
      <w:r w:rsidR="00AC4DAB" w:rsidRPr="006222EA">
        <w:rPr>
          <w:rStyle w:val="st"/>
          <w:color w:val="222222"/>
          <w:szCs w:val="22"/>
        </w:rPr>
        <w:lastRenderedPageBreak/>
        <w:t xml:space="preserve">Environment, Water, Population and Communities. </w:t>
      </w:r>
      <w:r w:rsidR="00605392">
        <w:rPr>
          <w:rStyle w:val="st"/>
          <w:color w:val="222222"/>
          <w:szCs w:val="22"/>
        </w:rPr>
        <w:t xml:space="preserve">Other </w:t>
      </w:r>
      <w:r w:rsidR="00AC4DAB" w:rsidRPr="006222EA">
        <w:rPr>
          <w:rStyle w:val="st"/>
          <w:color w:val="222222"/>
          <w:szCs w:val="22"/>
        </w:rPr>
        <w:t>agencies partner with PROs to deliver programs, such as the Australian Bureau of Statistics.</w:t>
      </w:r>
    </w:p>
    <w:p w14:paraId="420DC64C" w14:textId="77777777" w:rsidR="00B2767A" w:rsidRPr="006222EA" w:rsidRDefault="00B2767A" w:rsidP="00B2767A">
      <w:pPr>
        <w:pStyle w:val="Heading2"/>
      </w:pPr>
      <w:r w:rsidRPr="006222EA">
        <w:t>Key achievements</w:t>
      </w:r>
    </w:p>
    <w:p w14:paraId="420DC64D" w14:textId="6FDCAC91" w:rsidR="00B2767A" w:rsidRPr="006222EA" w:rsidRDefault="00B2767A" w:rsidP="00FE62B5">
      <w:pPr>
        <w:pStyle w:val="BodyText"/>
      </w:pPr>
      <w:r w:rsidRPr="00000F04">
        <w:t xml:space="preserve">This section </w:t>
      </w:r>
      <w:r w:rsidR="00000F04">
        <w:t>lists</w:t>
      </w:r>
      <w:r w:rsidR="009F2FC1" w:rsidRPr="00000F04">
        <w:t xml:space="preserve"> key</w:t>
      </w:r>
      <w:r w:rsidRPr="00000F04">
        <w:t xml:space="preserve"> achievements in improving the </w:t>
      </w:r>
      <w:r w:rsidR="00A46233" w:rsidRPr="00000F04">
        <w:t xml:space="preserve">performance of the </w:t>
      </w:r>
      <w:r w:rsidRPr="00000F04">
        <w:t xml:space="preserve">Pacific regional </w:t>
      </w:r>
      <w:r w:rsidR="00A46233" w:rsidRPr="00000F04">
        <w:t xml:space="preserve">institutional </w:t>
      </w:r>
      <w:r w:rsidR="00871FBE" w:rsidRPr="00000F04">
        <w:t>architecture</w:t>
      </w:r>
      <w:r w:rsidR="00605392">
        <w:t xml:space="preserve"> as well as</w:t>
      </w:r>
      <w:r w:rsidRPr="00000F04">
        <w:t xml:space="preserve"> building organisational capacity</w:t>
      </w:r>
      <w:r w:rsidRPr="006222EA">
        <w:t xml:space="preserve"> and strengthening </w:t>
      </w:r>
      <w:r w:rsidR="00EC6CA7">
        <w:t>Australian</w:t>
      </w:r>
      <w:r w:rsidRPr="006222EA">
        <w:t xml:space="preserve"> engagement with </w:t>
      </w:r>
      <w:proofErr w:type="spellStart"/>
      <w:r w:rsidR="00AC4DAB" w:rsidRPr="006222EA">
        <w:t>PROs</w:t>
      </w:r>
      <w:r w:rsidR="00A46233" w:rsidRPr="006222EA">
        <w:t>.</w:t>
      </w:r>
      <w:proofErr w:type="spellEnd"/>
      <w:r w:rsidR="00A46233" w:rsidRPr="006222EA">
        <w:t xml:space="preserve"> Achievements of </w:t>
      </w:r>
      <w:r w:rsidR="00AB7772">
        <w:t>PROs</w:t>
      </w:r>
      <w:r w:rsidRPr="006222EA">
        <w:t xml:space="preserve"> at sector level are </w:t>
      </w:r>
      <w:r w:rsidR="009F2FC1">
        <w:t>found throughout</w:t>
      </w:r>
      <w:r w:rsidRPr="006222EA">
        <w:t xml:space="preserve"> this </w:t>
      </w:r>
      <w:r w:rsidR="005C5D12">
        <w:t>APPR</w:t>
      </w:r>
      <w:r w:rsidRPr="006222EA">
        <w:t>.</w:t>
      </w:r>
    </w:p>
    <w:p w14:paraId="420DC64E" w14:textId="5456D0D9" w:rsidR="00F30681" w:rsidRPr="006222EA" w:rsidRDefault="009B2488" w:rsidP="00FE62B5">
      <w:pPr>
        <w:pStyle w:val="ListBullet"/>
      </w:pPr>
      <w:r>
        <w:t>E</w:t>
      </w:r>
      <w:r w:rsidR="0077737D" w:rsidRPr="006222EA">
        <w:t xml:space="preserve">ngagement with </w:t>
      </w:r>
      <w:r w:rsidR="00F30681" w:rsidRPr="006222EA">
        <w:t>PROs</w:t>
      </w:r>
      <w:r w:rsidR="0077737D" w:rsidRPr="006222EA">
        <w:t xml:space="preserve"> </w:t>
      </w:r>
      <w:r w:rsidR="00B2767A" w:rsidRPr="006222EA">
        <w:t xml:space="preserve">was enhanced </w:t>
      </w:r>
      <w:r w:rsidR="00605392">
        <w:t>in</w:t>
      </w:r>
      <w:r w:rsidR="00605392" w:rsidRPr="006222EA">
        <w:t xml:space="preserve"> </w:t>
      </w:r>
      <w:r w:rsidR="00B2767A" w:rsidRPr="006222EA">
        <w:t>2012</w:t>
      </w:r>
      <w:r w:rsidR="003E4404" w:rsidRPr="006222EA">
        <w:t xml:space="preserve">. </w:t>
      </w:r>
      <w:r w:rsidR="00B2767A" w:rsidRPr="006222EA">
        <w:t xml:space="preserve">Strong engagement with the </w:t>
      </w:r>
      <w:r w:rsidR="00B2767A" w:rsidRPr="00E4049B">
        <w:rPr>
          <w:b/>
        </w:rPr>
        <w:t>Pacific Plan Review</w:t>
      </w:r>
      <w:r w:rsidR="00B2767A" w:rsidRPr="006222EA">
        <w:t xml:space="preserve"> team resulted in timely input of Australian views and robust contribution to debate. </w:t>
      </w:r>
      <w:r w:rsidR="006B14B7" w:rsidRPr="006222EA">
        <w:t xml:space="preserve">AusAID invested considerable resources in </w:t>
      </w:r>
      <w:r w:rsidR="006B14B7" w:rsidRPr="00E4049B">
        <w:rPr>
          <w:b/>
        </w:rPr>
        <w:t xml:space="preserve">supporting the reviews of </w:t>
      </w:r>
      <w:r w:rsidR="009F2FC1" w:rsidRPr="00E4049B">
        <w:rPr>
          <w:b/>
        </w:rPr>
        <w:t xml:space="preserve">the </w:t>
      </w:r>
      <w:r w:rsidR="006B14B7" w:rsidRPr="00E4049B">
        <w:rPr>
          <w:b/>
        </w:rPr>
        <w:t>SPC and P</w:t>
      </w:r>
      <w:r w:rsidR="00AB7772" w:rsidRPr="00E4049B">
        <w:rPr>
          <w:b/>
        </w:rPr>
        <w:t>acific Island Forum Secretariat</w:t>
      </w:r>
      <w:r w:rsidR="003E4404" w:rsidRPr="006222EA">
        <w:t xml:space="preserve"> and in </w:t>
      </w:r>
      <w:r w:rsidR="002735C8" w:rsidRPr="006222EA">
        <w:t>implement</w:t>
      </w:r>
      <w:r w:rsidR="009F2FC1">
        <w:t>ing</w:t>
      </w:r>
      <w:r w:rsidR="006B14B7" w:rsidRPr="006222EA">
        <w:t xml:space="preserve"> the recommendations</w:t>
      </w:r>
      <w:r w:rsidR="00395B7D" w:rsidRPr="006222EA">
        <w:t>. This</w:t>
      </w:r>
      <w:r w:rsidR="006B14B7" w:rsidRPr="006222EA">
        <w:t xml:space="preserve"> is beginning to deliver results.</w:t>
      </w:r>
    </w:p>
    <w:p w14:paraId="420DC64F" w14:textId="62C42F1A" w:rsidR="00B2767A" w:rsidRPr="00AB7772" w:rsidRDefault="006633C3" w:rsidP="00FE62B5">
      <w:pPr>
        <w:pStyle w:val="ListBullet"/>
      </w:pPr>
      <w:r>
        <w:t xml:space="preserve">Australian </w:t>
      </w:r>
      <w:r w:rsidR="007720A5">
        <w:t>s</w:t>
      </w:r>
      <w:r w:rsidR="00E71828" w:rsidRPr="006222EA">
        <w:t xml:space="preserve">upport to </w:t>
      </w:r>
      <w:r w:rsidR="00B2767A" w:rsidRPr="006222EA">
        <w:t xml:space="preserve">implement </w:t>
      </w:r>
      <w:r w:rsidR="00B2767A" w:rsidRPr="00E4049B">
        <w:rPr>
          <w:b/>
        </w:rPr>
        <w:t>corporate reform</w:t>
      </w:r>
      <w:r w:rsidR="009955C4" w:rsidRPr="00E4049B">
        <w:rPr>
          <w:b/>
        </w:rPr>
        <w:t>s</w:t>
      </w:r>
      <w:r w:rsidR="00B2767A" w:rsidRPr="00E4049B">
        <w:rPr>
          <w:rStyle w:val="FootnoteReference"/>
          <w:b/>
        </w:rPr>
        <w:footnoteReference w:id="12"/>
      </w:r>
      <w:r w:rsidR="00B2767A" w:rsidRPr="00E4049B">
        <w:rPr>
          <w:b/>
        </w:rPr>
        <w:t xml:space="preserve"> has</w:t>
      </w:r>
      <w:r w:rsidR="00E71828" w:rsidRPr="00E4049B">
        <w:rPr>
          <w:b/>
        </w:rPr>
        <w:t xml:space="preserve"> strengthened </w:t>
      </w:r>
      <w:r w:rsidR="0090035E">
        <w:rPr>
          <w:b/>
        </w:rPr>
        <w:t xml:space="preserve">the </w:t>
      </w:r>
      <w:r w:rsidR="00E71828" w:rsidRPr="00E4049B">
        <w:rPr>
          <w:b/>
        </w:rPr>
        <w:t>P</w:t>
      </w:r>
      <w:r w:rsidR="00AB7772" w:rsidRPr="00E4049B">
        <w:rPr>
          <w:b/>
        </w:rPr>
        <w:t>acific Island Forum Secretariat</w:t>
      </w:r>
      <w:r w:rsidR="00B2767A" w:rsidRPr="00AB7772">
        <w:t xml:space="preserve"> capacity to deliver timely support to PIC members.</w:t>
      </w:r>
    </w:p>
    <w:p w14:paraId="420DC650" w14:textId="77777777" w:rsidR="00B2767A" w:rsidRPr="006222EA" w:rsidRDefault="00B2767A" w:rsidP="00FE62B5">
      <w:pPr>
        <w:pStyle w:val="ListBullet"/>
      </w:pPr>
      <w:r w:rsidRPr="006222EA">
        <w:t>Australia’s</w:t>
      </w:r>
      <w:r w:rsidR="00E71828" w:rsidRPr="006222EA">
        <w:t xml:space="preserve"> </w:t>
      </w:r>
      <w:r w:rsidRPr="006222EA">
        <w:t>partnership with</w:t>
      </w:r>
      <w:r w:rsidR="009F2FC1">
        <w:t xml:space="preserve"> the</w:t>
      </w:r>
      <w:r w:rsidRPr="006222EA">
        <w:t xml:space="preserve"> USP has </w:t>
      </w:r>
      <w:r w:rsidRPr="006222EA">
        <w:rPr>
          <w:color w:val="000000" w:themeColor="text1"/>
        </w:rPr>
        <w:t>helped to stabilise</w:t>
      </w:r>
      <w:r w:rsidRPr="006222EA">
        <w:t xml:space="preserve"> finances, improve services and facilities for students, strengthen governance and improve </w:t>
      </w:r>
      <w:r w:rsidR="009955C4" w:rsidRPr="006222EA">
        <w:t>program</w:t>
      </w:r>
      <w:r w:rsidRPr="006222EA">
        <w:t xml:space="preserve"> quality</w:t>
      </w:r>
      <w:r w:rsidR="009955C4" w:rsidRPr="006222EA">
        <w:t>.</w:t>
      </w:r>
    </w:p>
    <w:p w14:paraId="420DC651" w14:textId="77777777" w:rsidR="00F8198E" w:rsidRPr="006222EA" w:rsidRDefault="00554C41" w:rsidP="00FE62B5">
      <w:pPr>
        <w:pStyle w:val="ListBullet"/>
      </w:pPr>
      <w:r>
        <w:t xml:space="preserve">The </w:t>
      </w:r>
      <w:r w:rsidR="00B2767A" w:rsidRPr="006222EA">
        <w:t xml:space="preserve">SPC has made strong progress implementing the recommendations of </w:t>
      </w:r>
      <w:r>
        <w:t>its</w:t>
      </w:r>
      <w:r w:rsidRPr="006222EA">
        <w:t xml:space="preserve"> </w:t>
      </w:r>
      <w:r w:rsidR="00B2767A" w:rsidRPr="006222EA">
        <w:t xml:space="preserve">Australian-funded independent review, </w:t>
      </w:r>
      <w:r>
        <w:t xml:space="preserve">which has been </w:t>
      </w:r>
      <w:r w:rsidR="00B2767A" w:rsidRPr="006222EA">
        <w:t>supported by follow-on funding and high</w:t>
      </w:r>
      <w:r>
        <w:t>-</w:t>
      </w:r>
      <w:r w:rsidR="00B2767A" w:rsidRPr="006222EA">
        <w:t>level engagement</w:t>
      </w:r>
      <w:r w:rsidR="009955C4" w:rsidRPr="006222EA">
        <w:t>.</w:t>
      </w:r>
      <w:r w:rsidR="00B2767A" w:rsidRPr="006222EA">
        <w:rPr>
          <w:rStyle w:val="FootnoteReference"/>
        </w:rPr>
        <w:footnoteReference w:id="13"/>
      </w:r>
      <w:r w:rsidR="00B2767A" w:rsidRPr="006222EA">
        <w:t xml:space="preserve"> </w:t>
      </w:r>
      <w:r w:rsidR="00B2767A" w:rsidRPr="00E4049B">
        <w:rPr>
          <w:b/>
        </w:rPr>
        <w:t>SPC</w:t>
      </w:r>
      <w:r w:rsidR="009955C4" w:rsidRPr="00E4049B">
        <w:rPr>
          <w:b/>
        </w:rPr>
        <w:t>’s new Co</w:t>
      </w:r>
      <w:r w:rsidR="00B2767A" w:rsidRPr="00E4049B">
        <w:rPr>
          <w:b/>
        </w:rPr>
        <w:t>rporate Strategic Plan 2013</w:t>
      </w:r>
      <w:r w:rsidR="00160DD7" w:rsidRPr="00E4049B">
        <w:rPr>
          <w:b/>
        </w:rPr>
        <w:t>–</w:t>
      </w:r>
      <w:r w:rsidR="00B2767A" w:rsidRPr="00E4049B">
        <w:rPr>
          <w:b/>
        </w:rPr>
        <w:t>15</w:t>
      </w:r>
      <w:r w:rsidR="00B2767A" w:rsidRPr="006222EA">
        <w:t xml:space="preserve"> </w:t>
      </w:r>
      <w:r>
        <w:t>is</w:t>
      </w:r>
      <w:r w:rsidRPr="006222EA">
        <w:t xml:space="preserve"> </w:t>
      </w:r>
      <w:r w:rsidR="00B2767A" w:rsidRPr="006222EA">
        <w:t>plac</w:t>
      </w:r>
      <w:r>
        <w:t>ing</w:t>
      </w:r>
      <w:r w:rsidR="00B2767A" w:rsidRPr="006222EA">
        <w:t xml:space="preserve"> greater emphasis on monitoring for results and prioritising core services with the identif</w:t>
      </w:r>
      <w:r w:rsidR="00F8198E" w:rsidRPr="006222EA">
        <w:t>ied national needs of members.</w:t>
      </w:r>
    </w:p>
    <w:p w14:paraId="420DC652" w14:textId="6F8642FE" w:rsidR="00B2767A" w:rsidRPr="006222EA" w:rsidRDefault="006633C3" w:rsidP="00FE62B5">
      <w:pPr>
        <w:pStyle w:val="ListBullet"/>
      </w:pPr>
      <w:r>
        <w:t>The Australian aid program</w:t>
      </w:r>
      <w:r w:rsidR="00B2767A" w:rsidRPr="006222EA">
        <w:t xml:space="preserve"> moved to a </w:t>
      </w:r>
      <w:r w:rsidR="00B2767A" w:rsidRPr="00E4049B">
        <w:rPr>
          <w:b/>
        </w:rPr>
        <w:t>multi-year funding agreement with</w:t>
      </w:r>
      <w:r w:rsidR="00554C41" w:rsidRPr="00E4049B">
        <w:rPr>
          <w:b/>
        </w:rPr>
        <w:t xml:space="preserve"> the</w:t>
      </w:r>
      <w:r w:rsidR="00B2767A" w:rsidRPr="00E4049B">
        <w:rPr>
          <w:b/>
        </w:rPr>
        <w:t xml:space="preserve"> SPREP</w:t>
      </w:r>
      <w:r w:rsidR="00F8198E" w:rsidRPr="006222EA">
        <w:t>,</w:t>
      </w:r>
      <w:r w:rsidR="00395B7D" w:rsidRPr="006222EA">
        <w:t xml:space="preserve"> following positive changes</w:t>
      </w:r>
      <w:r w:rsidR="00554C41">
        <w:t xml:space="preserve"> made by </w:t>
      </w:r>
      <w:r w:rsidR="00605392">
        <w:t xml:space="preserve">the </w:t>
      </w:r>
      <w:r w:rsidR="00554C41">
        <w:t>SPREP. This included developing</w:t>
      </w:r>
      <w:r w:rsidR="00395B7D" w:rsidRPr="006222EA">
        <w:t xml:space="preserve"> a</w:t>
      </w:r>
      <w:r w:rsidR="00B2767A" w:rsidRPr="006222EA">
        <w:t xml:space="preserve"> new organisational structure, </w:t>
      </w:r>
      <w:r w:rsidR="00554C41">
        <w:t xml:space="preserve">developing </w:t>
      </w:r>
      <w:proofErr w:type="gramStart"/>
      <w:r w:rsidR="00B2767A" w:rsidRPr="006222EA">
        <w:t>the 2011</w:t>
      </w:r>
      <w:r w:rsidR="00160DD7">
        <w:t>–</w:t>
      </w:r>
      <w:r w:rsidR="00B2767A" w:rsidRPr="006222EA">
        <w:t>15 Strategic Pl</w:t>
      </w:r>
      <w:r w:rsidR="006B14B7" w:rsidRPr="006222EA">
        <w:t xml:space="preserve">an, </w:t>
      </w:r>
      <w:r w:rsidR="00554C41">
        <w:t xml:space="preserve">implementing </w:t>
      </w:r>
      <w:r w:rsidR="006B14B7" w:rsidRPr="006222EA">
        <w:t>more robust financial and human resource</w:t>
      </w:r>
      <w:r w:rsidR="00B2767A" w:rsidRPr="006222EA">
        <w:t xml:space="preserve"> systems, reduc</w:t>
      </w:r>
      <w:r w:rsidR="00554C41">
        <w:t>ing</w:t>
      </w:r>
      <w:r w:rsidR="00B2767A" w:rsidRPr="006222EA">
        <w:t xml:space="preserve"> operating costs</w:t>
      </w:r>
      <w:r w:rsidR="00AC4DE1">
        <w:t>,</w:t>
      </w:r>
      <w:r w:rsidR="00B2767A" w:rsidRPr="006222EA">
        <w:t xml:space="preserve"> and strengthen</w:t>
      </w:r>
      <w:r w:rsidR="00554C41">
        <w:t>ing</w:t>
      </w:r>
      <w:r w:rsidR="00B2767A" w:rsidRPr="006222EA">
        <w:t xml:space="preserve"> coordination with othe</w:t>
      </w:r>
      <w:r w:rsidR="0077737D" w:rsidRPr="006222EA">
        <w:t xml:space="preserve">r </w:t>
      </w:r>
      <w:proofErr w:type="spellStart"/>
      <w:r w:rsidR="00E4049B">
        <w:t>PROs</w:t>
      </w:r>
      <w:r w:rsidR="005B5581" w:rsidRPr="006222EA">
        <w:t>.</w:t>
      </w:r>
      <w:proofErr w:type="spellEnd"/>
      <w:proofErr w:type="gramEnd"/>
    </w:p>
    <w:p w14:paraId="420DC653" w14:textId="0CC4EF81" w:rsidR="00A52372" w:rsidRPr="006222EA" w:rsidRDefault="006633C3" w:rsidP="00FE62B5">
      <w:pPr>
        <w:pStyle w:val="ListBullet"/>
      </w:pPr>
      <w:r>
        <w:t>The Australian aid program’s</w:t>
      </w:r>
      <w:r w:rsidR="00B2767A" w:rsidRPr="006222EA">
        <w:t xml:space="preserve"> </w:t>
      </w:r>
      <w:r w:rsidR="00B2767A" w:rsidRPr="00E4049B">
        <w:rPr>
          <w:b/>
        </w:rPr>
        <w:t>partnership with the FFA</w:t>
      </w:r>
      <w:r w:rsidR="00B2767A" w:rsidRPr="006222EA">
        <w:t xml:space="preserve"> was strengthened through four-ye</w:t>
      </w:r>
      <w:r w:rsidR="005B5581" w:rsidRPr="006222EA">
        <w:t xml:space="preserve">ar core funding announced </w:t>
      </w:r>
      <w:r w:rsidR="000F20A0">
        <w:t xml:space="preserve">by the Prime Minister of Australia </w:t>
      </w:r>
      <w:r w:rsidR="005B5581" w:rsidRPr="006222EA">
        <w:t>as part of</w:t>
      </w:r>
      <w:r w:rsidR="00B2767A" w:rsidRPr="006222EA">
        <w:t xml:space="preserve"> </w:t>
      </w:r>
      <w:r w:rsidR="005B5581" w:rsidRPr="006222EA">
        <w:t>the</w:t>
      </w:r>
      <w:r w:rsidR="00B2767A" w:rsidRPr="006222EA">
        <w:t xml:space="preserve"> </w:t>
      </w:r>
      <w:r w:rsidR="00B2767A" w:rsidRPr="00757FE6">
        <w:rPr>
          <w:b/>
        </w:rPr>
        <w:t>$25 million commitment to the</w:t>
      </w:r>
      <w:r w:rsidR="00B2767A" w:rsidRPr="006222EA">
        <w:t xml:space="preserve"> </w:t>
      </w:r>
      <w:r w:rsidR="00B2767A" w:rsidRPr="00E4049B">
        <w:rPr>
          <w:b/>
        </w:rPr>
        <w:t xml:space="preserve">Pacific </w:t>
      </w:r>
      <w:proofErr w:type="spellStart"/>
      <w:r w:rsidR="00B2767A" w:rsidRPr="00E4049B">
        <w:rPr>
          <w:b/>
        </w:rPr>
        <w:t>Oceanscape</w:t>
      </w:r>
      <w:proofErr w:type="spellEnd"/>
      <w:r w:rsidR="00B2767A" w:rsidRPr="00E4049B">
        <w:rPr>
          <w:b/>
        </w:rPr>
        <w:t xml:space="preserve"> initiative</w:t>
      </w:r>
      <w:r w:rsidR="00395B7D" w:rsidRPr="006222EA">
        <w:t xml:space="preserve">. </w:t>
      </w:r>
      <w:r w:rsidR="00AE5F45">
        <w:t>DFAT</w:t>
      </w:r>
      <w:r w:rsidR="00AE5F45" w:rsidRPr="006222EA">
        <w:t xml:space="preserve"> </w:t>
      </w:r>
      <w:r w:rsidR="009955C4" w:rsidRPr="006222EA">
        <w:t xml:space="preserve">is participating in the current review of </w:t>
      </w:r>
      <w:r w:rsidR="00605392">
        <w:t xml:space="preserve">the </w:t>
      </w:r>
      <w:r w:rsidR="009955C4" w:rsidRPr="006222EA">
        <w:t xml:space="preserve">FFA’s </w:t>
      </w:r>
      <w:r w:rsidR="00605392">
        <w:t>s</w:t>
      </w:r>
      <w:r w:rsidR="009955C4" w:rsidRPr="006222EA">
        <w:t xml:space="preserve">trategic </w:t>
      </w:r>
      <w:r w:rsidR="00605392">
        <w:t>p</w:t>
      </w:r>
      <w:r w:rsidR="009955C4" w:rsidRPr="006222EA">
        <w:t>lan to help ensure the</w:t>
      </w:r>
      <w:r w:rsidR="00C85DD0">
        <w:t xml:space="preserve"> supporting</w:t>
      </w:r>
      <w:r w:rsidR="009955C4" w:rsidRPr="006222EA">
        <w:t xml:space="preserve"> work program align</w:t>
      </w:r>
      <w:r w:rsidR="00C85DD0">
        <w:t>s with</w:t>
      </w:r>
      <w:r w:rsidR="009955C4" w:rsidRPr="006222EA">
        <w:t xml:space="preserve"> priority and emerging challenges in the sector.</w:t>
      </w:r>
    </w:p>
    <w:p w14:paraId="420DC654" w14:textId="77777777" w:rsidR="00B2767A" w:rsidRPr="006222EA" w:rsidRDefault="00B2767A" w:rsidP="00B2767A">
      <w:pPr>
        <w:pStyle w:val="Heading2"/>
      </w:pPr>
      <w:r w:rsidRPr="006222EA">
        <w:t>Factors affecting progress and future directions</w:t>
      </w:r>
    </w:p>
    <w:p w14:paraId="420DC655" w14:textId="2A94C111" w:rsidR="00B2767A" w:rsidRPr="006222EA" w:rsidRDefault="00B2767A" w:rsidP="00FE62B5">
      <w:pPr>
        <w:pStyle w:val="BodyText"/>
      </w:pPr>
      <w:r w:rsidRPr="006222EA">
        <w:t>Programs and r</w:t>
      </w:r>
      <w:r w:rsidR="00A52372" w:rsidRPr="006222EA">
        <w:t xml:space="preserve">eporting from </w:t>
      </w:r>
      <w:r w:rsidR="004D69AD" w:rsidRPr="006222EA">
        <w:t>PROs</w:t>
      </w:r>
      <w:r w:rsidR="005B5581" w:rsidRPr="006222EA">
        <w:t xml:space="preserve"> need</w:t>
      </w:r>
      <w:r w:rsidRPr="006222EA">
        <w:t xml:space="preserve"> to be more results-driven</w:t>
      </w:r>
      <w:r w:rsidR="009955C4" w:rsidRPr="006222EA">
        <w:t xml:space="preserve">. </w:t>
      </w:r>
      <w:r w:rsidR="00AE5F45">
        <w:t>DFAT</w:t>
      </w:r>
      <w:r w:rsidR="00C85DD0">
        <w:t xml:space="preserve"> </w:t>
      </w:r>
      <w:r w:rsidR="009955C4" w:rsidRPr="006222EA">
        <w:t>need</w:t>
      </w:r>
      <w:r w:rsidR="00C85DD0">
        <w:t>s</w:t>
      </w:r>
      <w:r w:rsidR="009955C4" w:rsidRPr="006222EA">
        <w:t xml:space="preserve"> a clearer </w:t>
      </w:r>
      <w:r w:rsidRPr="006222EA">
        <w:t xml:space="preserve">sense of </w:t>
      </w:r>
      <w:r w:rsidR="00F82D43">
        <w:t xml:space="preserve">the </w:t>
      </w:r>
      <w:r w:rsidRPr="006222EA">
        <w:t xml:space="preserve">outcomes achieved in </w:t>
      </w:r>
      <w:r w:rsidR="00A52372" w:rsidRPr="006222EA">
        <w:t xml:space="preserve">PICs </w:t>
      </w:r>
      <w:r w:rsidRPr="006222EA">
        <w:t>as well as the value of donor investments. While</w:t>
      </w:r>
      <w:r w:rsidR="00C85DD0">
        <w:t xml:space="preserve"> the</w:t>
      </w:r>
      <w:r w:rsidRPr="006222EA">
        <w:t xml:space="preserve"> USP has sound monitoring and evaluation frameworks</w:t>
      </w:r>
      <w:r w:rsidR="00F82D43">
        <w:t xml:space="preserve"> in place</w:t>
      </w:r>
      <w:r w:rsidR="009955C4" w:rsidRPr="006222EA">
        <w:t xml:space="preserve">, more work is needed </w:t>
      </w:r>
      <w:r w:rsidRPr="006222EA">
        <w:t xml:space="preserve">with </w:t>
      </w:r>
      <w:r w:rsidR="00C85DD0">
        <w:t xml:space="preserve">the </w:t>
      </w:r>
      <w:r w:rsidRPr="006222EA">
        <w:t>SPC, P</w:t>
      </w:r>
      <w:r w:rsidR="00AB7772">
        <w:t>acific Island Forum Secretariat</w:t>
      </w:r>
      <w:r w:rsidRPr="006222EA">
        <w:t xml:space="preserve">, FFA and SPREP to ensure </w:t>
      </w:r>
      <w:r w:rsidR="00C85DD0">
        <w:t>their</w:t>
      </w:r>
      <w:r w:rsidR="00C85DD0" w:rsidRPr="006222EA">
        <w:t xml:space="preserve"> </w:t>
      </w:r>
      <w:r w:rsidRPr="006222EA">
        <w:t xml:space="preserve">corporate plans and associated reporting frameworks are </w:t>
      </w:r>
      <w:r w:rsidR="009955C4" w:rsidRPr="006222EA">
        <w:t xml:space="preserve">well defined. </w:t>
      </w:r>
      <w:r w:rsidR="00AE5F45">
        <w:t>The department</w:t>
      </w:r>
      <w:r w:rsidRPr="006222EA">
        <w:t xml:space="preserve"> will work with </w:t>
      </w:r>
      <w:r w:rsidR="00F82D43">
        <w:t xml:space="preserve">the </w:t>
      </w:r>
      <w:r w:rsidRPr="006222EA">
        <w:t>SPC and</w:t>
      </w:r>
      <w:r w:rsidR="00F3550D">
        <w:t xml:space="preserve"> </w:t>
      </w:r>
      <w:r w:rsidR="0090035E">
        <w:t xml:space="preserve">the </w:t>
      </w:r>
      <w:r w:rsidRPr="006222EA">
        <w:t>P</w:t>
      </w:r>
      <w:r w:rsidR="00AB7772">
        <w:t>acific Island Forum Secretariat</w:t>
      </w:r>
      <w:r w:rsidRPr="006222EA">
        <w:t xml:space="preserve"> through 2013 to incorporate agreed performance measures into future multi-year funding agreements. </w:t>
      </w:r>
    </w:p>
    <w:p w14:paraId="420DC656" w14:textId="27BF80C5" w:rsidR="00B2767A" w:rsidRPr="006222EA" w:rsidRDefault="00B2767A" w:rsidP="00FE62B5">
      <w:pPr>
        <w:pStyle w:val="BodyText"/>
      </w:pPr>
      <w:r w:rsidRPr="006222EA">
        <w:lastRenderedPageBreak/>
        <w:t>Implementation of aid effectiveness principles by development partners, including</w:t>
      </w:r>
      <w:r w:rsidR="008C43AA">
        <w:t xml:space="preserve"> PROs</w:t>
      </w:r>
      <w:r w:rsidRPr="006222EA">
        <w:t xml:space="preserve">, is an ongoing challenge. Initiatives such as the revitalised </w:t>
      </w:r>
      <w:r w:rsidR="00C85DD0">
        <w:t>process for j</w:t>
      </w:r>
      <w:r w:rsidRPr="006222EA">
        <w:t xml:space="preserve">oint </w:t>
      </w:r>
      <w:r w:rsidR="00C85DD0">
        <w:t>c</w:t>
      </w:r>
      <w:r w:rsidRPr="006222EA">
        <w:t xml:space="preserve">ountry </w:t>
      </w:r>
      <w:r w:rsidR="00C85DD0">
        <w:t>s</w:t>
      </w:r>
      <w:r w:rsidRPr="006222EA">
        <w:t>trategies being developed between</w:t>
      </w:r>
      <w:r w:rsidR="00C85DD0">
        <w:t xml:space="preserve"> the</w:t>
      </w:r>
      <w:r w:rsidRPr="006222EA">
        <w:t xml:space="preserve"> SPC and member countries have been positive. </w:t>
      </w:r>
      <w:r w:rsidR="00C85DD0">
        <w:t>More</w:t>
      </w:r>
      <w:r w:rsidR="00C85DD0" w:rsidRPr="006222EA">
        <w:t xml:space="preserve"> </w:t>
      </w:r>
      <w:r w:rsidRPr="006222EA">
        <w:t xml:space="preserve">work is needed by </w:t>
      </w:r>
      <w:r w:rsidR="00C85DD0">
        <w:t>PROs</w:t>
      </w:r>
      <w:r w:rsidRPr="006222EA">
        <w:t xml:space="preserve"> to reduce aid fragmentation, ease the burden of aid administration and improve aid effectiveness as envisaged by the Paris Declaration</w:t>
      </w:r>
      <w:r w:rsidR="00C85DD0">
        <w:t xml:space="preserve"> on Aid Effectiveness of 2005</w:t>
      </w:r>
      <w:r w:rsidRPr="006222EA">
        <w:t>. While it was expected that the Forum Compact</w:t>
      </w:r>
      <w:r w:rsidR="004F4023">
        <w:rPr>
          <w:rStyle w:val="FootnoteReference"/>
        </w:rPr>
        <w:footnoteReference w:id="14"/>
      </w:r>
      <w:r w:rsidRPr="006222EA">
        <w:t xml:space="preserve"> would be an effective mechanism </w:t>
      </w:r>
      <w:r w:rsidR="006F777F">
        <w:t>for</w:t>
      </w:r>
      <w:r w:rsidR="006F777F" w:rsidRPr="006222EA">
        <w:t xml:space="preserve"> </w:t>
      </w:r>
      <w:r w:rsidRPr="006222EA">
        <w:t>monitor</w:t>
      </w:r>
      <w:r w:rsidR="006F777F">
        <w:t>ing</w:t>
      </w:r>
      <w:r w:rsidRPr="006222EA">
        <w:t xml:space="preserve"> aid effectiveness efforts across the region, the measurable benefit of this process has been uneven</w:t>
      </w:r>
      <w:r w:rsidR="001F53E5" w:rsidRPr="006222EA">
        <w:t xml:space="preserve">. </w:t>
      </w:r>
      <w:r w:rsidR="00A52372" w:rsidRPr="006222EA">
        <w:t xml:space="preserve">The </w:t>
      </w:r>
      <w:r w:rsidR="00804BE6" w:rsidRPr="006222EA">
        <w:t xml:space="preserve">impact of </w:t>
      </w:r>
      <w:r w:rsidR="00A52372" w:rsidRPr="006222EA">
        <w:t xml:space="preserve">the </w:t>
      </w:r>
      <w:r w:rsidRPr="006222EA">
        <w:t>Council of Region</w:t>
      </w:r>
      <w:r w:rsidR="00A52372" w:rsidRPr="006222EA">
        <w:t>al Organisations in the Pacific</w:t>
      </w:r>
      <w:r w:rsidRPr="006222EA">
        <w:t xml:space="preserve"> in reducing duplication of mandates and en</w:t>
      </w:r>
      <w:r w:rsidR="00804BE6" w:rsidRPr="006222EA">
        <w:t xml:space="preserve">hancing </w:t>
      </w:r>
      <w:r w:rsidRPr="006222EA">
        <w:t xml:space="preserve">coordination of programs has been </w:t>
      </w:r>
      <w:r w:rsidR="00804BE6" w:rsidRPr="006222EA">
        <w:t xml:space="preserve">difficult to gauge. </w:t>
      </w:r>
      <w:r w:rsidR="0090035E">
        <w:t>The C</w:t>
      </w:r>
      <w:r w:rsidR="004F4023">
        <w:t>ouncil’s</w:t>
      </w:r>
      <w:r w:rsidR="00804BE6" w:rsidRPr="006222EA">
        <w:t xml:space="preserve"> processes are to be </w:t>
      </w:r>
      <w:r w:rsidR="002776D4" w:rsidRPr="006222EA">
        <w:t xml:space="preserve">reviewed </w:t>
      </w:r>
      <w:r w:rsidR="004D69AD" w:rsidRPr="006222EA">
        <w:t xml:space="preserve">within the </w:t>
      </w:r>
      <w:r w:rsidRPr="006222EA">
        <w:t>Pacific Plan Review</w:t>
      </w:r>
      <w:r w:rsidR="004D69AD" w:rsidRPr="006222EA">
        <w:t xml:space="preserve">. A new </w:t>
      </w:r>
      <w:r w:rsidRPr="006222EA">
        <w:t xml:space="preserve">delivery strategy for </w:t>
      </w:r>
      <w:r w:rsidR="00AF409A">
        <w:t xml:space="preserve">the department’s </w:t>
      </w:r>
      <w:r w:rsidRPr="006222EA">
        <w:t>engag</w:t>
      </w:r>
      <w:r w:rsidR="002776D4" w:rsidRPr="006222EA">
        <w:t>ement</w:t>
      </w:r>
      <w:r w:rsidRPr="006222EA">
        <w:t xml:space="preserve"> with </w:t>
      </w:r>
      <w:r w:rsidR="004D69AD" w:rsidRPr="006222EA">
        <w:t>PROs</w:t>
      </w:r>
      <w:r w:rsidRPr="006222EA">
        <w:t xml:space="preserve"> (also due in 2013) will</w:t>
      </w:r>
      <w:r w:rsidR="00C8447B" w:rsidRPr="006222EA">
        <w:t xml:space="preserve"> be based on partnership principles, such</w:t>
      </w:r>
      <w:r w:rsidR="00B0028B">
        <w:t xml:space="preserve"> as mutual accountability. The </w:t>
      </w:r>
      <w:r w:rsidR="004F4023">
        <w:t>s</w:t>
      </w:r>
      <w:r w:rsidR="00B0028B">
        <w:t>trategy</w:t>
      </w:r>
      <w:r w:rsidR="00C8447B" w:rsidRPr="006222EA">
        <w:t xml:space="preserve"> will </w:t>
      </w:r>
      <w:r w:rsidR="004F4023">
        <w:t>emphasise</w:t>
      </w:r>
      <w:r w:rsidR="00C8447B" w:rsidRPr="006222EA">
        <w:t xml:space="preserve"> measuring results.</w:t>
      </w:r>
    </w:p>
    <w:p w14:paraId="420DC657" w14:textId="77777777" w:rsidR="00B2767A" w:rsidRPr="006222EA" w:rsidRDefault="00B2767A" w:rsidP="00B2767A">
      <w:pPr>
        <w:pStyle w:val="Heading1"/>
      </w:pPr>
      <w:r w:rsidRPr="006222EA">
        <w:t>Regional</w:t>
      </w:r>
      <w:r w:rsidR="004F4023">
        <w:t xml:space="preserve"> h</w:t>
      </w:r>
      <w:r w:rsidRPr="006222EA">
        <w:t xml:space="preserve">ealth </w:t>
      </w:r>
      <w:r w:rsidR="004F4023">
        <w:t>p</w:t>
      </w:r>
      <w:r w:rsidRPr="006222EA">
        <w:t>rogram</w:t>
      </w:r>
    </w:p>
    <w:p w14:paraId="420DC658" w14:textId="77777777" w:rsidR="00B2767A" w:rsidRDefault="00B2767A" w:rsidP="00B2767A">
      <w:pPr>
        <w:pStyle w:val="Heading2"/>
      </w:pPr>
      <w:r w:rsidRPr="006222EA">
        <w:t>Program objectives and strategy</w:t>
      </w:r>
    </w:p>
    <w:p w14:paraId="420DC659" w14:textId="1D0E83C4" w:rsidR="008F4C57" w:rsidRDefault="00AF409A" w:rsidP="008F4C57">
      <w:pPr>
        <w:pStyle w:val="BodyText"/>
        <w:rPr>
          <w:szCs w:val="22"/>
        </w:rPr>
      </w:pPr>
      <w:r>
        <w:rPr>
          <w:szCs w:val="22"/>
        </w:rPr>
        <w:t>DFAT</w:t>
      </w:r>
      <w:r w:rsidR="008F4C57" w:rsidRPr="006222EA">
        <w:rPr>
          <w:szCs w:val="22"/>
        </w:rPr>
        <w:t xml:space="preserve"> recognises that the Pacific regional health program has become </w:t>
      </w:r>
      <w:r w:rsidR="00727554">
        <w:rPr>
          <w:szCs w:val="22"/>
        </w:rPr>
        <w:t xml:space="preserve">highly </w:t>
      </w:r>
      <w:r w:rsidR="008F4C57" w:rsidRPr="006222EA">
        <w:rPr>
          <w:szCs w:val="22"/>
        </w:rPr>
        <w:t>fragmented, lacking an overarching strategy to guide investments</w:t>
      </w:r>
      <w:r w:rsidR="00C7354B">
        <w:rPr>
          <w:szCs w:val="22"/>
        </w:rPr>
        <w:t xml:space="preserve"> (Box 1)</w:t>
      </w:r>
      <w:r w:rsidR="008F4C57" w:rsidRPr="006222EA">
        <w:rPr>
          <w:szCs w:val="22"/>
        </w:rPr>
        <w:t xml:space="preserve">. While the program is providing some valuable support, </w:t>
      </w:r>
      <w:r>
        <w:rPr>
          <w:szCs w:val="22"/>
        </w:rPr>
        <w:t>the department</w:t>
      </w:r>
      <w:r w:rsidR="008F4C57" w:rsidRPr="006222EA">
        <w:rPr>
          <w:szCs w:val="22"/>
        </w:rPr>
        <w:t xml:space="preserve"> is committed to improving</w:t>
      </w:r>
      <w:r w:rsidR="00DE179D">
        <w:rPr>
          <w:szCs w:val="22"/>
        </w:rPr>
        <w:t xml:space="preserve"> its</w:t>
      </w:r>
      <w:r w:rsidR="008F4C57" w:rsidRPr="006222EA">
        <w:rPr>
          <w:szCs w:val="22"/>
        </w:rPr>
        <w:t xml:space="preserve"> impact at country level to better reflect the high level of investment. </w:t>
      </w:r>
      <w:r>
        <w:rPr>
          <w:szCs w:val="22"/>
        </w:rPr>
        <w:t>The department</w:t>
      </w:r>
      <w:r w:rsidR="008F4C57" w:rsidRPr="006222EA">
        <w:rPr>
          <w:szCs w:val="22"/>
        </w:rPr>
        <w:t xml:space="preserve"> </w:t>
      </w:r>
      <w:r w:rsidR="00DE179D">
        <w:rPr>
          <w:szCs w:val="22"/>
        </w:rPr>
        <w:t>is undergoing</w:t>
      </w:r>
      <w:r w:rsidR="00DE179D" w:rsidRPr="006222EA">
        <w:rPr>
          <w:szCs w:val="22"/>
        </w:rPr>
        <w:t xml:space="preserve"> </w:t>
      </w:r>
      <w:r w:rsidR="008F4C57" w:rsidRPr="006222EA">
        <w:rPr>
          <w:szCs w:val="22"/>
        </w:rPr>
        <w:t xml:space="preserve">an ambitious process to reform the regional health program under a regional health delivery strategy. </w:t>
      </w:r>
      <w:r>
        <w:rPr>
          <w:szCs w:val="22"/>
        </w:rPr>
        <w:t>DFAT</w:t>
      </w:r>
      <w:r w:rsidR="008F4C57" w:rsidRPr="006222EA">
        <w:rPr>
          <w:szCs w:val="22"/>
        </w:rPr>
        <w:t xml:space="preserve"> and its delivery partners have agreed in principle that the future program will focus on regional public goods, including specialist health worker training, tertiary care, surveillance, technical assistance, research and analysis.</w:t>
      </w:r>
    </w:p>
    <w:p w14:paraId="420DC65A" w14:textId="77777777" w:rsidR="00C7354B" w:rsidRPr="006222EA" w:rsidRDefault="00C7354B" w:rsidP="00C7354B">
      <w:pPr>
        <w:pStyle w:val="Heading2"/>
      </w:pPr>
      <w:r w:rsidRPr="006222EA">
        <w:t>Key achievements (2012 calendar year)</w:t>
      </w:r>
    </w:p>
    <w:p w14:paraId="420DC65B" w14:textId="7FEBDF34" w:rsidR="00C7354B" w:rsidRPr="006222EA" w:rsidRDefault="00C7354B" w:rsidP="00FE62B5">
      <w:pPr>
        <w:pStyle w:val="ListBullet"/>
      </w:pPr>
      <w:r w:rsidRPr="006222EA">
        <w:t xml:space="preserve">The </w:t>
      </w:r>
      <w:r w:rsidRPr="00E4049B">
        <w:rPr>
          <w:b/>
        </w:rPr>
        <w:t xml:space="preserve">Pacific Sexual and Reproductive Health </w:t>
      </w:r>
      <w:r w:rsidRPr="009C4DCB">
        <w:t>Progr</w:t>
      </w:r>
      <w:r w:rsidR="00B0028B" w:rsidRPr="009C4DCB">
        <w:t>am</w:t>
      </w:r>
      <w:r w:rsidR="00B0028B" w:rsidRPr="006F777F">
        <w:t xml:space="preserve"> delivered impressive results.</w:t>
      </w:r>
      <w:r w:rsidR="00B0028B">
        <w:t xml:space="preserve"> For example</w:t>
      </w:r>
      <w:r w:rsidRPr="006222EA">
        <w:t>, 300 clients per month accessed services in the Cook Islands, 751 clients in Samoa, 10</w:t>
      </w:r>
      <w:r w:rsidR="00E76CDC">
        <w:t>,</w:t>
      </w:r>
      <w:r w:rsidRPr="006222EA">
        <w:t>947 clients in Fiji and 22</w:t>
      </w:r>
      <w:r w:rsidR="00E76CDC">
        <w:t>,</w:t>
      </w:r>
      <w:r w:rsidRPr="006222EA">
        <w:t xml:space="preserve">260 clients in Kiribati. </w:t>
      </w:r>
    </w:p>
    <w:p w14:paraId="420DC65C" w14:textId="77777777" w:rsidR="00C7354B" w:rsidRPr="006222EA" w:rsidRDefault="00DE179D" w:rsidP="00FE62B5">
      <w:pPr>
        <w:pStyle w:val="ListBullet"/>
      </w:pPr>
      <w:r>
        <w:t>The United Nations Children’s Fund (</w:t>
      </w:r>
      <w:r w:rsidR="00C7354B" w:rsidRPr="006222EA">
        <w:t>UNICEF</w:t>
      </w:r>
      <w:r>
        <w:t>)</w:t>
      </w:r>
      <w:r w:rsidR="00C7354B" w:rsidRPr="006222EA">
        <w:t xml:space="preserve"> worked with partners</w:t>
      </w:r>
      <w:r w:rsidR="0090035E">
        <w:t xml:space="preserve"> in Fiji</w:t>
      </w:r>
      <w:r w:rsidR="00C7354B" w:rsidRPr="006222EA">
        <w:t xml:space="preserve"> to </w:t>
      </w:r>
      <w:r w:rsidR="0090035E">
        <w:t xml:space="preserve">support the </w:t>
      </w:r>
      <w:r w:rsidR="00C7354B" w:rsidRPr="009C4DCB">
        <w:rPr>
          <w:b/>
        </w:rPr>
        <w:t>introduc</w:t>
      </w:r>
      <w:r w:rsidR="0090035E">
        <w:rPr>
          <w:b/>
        </w:rPr>
        <w:t>tion of</w:t>
      </w:r>
      <w:r w:rsidR="00C7354B" w:rsidRPr="006222EA">
        <w:t xml:space="preserve"> </w:t>
      </w:r>
      <w:r w:rsidR="00C7354B" w:rsidRPr="006222EA">
        <w:rPr>
          <w:b/>
        </w:rPr>
        <w:t xml:space="preserve">pneumococcal, </w:t>
      </w:r>
      <w:proofErr w:type="spellStart"/>
      <w:r w:rsidR="00C7354B" w:rsidRPr="006222EA">
        <w:rPr>
          <w:b/>
        </w:rPr>
        <w:t>rotaviral</w:t>
      </w:r>
      <w:proofErr w:type="spellEnd"/>
      <w:r w:rsidR="00C7354B" w:rsidRPr="006222EA">
        <w:rPr>
          <w:b/>
        </w:rPr>
        <w:t xml:space="preserve"> and human papillomavirus vaccines</w:t>
      </w:r>
      <w:r w:rsidR="00C7354B" w:rsidRPr="006222EA">
        <w:t xml:space="preserve"> </w:t>
      </w:r>
      <w:r w:rsidR="00C7354B" w:rsidRPr="009C4DCB">
        <w:rPr>
          <w:b/>
        </w:rPr>
        <w:t>nationwide</w:t>
      </w:r>
      <w:r w:rsidR="00C7354B" w:rsidRPr="006222EA">
        <w:t xml:space="preserve">. Preparation is underway to introduce pneumococcal in Kiribati </w:t>
      </w:r>
      <w:r>
        <w:t>and</w:t>
      </w:r>
      <w:r w:rsidR="00C7354B" w:rsidRPr="006222EA">
        <w:t xml:space="preserve"> Solomon Islands and </w:t>
      </w:r>
      <w:r w:rsidR="006F777F">
        <w:t>human papillomavirus</w:t>
      </w:r>
      <w:r w:rsidR="00C7354B" w:rsidRPr="006222EA">
        <w:t xml:space="preserve"> vaccines in other countries to further reduce child mortality.</w:t>
      </w:r>
    </w:p>
    <w:p w14:paraId="420DC65D" w14:textId="79EEDEFC" w:rsidR="00C7354B" w:rsidRPr="006222EA" w:rsidRDefault="00AF409A" w:rsidP="00FE62B5">
      <w:pPr>
        <w:pStyle w:val="ListBullet"/>
      </w:pPr>
      <w:r>
        <w:t>C</w:t>
      </w:r>
      <w:r w:rsidR="00C7354B" w:rsidRPr="006222EA">
        <w:t xml:space="preserve">ore funding </w:t>
      </w:r>
      <w:r>
        <w:t xml:space="preserve">from Australia </w:t>
      </w:r>
      <w:r w:rsidR="00C7354B" w:rsidRPr="006222EA">
        <w:t>has helped the Fiji School of Medicine better serve the needs of the region, through improved quality and focus o</w:t>
      </w:r>
      <w:r w:rsidR="00B0028B">
        <w:t>f academic programs. T</w:t>
      </w:r>
      <w:r w:rsidR="00C7354B" w:rsidRPr="006222EA">
        <w:t xml:space="preserve">he </w:t>
      </w:r>
      <w:r w:rsidR="00DE179D">
        <w:t>s</w:t>
      </w:r>
      <w:r w:rsidR="00C7354B" w:rsidRPr="006222EA">
        <w:t>chool developed a new Postgraduate Diploma i</w:t>
      </w:r>
      <w:r w:rsidR="00B0028B">
        <w:t xml:space="preserve">n Pathology curriculum. </w:t>
      </w:r>
      <w:r w:rsidR="00DE179D" w:rsidRPr="00E4049B">
        <w:rPr>
          <w:b/>
        </w:rPr>
        <w:t>A total of 462 students graduated from t</w:t>
      </w:r>
      <w:r w:rsidR="00C7354B" w:rsidRPr="00DE179D">
        <w:rPr>
          <w:b/>
        </w:rPr>
        <w:t>he Fiji School of Medicine</w:t>
      </w:r>
      <w:r w:rsidR="00C7354B" w:rsidRPr="00CA7FEF">
        <w:rPr>
          <w:b/>
        </w:rPr>
        <w:t>, of whom 322 were women.</w:t>
      </w:r>
      <w:r w:rsidR="00C7354B" w:rsidRPr="006222EA">
        <w:t xml:space="preserve"> This included 12 graduates with a Masters in Medicine and 45 with a Post Graduate Diploma in midwifery.</w:t>
      </w:r>
    </w:p>
    <w:p w14:paraId="420DC65E" w14:textId="77777777" w:rsidR="00C7354B" w:rsidRPr="006222EA" w:rsidRDefault="00C7354B" w:rsidP="00FE62B5">
      <w:pPr>
        <w:pStyle w:val="ListBullet"/>
      </w:pPr>
      <w:r w:rsidRPr="006222EA">
        <w:t xml:space="preserve">The </w:t>
      </w:r>
      <w:r w:rsidRPr="00E4049B">
        <w:rPr>
          <w:b/>
        </w:rPr>
        <w:t>Strengthening Specialised Clinical Services in the Pacific</w:t>
      </w:r>
      <w:r w:rsidRPr="006222EA">
        <w:t xml:space="preserve"> </w:t>
      </w:r>
      <w:r w:rsidR="00DE179D">
        <w:t>p</w:t>
      </w:r>
      <w:r w:rsidRPr="006222EA">
        <w:t xml:space="preserve">rogram assisted Pacific countries to improve </w:t>
      </w:r>
      <w:r w:rsidR="00DE179D">
        <w:t xml:space="preserve">the </w:t>
      </w:r>
      <w:r w:rsidRPr="006222EA">
        <w:t xml:space="preserve">planning, coordination and delivery of </w:t>
      </w:r>
      <w:r w:rsidRPr="006222EA">
        <w:rPr>
          <w:b/>
        </w:rPr>
        <w:t>specialised clinical services.</w:t>
      </w:r>
      <w:r w:rsidRPr="006222EA">
        <w:t xml:space="preserve"> This </w:t>
      </w:r>
      <w:r w:rsidR="00DE179D">
        <w:t>is</w:t>
      </w:r>
      <w:r w:rsidR="00DE179D" w:rsidRPr="006222EA">
        <w:t xml:space="preserve"> </w:t>
      </w:r>
      <w:r w:rsidRPr="006222EA">
        <w:t>enabl</w:t>
      </w:r>
      <w:r w:rsidR="00DE179D">
        <w:t>ing</w:t>
      </w:r>
      <w:r w:rsidRPr="006222EA">
        <w:t xml:space="preserve"> countries to maximise efficiency gains from visiting medical </w:t>
      </w:r>
      <w:r w:rsidRPr="006222EA">
        <w:lastRenderedPageBreak/>
        <w:t xml:space="preserve">specialist teams and offshore referrals. </w:t>
      </w:r>
      <w:r w:rsidR="00DE179D">
        <w:t>The program</w:t>
      </w:r>
      <w:r w:rsidRPr="006222EA">
        <w:t xml:space="preserve"> is also supporting </w:t>
      </w:r>
      <w:r w:rsidR="00DE179D">
        <w:t>m</w:t>
      </w:r>
      <w:r w:rsidRPr="006222EA">
        <w:t>inistries of</w:t>
      </w:r>
      <w:r w:rsidR="00DE179D">
        <w:t xml:space="preserve"> h</w:t>
      </w:r>
      <w:r w:rsidRPr="006222EA">
        <w:t>ealth to determine what services can be shared between countries.</w:t>
      </w:r>
    </w:p>
    <w:p w14:paraId="420DC65F" w14:textId="77777777" w:rsidR="00C7354B" w:rsidRPr="006222EA" w:rsidRDefault="00C7354B" w:rsidP="00FE62B5">
      <w:pPr>
        <w:pStyle w:val="ListBullet"/>
      </w:pPr>
      <w:r w:rsidRPr="006222EA">
        <w:t>The</w:t>
      </w:r>
      <w:r>
        <w:t xml:space="preserve"> </w:t>
      </w:r>
      <w:r w:rsidRPr="00E4049B">
        <w:rPr>
          <w:b/>
        </w:rPr>
        <w:t>Pacific Islands Project provided</w:t>
      </w:r>
      <w:r w:rsidRPr="006222EA">
        <w:t xml:space="preserve"> </w:t>
      </w:r>
      <w:r w:rsidRPr="006222EA">
        <w:rPr>
          <w:b/>
        </w:rPr>
        <w:t>56 specialist visiting teams</w:t>
      </w:r>
      <w:r w:rsidRPr="006222EA">
        <w:t xml:space="preserve"> and teaching visits to 10 </w:t>
      </w:r>
      <w:r w:rsidR="00286CD5">
        <w:t>PICs</w:t>
      </w:r>
      <w:r w:rsidRPr="006222EA">
        <w:t xml:space="preserve">. Through these visits, </w:t>
      </w:r>
      <w:r w:rsidRPr="00E4049B">
        <w:t xml:space="preserve">5962 </w:t>
      </w:r>
      <w:r w:rsidR="00CA7FEF" w:rsidRPr="00E4049B">
        <w:t>patients</w:t>
      </w:r>
      <w:r w:rsidR="00CA7FEF">
        <w:rPr>
          <w:b/>
        </w:rPr>
        <w:t xml:space="preserve"> </w:t>
      </w:r>
      <w:r w:rsidRPr="006222EA">
        <w:t xml:space="preserve">accessed specialised clinical consultations and </w:t>
      </w:r>
      <w:r w:rsidRPr="00E4049B">
        <w:t>1676 patients</w:t>
      </w:r>
      <w:r w:rsidRPr="006222EA">
        <w:t xml:space="preserve"> received life-changing surgical procedures.</w:t>
      </w:r>
    </w:p>
    <w:p w14:paraId="420DC660" w14:textId="7A24EA9F" w:rsidR="00152088" w:rsidRDefault="006633C3" w:rsidP="00152088">
      <w:pPr>
        <w:pStyle w:val="ListBullet"/>
      </w:pPr>
      <w:r>
        <w:t>The Australian aid program</w:t>
      </w:r>
      <w:r w:rsidR="00C7354B" w:rsidRPr="006222EA">
        <w:t xml:space="preserve"> engaged in valuable high</w:t>
      </w:r>
      <w:r w:rsidR="00DE179D">
        <w:t>-</w:t>
      </w:r>
      <w:r w:rsidR="00C7354B" w:rsidRPr="006222EA">
        <w:t>level di</w:t>
      </w:r>
      <w:r w:rsidR="00DE179D">
        <w:t>scussion</w:t>
      </w:r>
      <w:r w:rsidR="00C7354B" w:rsidRPr="006222EA">
        <w:t xml:space="preserve"> with Pacific regional and national health leadership on the nature and focus of </w:t>
      </w:r>
      <w:r w:rsidR="00C7354B" w:rsidRPr="006222EA">
        <w:rPr>
          <w:b/>
        </w:rPr>
        <w:t>health governance arrangements</w:t>
      </w:r>
      <w:r w:rsidR="00C7354B" w:rsidRPr="006222EA">
        <w:t xml:space="preserve">. This will help ensure a common commitment among partners to undertake the necessary reforms to improve efficiency and performance at country level. </w:t>
      </w:r>
    </w:p>
    <w:tbl>
      <w:tblPr>
        <w:tblStyle w:val="TableGrid"/>
        <w:tblW w:w="5000" w:type="pct"/>
        <w:shd w:val="clear" w:color="auto" w:fill="C6D9F1" w:themeFill="text2" w:themeFillTint="33"/>
        <w:tblLook w:val="04A0" w:firstRow="1" w:lastRow="0" w:firstColumn="1" w:lastColumn="0" w:noHBand="0" w:noVBand="1"/>
      </w:tblPr>
      <w:tblGrid>
        <w:gridCol w:w="8550"/>
      </w:tblGrid>
      <w:tr w:rsidR="00152088" w14:paraId="420DC66F" w14:textId="77777777" w:rsidTr="00462CE5">
        <w:tc>
          <w:tcPr>
            <w:tcW w:w="8550" w:type="dxa"/>
            <w:shd w:val="clear" w:color="auto" w:fill="C6D9F1" w:themeFill="text2" w:themeFillTint="33"/>
          </w:tcPr>
          <w:p w14:paraId="420DC662" w14:textId="0847D163" w:rsidR="00152088" w:rsidRPr="008F4C57" w:rsidRDefault="00152088" w:rsidP="00152088">
            <w:pPr>
              <w:pStyle w:val="BoxHeading1"/>
            </w:pPr>
            <w:r>
              <w:t xml:space="preserve">Box 1: </w:t>
            </w:r>
            <w:r w:rsidRPr="008F4C57">
              <w:t xml:space="preserve">Reforming </w:t>
            </w:r>
            <w:r w:rsidR="005247A7">
              <w:t>Australia’s</w:t>
            </w:r>
            <w:r w:rsidR="005247A7" w:rsidRPr="008F4C57">
              <w:t xml:space="preserve"> </w:t>
            </w:r>
            <w:r>
              <w:t>r</w:t>
            </w:r>
            <w:r w:rsidRPr="008F4C57">
              <w:t xml:space="preserve">egional </w:t>
            </w:r>
            <w:r>
              <w:t>h</w:t>
            </w:r>
            <w:r w:rsidRPr="008F4C57">
              <w:t xml:space="preserve">ealth </w:t>
            </w:r>
            <w:r>
              <w:t>p</w:t>
            </w:r>
            <w:r w:rsidRPr="008F4C57">
              <w:t>rogram</w:t>
            </w:r>
          </w:p>
          <w:p w14:paraId="420DC663" w14:textId="2BB96107" w:rsidR="00152088" w:rsidRPr="008F4C57" w:rsidRDefault="006633C3" w:rsidP="00152088">
            <w:pPr>
              <w:pStyle w:val="BoxText"/>
            </w:pPr>
            <w:r>
              <w:t>The Australian aid program’s</w:t>
            </w:r>
            <w:r w:rsidR="00152088" w:rsidRPr="008F4C57">
              <w:t xml:space="preserve"> current </w:t>
            </w:r>
            <w:r w:rsidR="00152088">
              <w:t>r</w:t>
            </w:r>
            <w:r w:rsidR="00152088" w:rsidRPr="008F4C57">
              <w:t xml:space="preserve">egional </w:t>
            </w:r>
            <w:r w:rsidR="00152088">
              <w:t>h</w:t>
            </w:r>
            <w:r w:rsidR="00152088" w:rsidRPr="008F4C57">
              <w:t xml:space="preserve">ealth </w:t>
            </w:r>
            <w:r w:rsidR="00152088">
              <w:t>p</w:t>
            </w:r>
            <w:r w:rsidR="00152088" w:rsidRPr="008F4C57">
              <w:t xml:space="preserve">rogram is highly fragmented. It comprises 12 regional initiatives with 30 funding agreements across 8 agencies, operating in at </w:t>
            </w:r>
            <w:r w:rsidR="00152088">
              <w:t>least 14 PIC</w:t>
            </w:r>
            <w:r w:rsidR="00152088" w:rsidRPr="008F4C57">
              <w:t>s.</w:t>
            </w:r>
          </w:p>
          <w:p w14:paraId="420DC664" w14:textId="77777777" w:rsidR="00152088" w:rsidRPr="008F4C57" w:rsidRDefault="00152088" w:rsidP="00152088">
            <w:pPr>
              <w:pStyle w:val="BoxText"/>
            </w:pPr>
            <w:r w:rsidRPr="008F4C57">
              <w:t xml:space="preserve">With few exceptions, current activities are predominantly multi-country in nature with a regional management structure, and operate with non-uniform organisational logic, rules and incentives. </w:t>
            </w:r>
          </w:p>
          <w:p w14:paraId="420DC665" w14:textId="589D5009" w:rsidR="00152088" w:rsidRPr="00462CE5" w:rsidRDefault="00152088" w:rsidP="00462CE5">
            <w:pPr>
              <w:pStyle w:val="BoxText"/>
            </w:pPr>
            <w:r w:rsidRPr="00462CE5">
              <w:t>Concerns with the program include variable impact at country level, poor sustainability, limited country ownership and high transaction costs. A recent analysis of the regional approach to the health sector in PICs by the Development Policy Centre identified 52 regional health mechanisms, and 14 one-off meetings held in a 12-month period. Many senior Pacific health officials are spending more than half of their time attending meetings, often with support</w:t>
            </w:r>
            <w:r w:rsidR="006633C3">
              <w:t xml:space="preserve"> from Australia</w:t>
            </w:r>
            <w:r w:rsidRPr="00462CE5">
              <w:t xml:space="preserve"> (</w:t>
            </w:r>
            <w:hyperlink r:id="rId11" w:history="1">
              <w:r w:rsidRPr="00462CE5">
                <w:rPr>
                  <w:rStyle w:val="Hyperlink"/>
                  <w:color w:val="1F497D" w:themeColor="text2"/>
                  <w:szCs w:val="22"/>
                </w:rPr>
                <w:t>http://devpolicy.org/so-many-meetings-so-little-impact/</w:t>
              </w:r>
              <w:r w:rsidRPr="00462CE5">
                <w:rPr>
                  <w:rStyle w:val="Hyperlink"/>
                  <w:color w:val="auto"/>
                  <w:szCs w:val="22"/>
                </w:rPr>
                <w:t>)(Negin</w:t>
              </w:r>
            </w:hyperlink>
            <w:r w:rsidRPr="00462CE5">
              <w:rPr>
                <w:rStyle w:val="Hyperlink"/>
                <w:color w:val="auto"/>
                <w:szCs w:val="22"/>
              </w:rPr>
              <w:t xml:space="preserve"> 2012)</w:t>
            </w:r>
            <w:r w:rsidR="006633C3">
              <w:rPr>
                <w:rStyle w:val="Hyperlink"/>
                <w:color w:val="auto"/>
                <w:szCs w:val="22"/>
              </w:rPr>
              <w:t>.</w:t>
            </w:r>
          </w:p>
          <w:p w14:paraId="420DC666" w14:textId="4483A656" w:rsidR="00152088" w:rsidRPr="008F4C57" w:rsidRDefault="00152088" w:rsidP="00152088">
            <w:pPr>
              <w:pStyle w:val="BoxText"/>
              <w:rPr>
                <w:lang w:val="en-US"/>
              </w:rPr>
            </w:pPr>
            <w:r w:rsidRPr="008F4C57">
              <w:t xml:space="preserve">Historically, </w:t>
            </w:r>
            <w:r w:rsidR="006633C3">
              <w:t>the Australian aid program</w:t>
            </w:r>
            <w:r w:rsidR="006633C3" w:rsidRPr="008F4C57">
              <w:t xml:space="preserve"> </w:t>
            </w:r>
            <w:r w:rsidRPr="008F4C57">
              <w:t>has had no overarching strategy to guide investments in the</w:t>
            </w:r>
            <w:r>
              <w:t xml:space="preserve"> health</w:t>
            </w:r>
            <w:r w:rsidRPr="008F4C57">
              <w:t xml:space="preserve"> sector. </w:t>
            </w:r>
            <w:r w:rsidRPr="008F4C57">
              <w:rPr>
                <w:lang w:val="en-US"/>
              </w:rPr>
              <w:t>The current reform of the broader</w:t>
            </w:r>
            <w:r>
              <w:rPr>
                <w:lang w:val="en-US"/>
              </w:rPr>
              <w:t xml:space="preserve"> Pacific</w:t>
            </w:r>
            <w:r w:rsidRPr="008F4C57">
              <w:rPr>
                <w:lang w:val="en-US"/>
              </w:rPr>
              <w:t xml:space="preserve"> </w:t>
            </w:r>
            <w:r>
              <w:rPr>
                <w:lang w:val="en-US"/>
              </w:rPr>
              <w:t>r</w:t>
            </w:r>
            <w:r w:rsidRPr="008F4C57">
              <w:rPr>
                <w:lang w:val="en-US"/>
              </w:rPr>
              <w:t xml:space="preserve">egional </w:t>
            </w:r>
            <w:r>
              <w:rPr>
                <w:lang w:val="en-US"/>
              </w:rPr>
              <w:t>p</w:t>
            </w:r>
            <w:r w:rsidRPr="008F4C57">
              <w:rPr>
                <w:lang w:val="en-US"/>
              </w:rPr>
              <w:t>rogram therefore provides the impetus to significantly improve the regional health program. This also</w:t>
            </w:r>
            <w:r>
              <w:rPr>
                <w:lang w:val="en-US"/>
              </w:rPr>
              <w:t xml:space="preserve"> reflects Australia’s</w:t>
            </w:r>
            <w:r w:rsidRPr="008F4C57">
              <w:rPr>
                <w:lang w:val="en-US"/>
              </w:rPr>
              <w:t xml:space="preserve"> commitment to the effectiveness principles of the Forum Compact and Paris Declaration.</w:t>
            </w:r>
          </w:p>
          <w:p w14:paraId="420DC667" w14:textId="1E2C1230" w:rsidR="00152088" w:rsidRPr="008F4C57" w:rsidRDefault="00152088" w:rsidP="00152088">
            <w:pPr>
              <w:pStyle w:val="BoxText"/>
            </w:pPr>
            <w:r>
              <w:rPr>
                <w:lang w:val="en-US"/>
              </w:rPr>
              <w:t>The</w:t>
            </w:r>
            <w:r w:rsidRPr="008F4C57">
              <w:rPr>
                <w:lang w:val="en-US"/>
              </w:rPr>
              <w:t xml:space="preserve"> new draft </w:t>
            </w:r>
            <w:r w:rsidRPr="008F4C57">
              <w:t>Pacific Regional Health Program Delivery Strategy re-focus</w:t>
            </w:r>
            <w:r>
              <w:t>es</w:t>
            </w:r>
            <w:r w:rsidRPr="008F4C57">
              <w:t xml:space="preserve"> </w:t>
            </w:r>
            <w:r w:rsidR="006633C3">
              <w:t>the Australian aid program’s</w:t>
            </w:r>
            <w:r w:rsidRPr="008F4C57">
              <w:t xml:space="preserve"> </w:t>
            </w:r>
            <w:r>
              <w:t>r</w:t>
            </w:r>
            <w:r w:rsidRPr="008F4C57">
              <w:t>egional health support in</w:t>
            </w:r>
            <w:r>
              <w:t xml:space="preserve"> these</w:t>
            </w:r>
            <w:r w:rsidRPr="008F4C57">
              <w:t xml:space="preserve"> two critical areas:</w:t>
            </w:r>
          </w:p>
          <w:p w14:paraId="420DC668" w14:textId="77777777" w:rsidR="00152088" w:rsidRPr="008F4C57" w:rsidRDefault="00152088" w:rsidP="00152088">
            <w:pPr>
              <w:pStyle w:val="BoxListNumber"/>
            </w:pPr>
            <w:r w:rsidRPr="008F4C57">
              <w:t>functions truly regional in nature</w:t>
            </w:r>
            <w:r>
              <w:t xml:space="preserve"> (that is, </w:t>
            </w:r>
            <w:r w:rsidRPr="008F4C57">
              <w:t>regional governance</w:t>
            </w:r>
            <w:r>
              <w:t>,</w:t>
            </w:r>
            <w:r w:rsidRPr="008F4C57">
              <w:t xml:space="preserve"> disease surveillance</w:t>
            </w:r>
            <w:r>
              <w:t xml:space="preserve"> and </w:t>
            </w:r>
            <w:r w:rsidRPr="008F4C57">
              <w:t>reporting</w:t>
            </w:r>
            <w:r>
              <w:t>,</w:t>
            </w:r>
            <w:r w:rsidRPr="008F4C57">
              <w:t xml:space="preserve"> specialised health worker training, aspects of tertiary care</w:t>
            </w:r>
            <w:r>
              <w:t>,</w:t>
            </w:r>
            <w:r w:rsidRPr="008F4C57">
              <w:t xml:space="preserve"> and research</w:t>
            </w:r>
            <w:r>
              <w:t xml:space="preserve"> and </w:t>
            </w:r>
            <w:r w:rsidRPr="008F4C57">
              <w:t>analytical support</w:t>
            </w:r>
            <w:r>
              <w:t>)</w:t>
            </w:r>
          </w:p>
          <w:p w14:paraId="420DC669" w14:textId="77777777" w:rsidR="00152088" w:rsidRPr="008F4C57" w:rsidRDefault="00152088" w:rsidP="00152088">
            <w:pPr>
              <w:pStyle w:val="BoxListNumber"/>
              <w:rPr>
                <w:lang w:val="en-US"/>
              </w:rPr>
            </w:pPr>
            <w:proofErr w:type="gramStart"/>
            <w:r w:rsidRPr="008F4C57">
              <w:t>efficient</w:t>
            </w:r>
            <w:proofErr w:type="gramEnd"/>
            <w:r w:rsidRPr="008F4C57">
              <w:t xml:space="preserve"> and effective technical cooperation at country level in the delivery of essential clinical and public health interventions.</w:t>
            </w:r>
          </w:p>
          <w:p w14:paraId="420DC66A" w14:textId="6731BD27" w:rsidR="00152088" w:rsidRPr="008F4C57" w:rsidRDefault="00152088" w:rsidP="00152088">
            <w:pPr>
              <w:pStyle w:val="BoxText"/>
            </w:pPr>
            <w:r w:rsidRPr="008F4C57">
              <w:t>This twin focus will significantly increase policy and program engagement</w:t>
            </w:r>
            <w:r>
              <w:t xml:space="preserve"> between </w:t>
            </w:r>
            <w:r w:rsidR="00AF409A">
              <w:t>Australia</w:t>
            </w:r>
            <w:r>
              <w:t xml:space="preserve"> and </w:t>
            </w:r>
            <w:r w:rsidRPr="008F4C57">
              <w:t xml:space="preserve">key regional actors. Specifically </w:t>
            </w:r>
            <w:r w:rsidR="00AF409A">
              <w:t>DFAT</w:t>
            </w:r>
            <w:r w:rsidRPr="008F4C57">
              <w:t xml:space="preserve"> is committed to:</w:t>
            </w:r>
          </w:p>
          <w:p w14:paraId="420DC66B" w14:textId="77777777" w:rsidR="00152088" w:rsidRPr="008F4C57" w:rsidRDefault="00152088" w:rsidP="00152088">
            <w:pPr>
              <w:pStyle w:val="BoxListBullet"/>
              <w:rPr>
                <w:lang w:val="en-US"/>
              </w:rPr>
            </w:pPr>
            <w:r w:rsidRPr="008F4C57">
              <w:t>assis</w:t>
            </w:r>
            <w:r>
              <w:t>ting</w:t>
            </w:r>
            <w:r w:rsidRPr="008F4C57">
              <w:t xml:space="preserve"> regional health governance mechanisms to better align with existing regional institutional architecture</w:t>
            </w:r>
          </w:p>
          <w:p w14:paraId="420DC66C" w14:textId="77777777" w:rsidR="00152088" w:rsidRPr="008F4C57" w:rsidRDefault="00152088" w:rsidP="00152088">
            <w:pPr>
              <w:pStyle w:val="BoxListBullet"/>
              <w:rPr>
                <w:lang w:val="en-US"/>
              </w:rPr>
            </w:pPr>
            <w:r w:rsidRPr="008F4C57">
              <w:t>encourag</w:t>
            </w:r>
            <w:r>
              <w:t>ing</w:t>
            </w:r>
            <w:r w:rsidRPr="008F4C57">
              <w:t xml:space="preserve"> regional and UN agencies to re-orient to more efficiently support</w:t>
            </w:r>
            <w:r>
              <w:t xml:space="preserve"> common</w:t>
            </w:r>
            <w:r w:rsidRPr="008F4C57">
              <w:t xml:space="preserve"> functions that countries genuinely cannot </w:t>
            </w:r>
            <w:r>
              <w:t>handle</w:t>
            </w:r>
            <w:r w:rsidRPr="008F4C57">
              <w:t xml:space="preserve"> themselves</w:t>
            </w:r>
          </w:p>
          <w:p w14:paraId="420DC66D" w14:textId="77777777" w:rsidR="00152088" w:rsidRPr="008F4C57" w:rsidRDefault="00152088" w:rsidP="00152088">
            <w:pPr>
              <w:pStyle w:val="BoxListBullet"/>
              <w:rPr>
                <w:lang w:val="en-US"/>
              </w:rPr>
            </w:pPr>
            <w:proofErr w:type="gramStart"/>
            <w:r w:rsidRPr="008F4C57">
              <w:t>work</w:t>
            </w:r>
            <w:r>
              <w:t>ing</w:t>
            </w:r>
            <w:proofErr w:type="gramEnd"/>
            <w:r w:rsidRPr="008F4C57">
              <w:t xml:space="preserve"> with partners on a new joint programming business model.</w:t>
            </w:r>
          </w:p>
          <w:p w14:paraId="420DC66E" w14:textId="35B3826A" w:rsidR="00152088" w:rsidRPr="00152088" w:rsidRDefault="00AF409A" w:rsidP="00AF409A">
            <w:pPr>
              <w:pStyle w:val="BoxText"/>
              <w:rPr>
                <w:rFonts w:eastAsiaTheme="minorHAnsi"/>
                <w:lang w:eastAsia="en-US"/>
              </w:rPr>
            </w:pPr>
            <w:r>
              <w:t xml:space="preserve">It is </w:t>
            </w:r>
            <w:r w:rsidR="00152088" w:rsidRPr="008F4C57">
              <w:t>envisage</w:t>
            </w:r>
            <w:r>
              <w:t>d</w:t>
            </w:r>
            <w:r w:rsidR="00152088">
              <w:t xml:space="preserve"> that</w:t>
            </w:r>
            <w:r w:rsidR="00152088" w:rsidRPr="008F4C57">
              <w:t xml:space="preserve"> the </w:t>
            </w:r>
            <w:r w:rsidR="00152088">
              <w:t>final s</w:t>
            </w:r>
            <w:r w:rsidR="00152088" w:rsidRPr="008F4C57">
              <w:t xml:space="preserve">trategy will lead to a regional health program that: </w:t>
            </w:r>
            <w:r w:rsidR="00152088">
              <w:t xml:space="preserve">is </w:t>
            </w:r>
            <w:r w:rsidR="00152088" w:rsidRPr="008F4C57">
              <w:t>consolidated into no more than six activities; complement</w:t>
            </w:r>
            <w:r w:rsidR="00152088">
              <w:t xml:space="preserve">s </w:t>
            </w:r>
            <w:r w:rsidR="00152088" w:rsidRPr="008F4C57">
              <w:t>bilateral programs; and has staffing capable of sustained, high</w:t>
            </w:r>
            <w:r w:rsidR="00152088">
              <w:t>-</w:t>
            </w:r>
            <w:r w:rsidR="00152088" w:rsidRPr="008F4C57">
              <w:t xml:space="preserve">quality engagement across the region on technical and </w:t>
            </w:r>
            <w:r w:rsidR="00152088" w:rsidRPr="008F4C57">
              <w:lastRenderedPageBreak/>
              <w:t>policy issues.</w:t>
            </w:r>
          </w:p>
        </w:tc>
      </w:tr>
    </w:tbl>
    <w:p w14:paraId="420DC670" w14:textId="77777777" w:rsidR="00000F04" w:rsidRPr="006222EA" w:rsidRDefault="00000F04" w:rsidP="00152088"/>
    <w:p w14:paraId="420DC671" w14:textId="77777777" w:rsidR="00B2767A" w:rsidRPr="006222EA" w:rsidRDefault="00B2767A" w:rsidP="00B2767A">
      <w:pPr>
        <w:pStyle w:val="Heading2"/>
      </w:pPr>
      <w:r w:rsidRPr="006222EA">
        <w:t>Factors affecting progress and future directions</w:t>
      </w:r>
    </w:p>
    <w:p w14:paraId="420DC672" w14:textId="00948E2C" w:rsidR="00B2767A" w:rsidRPr="006222EA" w:rsidRDefault="007C313A" w:rsidP="00FE62B5">
      <w:pPr>
        <w:pStyle w:val="BodyText"/>
        <w:rPr>
          <w:rFonts w:cs="Arial"/>
        </w:rPr>
      </w:pPr>
      <w:r w:rsidRPr="006222EA">
        <w:t>Some programs are</w:t>
      </w:r>
      <w:r w:rsidR="004C334D">
        <w:t xml:space="preserve"> not</w:t>
      </w:r>
      <w:r w:rsidRPr="006222EA">
        <w:t xml:space="preserve"> performing </w:t>
      </w:r>
      <w:r w:rsidR="004C334D">
        <w:t>as well as</w:t>
      </w:r>
      <w:r w:rsidRPr="006222EA">
        <w:t xml:space="preserve"> others. </w:t>
      </w:r>
      <w:r w:rsidR="00B2767A" w:rsidRPr="006222EA">
        <w:t xml:space="preserve">The </w:t>
      </w:r>
      <w:r w:rsidR="00AF409A">
        <w:t>Australian</w:t>
      </w:r>
      <w:r w:rsidR="00EB76F2">
        <w:t>-</w:t>
      </w:r>
      <w:r w:rsidR="00B00412">
        <w:t xml:space="preserve">supported </w:t>
      </w:r>
      <w:r w:rsidR="00B2767A" w:rsidRPr="006222EA">
        <w:t>Pacific Human Resources for Health Alliance</w:t>
      </w:r>
      <w:r w:rsidR="004C334D">
        <w:t>, for example,</w:t>
      </w:r>
      <w:r w:rsidR="00B2767A" w:rsidRPr="006222EA">
        <w:t xml:space="preserve"> has not met its objectives of supporting health workforce policy in the region, due to lack of country leadership, lack of clarity around the role of </w:t>
      </w:r>
      <w:r w:rsidR="00EB76F2">
        <w:t xml:space="preserve">the </w:t>
      </w:r>
      <w:r w:rsidR="00B2767A" w:rsidRPr="006222EA">
        <w:t>W</w:t>
      </w:r>
      <w:r w:rsidR="004C334D">
        <w:t>orld Health Organization</w:t>
      </w:r>
      <w:r w:rsidR="00B2767A" w:rsidRPr="006222EA">
        <w:t xml:space="preserve"> as secretariat, and inconsistent focus on issues that are national in nature, rather than regional. The </w:t>
      </w:r>
      <w:r w:rsidR="00AF409A">
        <w:t>Australian</w:t>
      </w:r>
      <w:r w:rsidR="00EB76F2">
        <w:t>-</w:t>
      </w:r>
      <w:r w:rsidR="00B00412">
        <w:t xml:space="preserve">supported </w:t>
      </w:r>
      <w:r w:rsidR="00B2767A" w:rsidRPr="006222EA">
        <w:t xml:space="preserve">Pacific HIV and STI </w:t>
      </w:r>
      <w:r w:rsidR="000F21DD">
        <w:t xml:space="preserve">[sexually transmitted infections] </w:t>
      </w:r>
      <w:r w:rsidR="00B2767A" w:rsidRPr="006222EA">
        <w:t xml:space="preserve">Response Fund has struggled to meet its objective of providing an efficient funding mechanism to promote an integrated response to HIV and </w:t>
      </w:r>
      <w:r w:rsidR="00EB76F2">
        <w:t>STIs</w:t>
      </w:r>
      <w:r w:rsidR="00B2767A" w:rsidRPr="006222EA">
        <w:t xml:space="preserve"> across national governments, UN agencies and civil society. </w:t>
      </w:r>
      <w:r w:rsidR="00B00412">
        <w:t>The initiative is continually undermined by w</w:t>
      </w:r>
      <w:r w:rsidR="00B2767A" w:rsidRPr="006222EA">
        <w:t>eaknesses in grant management and monitoring and evaluation</w:t>
      </w:r>
      <w:r w:rsidR="00B00412">
        <w:t>.</w:t>
      </w:r>
    </w:p>
    <w:p w14:paraId="420DC673" w14:textId="66C0565A" w:rsidR="004C334D" w:rsidRDefault="004C334D" w:rsidP="00FE62B5">
      <w:pPr>
        <w:pStyle w:val="BodyText"/>
      </w:pPr>
      <w:r>
        <w:t xml:space="preserve">Other factors affecting progress and future directions include the relatively high </w:t>
      </w:r>
      <w:r w:rsidR="003249CF">
        <w:t xml:space="preserve">transaction </w:t>
      </w:r>
      <w:r>
        <w:t xml:space="preserve">costs of </w:t>
      </w:r>
      <w:r w:rsidR="006633C3">
        <w:t xml:space="preserve">the Australian </w:t>
      </w:r>
      <w:proofErr w:type="gramStart"/>
      <w:r w:rsidR="006633C3">
        <w:t xml:space="preserve">Government’s </w:t>
      </w:r>
      <w:r w:rsidR="00B2767A" w:rsidRPr="006222EA">
        <w:t xml:space="preserve"> regional</w:t>
      </w:r>
      <w:proofErr w:type="gramEnd"/>
      <w:r w:rsidR="00B2767A" w:rsidRPr="006222EA">
        <w:t xml:space="preserve"> program investments for countries and implementing partners, regional arrangements not well aligned to country needs</w:t>
      </w:r>
      <w:r w:rsidR="00EB76F2">
        <w:t>,</w:t>
      </w:r>
      <w:r w:rsidR="00B2767A" w:rsidRPr="006222EA">
        <w:t xml:space="preserve"> and priorities</w:t>
      </w:r>
      <w:r>
        <w:t xml:space="preserve"> </w:t>
      </w:r>
      <w:r w:rsidR="003249CF">
        <w:t>n</w:t>
      </w:r>
      <w:r>
        <w:t>o</w:t>
      </w:r>
      <w:r w:rsidR="003D4761">
        <w:t>t</w:t>
      </w:r>
      <w:r w:rsidR="00472ED5" w:rsidRPr="006222EA">
        <w:t xml:space="preserve"> well </w:t>
      </w:r>
      <w:r w:rsidR="00B2767A" w:rsidRPr="006222EA">
        <w:t xml:space="preserve">overseen by health ministers and </w:t>
      </w:r>
      <w:r w:rsidR="00472ED5" w:rsidRPr="006222EA">
        <w:t>executives.</w:t>
      </w:r>
    </w:p>
    <w:p w14:paraId="420DC674" w14:textId="77777777" w:rsidR="00B2767A" w:rsidRPr="006222EA" w:rsidRDefault="00B2767A" w:rsidP="00FE62B5">
      <w:pPr>
        <w:pStyle w:val="BodyText"/>
        <w:rPr>
          <w:rFonts w:cs="Arial"/>
        </w:rPr>
      </w:pPr>
      <w:r w:rsidRPr="006222EA">
        <w:t xml:space="preserve">The </w:t>
      </w:r>
      <w:r w:rsidR="004C334D">
        <w:t xml:space="preserve">new </w:t>
      </w:r>
      <w:r w:rsidRPr="006222EA">
        <w:t>regional health delivery strategy will address these issues</w:t>
      </w:r>
      <w:r w:rsidR="007C313A" w:rsidRPr="006222EA">
        <w:t xml:space="preserve">. </w:t>
      </w:r>
      <w:r w:rsidR="004C334D">
        <w:t>The strategy</w:t>
      </w:r>
      <w:r w:rsidR="004C334D" w:rsidRPr="006222EA">
        <w:t xml:space="preserve"> </w:t>
      </w:r>
      <w:r w:rsidR="007C313A" w:rsidRPr="006222EA">
        <w:t xml:space="preserve">is </w:t>
      </w:r>
      <w:r w:rsidR="004C334D">
        <w:t>being discussed</w:t>
      </w:r>
      <w:r w:rsidR="007C313A" w:rsidRPr="006222EA">
        <w:t xml:space="preserve"> w</w:t>
      </w:r>
      <w:r w:rsidRPr="006222EA">
        <w:t>ith partner governments and delivery partners in the region.</w:t>
      </w:r>
      <w:r w:rsidR="00D533F8" w:rsidRPr="006222EA">
        <w:t xml:space="preserve"> Specialist training of health workers will continue to be a priority under the strategy</w:t>
      </w:r>
      <w:r w:rsidR="00472ED5" w:rsidRPr="006222EA">
        <w:t>.</w:t>
      </w:r>
    </w:p>
    <w:p w14:paraId="420DC675" w14:textId="77777777" w:rsidR="00B2767A" w:rsidRPr="006222EA" w:rsidRDefault="00B2767A" w:rsidP="00B2767A">
      <w:pPr>
        <w:pStyle w:val="Heading1"/>
      </w:pPr>
      <w:r w:rsidRPr="006222EA">
        <w:t>Regional education program</w:t>
      </w:r>
    </w:p>
    <w:p w14:paraId="420DC676" w14:textId="77777777" w:rsidR="00B2767A" w:rsidRPr="006222EA" w:rsidRDefault="00B2767A" w:rsidP="00B2767A">
      <w:pPr>
        <w:pStyle w:val="Heading2"/>
      </w:pPr>
      <w:r w:rsidRPr="006222EA">
        <w:t>Program objectives</w:t>
      </w:r>
    </w:p>
    <w:p w14:paraId="420DC677" w14:textId="77777777" w:rsidR="00B2767A" w:rsidRPr="006222EA" w:rsidRDefault="00B2767A" w:rsidP="00FE62B5">
      <w:pPr>
        <w:pStyle w:val="BodyText"/>
      </w:pPr>
      <w:r w:rsidRPr="006222EA">
        <w:t>Education is a key pillar of Australia’s aid program</w:t>
      </w:r>
      <w:r w:rsidR="009127FD" w:rsidRPr="006222EA">
        <w:t xml:space="preserve">. </w:t>
      </w:r>
      <w:r w:rsidRPr="006222EA">
        <w:t>The regional education program demonstrates good performance</w:t>
      </w:r>
      <w:r w:rsidR="004C334D">
        <w:t xml:space="preserve"> and is</w:t>
      </w:r>
      <w:r w:rsidRPr="006222EA">
        <w:t xml:space="preserve"> delivering opportunities for learning and skills development that </w:t>
      </w:r>
      <w:r w:rsidR="009127FD" w:rsidRPr="006222EA">
        <w:t xml:space="preserve">can </w:t>
      </w:r>
      <w:r w:rsidRPr="006222EA">
        <w:t xml:space="preserve">make a </w:t>
      </w:r>
      <w:r w:rsidR="009127FD" w:rsidRPr="006222EA">
        <w:t xml:space="preserve">real </w:t>
      </w:r>
      <w:r w:rsidRPr="006222EA">
        <w:t>difference</w:t>
      </w:r>
      <w:r w:rsidR="009127FD" w:rsidRPr="006222EA">
        <w:t xml:space="preserve">. </w:t>
      </w:r>
      <w:r w:rsidR="004C334D">
        <w:t xml:space="preserve">It </w:t>
      </w:r>
      <w:r w:rsidR="00DF52EF" w:rsidRPr="006222EA">
        <w:t xml:space="preserve">is guided by </w:t>
      </w:r>
      <w:r w:rsidRPr="006222EA">
        <w:t>the Pacific Education and Skills Development Agenda</w:t>
      </w:r>
      <w:r w:rsidR="004C334D">
        <w:t xml:space="preserve">, which has the </w:t>
      </w:r>
      <w:r w:rsidRPr="006222EA">
        <w:t xml:space="preserve">objectives of </w:t>
      </w:r>
      <w:r w:rsidRPr="003249CF">
        <w:t>ensuring access to quality basic education and opportunities for young people to develop skills and gain valued qualification</w:t>
      </w:r>
      <w:r w:rsidR="00D533F8" w:rsidRPr="003249CF">
        <w:t>s</w:t>
      </w:r>
      <w:r w:rsidRPr="004C334D">
        <w:t>.</w:t>
      </w:r>
      <w:r w:rsidRPr="006222EA">
        <w:t xml:space="preserve"> Current initiatives monitor and benchmark student learning to identify where education can be improved, provide opportunities for Pacific students to acquire Australian technical and vocational qualifications and support regional</w:t>
      </w:r>
      <w:r w:rsidR="00D533F8" w:rsidRPr="006222EA">
        <w:t xml:space="preserve"> provision of </w:t>
      </w:r>
      <w:r w:rsidR="00472ED5" w:rsidRPr="006222EA">
        <w:t>tertiary e</w:t>
      </w:r>
      <w:r w:rsidR="00D533F8" w:rsidRPr="006222EA">
        <w:t>ducation.</w:t>
      </w:r>
    </w:p>
    <w:p w14:paraId="420DC678" w14:textId="77777777" w:rsidR="00B2767A" w:rsidRPr="006222EA" w:rsidRDefault="00B2767A" w:rsidP="00B2767A">
      <w:pPr>
        <w:pStyle w:val="Heading2"/>
      </w:pPr>
      <w:r w:rsidRPr="006222EA">
        <w:t xml:space="preserve">Key </w:t>
      </w:r>
      <w:r w:rsidR="004C334D">
        <w:t>a</w:t>
      </w:r>
      <w:r w:rsidRPr="006222EA">
        <w:t>chievements</w:t>
      </w:r>
    </w:p>
    <w:p w14:paraId="420DC679" w14:textId="77777777" w:rsidR="00943337" w:rsidRPr="006222EA" w:rsidRDefault="00472ED5" w:rsidP="00FE62B5">
      <w:pPr>
        <w:pStyle w:val="BodyText"/>
      </w:pPr>
      <w:r w:rsidRPr="006222EA">
        <w:t xml:space="preserve">The </w:t>
      </w:r>
      <w:r w:rsidR="00B2767A" w:rsidRPr="006222EA">
        <w:t xml:space="preserve">regional education program </w:t>
      </w:r>
      <w:r w:rsidR="00C8447B" w:rsidRPr="006222EA">
        <w:t>supports initiatives that are not viable on a country basis</w:t>
      </w:r>
      <w:r w:rsidR="00B2767A" w:rsidRPr="006222EA">
        <w:t>.</w:t>
      </w:r>
      <w:r w:rsidRPr="006222EA">
        <w:t xml:space="preserve"> In</w:t>
      </w:r>
      <w:r w:rsidR="00C8447B" w:rsidRPr="006222EA">
        <w:t xml:space="preserve"> 2012</w:t>
      </w:r>
      <w:r w:rsidR="004C334D">
        <w:t>–</w:t>
      </w:r>
      <w:r w:rsidRPr="006222EA">
        <w:t>13</w:t>
      </w:r>
      <w:r w:rsidR="00C8447B" w:rsidRPr="006222EA">
        <w:t xml:space="preserve">, </w:t>
      </w:r>
      <w:r w:rsidR="00923084">
        <w:t>the program</w:t>
      </w:r>
      <w:r w:rsidR="004C334D">
        <w:t xml:space="preserve"> </w:t>
      </w:r>
      <w:r w:rsidR="00C8447B" w:rsidRPr="006222EA">
        <w:t>focused on benchmarking literacy standards a</w:t>
      </w:r>
      <w:r w:rsidR="004C334D">
        <w:t xml:space="preserve">nd </w:t>
      </w:r>
      <w:r w:rsidR="00C8447B" w:rsidRPr="006222EA">
        <w:t>supporting</w:t>
      </w:r>
      <w:r w:rsidR="00923084">
        <w:t xml:space="preserve"> regional institutions to provide</w:t>
      </w:r>
      <w:r w:rsidR="00C8447B" w:rsidRPr="006222EA">
        <w:t xml:space="preserve"> higher education qualifications</w:t>
      </w:r>
      <w:r w:rsidR="00C249B4" w:rsidRPr="006222EA">
        <w:t>.</w:t>
      </w:r>
    </w:p>
    <w:p w14:paraId="420DC67A" w14:textId="19156617" w:rsidR="00B2767A" w:rsidRPr="006222EA" w:rsidRDefault="00943337" w:rsidP="00FE62B5">
      <w:pPr>
        <w:pStyle w:val="ListBullet"/>
      </w:pPr>
      <w:r w:rsidRPr="006222EA">
        <w:t xml:space="preserve">Since 2007, </w:t>
      </w:r>
      <w:r w:rsidRPr="009C4DCB">
        <w:t>4</w:t>
      </w:r>
      <w:r w:rsidR="00E76CDC">
        <w:t>,</w:t>
      </w:r>
      <w:r w:rsidRPr="009C4DCB">
        <w:t>919 Australia</w:t>
      </w:r>
      <w:r w:rsidR="004C334D" w:rsidRPr="009C4DCB">
        <w:t>-</w:t>
      </w:r>
      <w:r w:rsidRPr="009C4DCB">
        <w:t>Pacific Technical College (APTC)</w:t>
      </w:r>
      <w:r w:rsidR="00B2767A" w:rsidRPr="009C4DCB">
        <w:t xml:space="preserve"> </w:t>
      </w:r>
      <w:r w:rsidRPr="009C4DCB">
        <w:t>students</w:t>
      </w:r>
      <w:r w:rsidRPr="006222EA">
        <w:t xml:space="preserve"> </w:t>
      </w:r>
      <w:r w:rsidR="00B2767A" w:rsidRPr="006222EA">
        <w:t>(40 per cent female</w:t>
      </w:r>
      <w:r w:rsidR="00B2767A" w:rsidRPr="008E1162">
        <w:t>) from 14 P</w:t>
      </w:r>
      <w:r w:rsidR="00ED7003" w:rsidRPr="008E1162">
        <w:t>ICs</w:t>
      </w:r>
      <w:r w:rsidR="00B2767A" w:rsidRPr="008E1162">
        <w:t xml:space="preserve"> have graduated</w:t>
      </w:r>
      <w:r w:rsidR="00B2767A" w:rsidRPr="006222EA">
        <w:t xml:space="preserve"> with Australian standard, labour market relevant skills. </w:t>
      </w:r>
    </w:p>
    <w:p w14:paraId="420DC67B" w14:textId="77777777" w:rsidR="00B2767A" w:rsidRPr="006222EA" w:rsidRDefault="00B2767A" w:rsidP="00FE62B5">
      <w:pPr>
        <w:pStyle w:val="ListBullet"/>
      </w:pPr>
      <w:r w:rsidRPr="006222EA">
        <w:t xml:space="preserve">APTC tracer studies indicate positive results </w:t>
      </w:r>
      <w:r w:rsidRPr="008E1162">
        <w:t>with 89 per cent of employers</w:t>
      </w:r>
      <w:r w:rsidRPr="006222EA">
        <w:t xml:space="preserve"> in the 2012 </w:t>
      </w:r>
      <w:r w:rsidR="00ED7003">
        <w:t>e</w:t>
      </w:r>
      <w:r w:rsidRPr="006222EA">
        <w:t xml:space="preserve">mployer survey </w:t>
      </w:r>
      <w:r w:rsidRPr="008E1162">
        <w:t>stating that</w:t>
      </w:r>
      <w:r w:rsidRPr="006222EA">
        <w:t xml:space="preserve"> productivity had increased </w:t>
      </w:r>
      <w:r w:rsidRPr="008E1162">
        <w:t>as a result of APTC training</w:t>
      </w:r>
      <w:r w:rsidRPr="006222EA">
        <w:t xml:space="preserve">. The 2012 Graduate Student Tracer survey revealed that </w:t>
      </w:r>
      <w:r w:rsidRPr="009C4DCB">
        <w:t>37 per cent</w:t>
      </w:r>
      <w:r w:rsidRPr="00B95D4A">
        <w:t xml:space="preserve"> </w:t>
      </w:r>
      <w:r w:rsidRPr="006222EA">
        <w:t>of respondents had received a promotion since graduation.</w:t>
      </w:r>
    </w:p>
    <w:p w14:paraId="420DC67C" w14:textId="64FA49A2" w:rsidR="00B2767A" w:rsidRPr="004B1F1E" w:rsidRDefault="00ED7003" w:rsidP="00FE62B5">
      <w:pPr>
        <w:pStyle w:val="ListBullet"/>
      </w:pPr>
      <w:r w:rsidRPr="004B1F1E">
        <w:t xml:space="preserve">The </w:t>
      </w:r>
      <w:r w:rsidR="00B2767A" w:rsidRPr="004B1F1E">
        <w:t xml:space="preserve">USP continues to provide the best opportunity in the Pacific for </w:t>
      </w:r>
      <w:r w:rsidR="00A61297" w:rsidRPr="004B1F1E">
        <w:t>quality</w:t>
      </w:r>
      <w:r w:rsidRPr="004B1F1E">
        <w:t>,</w:t>
      </w:r>
      <w:r w:rsidR="00A61297" w:rsidRPr="004B1F1E">
        <w:t xml:space="preserve"> internationally-recognis</w:t>
      </w:r>
      <w:r w:rsidR="00B2767A" w:rsidRPr="004B1F1E">
        <w:t>ed higher education. In 2012</w:t>
      </w:r>
      <w:r w:rsidRPr="004B1F1E">
        <w:t>,</w:t>
      </w:r>
      <w:r w:rsidR="00B2767A" w:rsidRPr="004B1F1E">
        <w:t xml:space="preserve"> </w:t>
      </w:r>
      <w:r w:rsidR="00B2767A" w:rsidRPr="009C4DCB">
        <w:t>2</w:t>
      </w:r>
      <w:r w:rsidR="00E76CDC">
        <w:t>,</w:t>
      </w:r>
      <w:r w:rsidR="00B2767A" w:rsidRPr="009C4DCB">
        <w:t>542</w:t>
      </w:r>
      <w:r w:rsidR="004B1F1E">
        <w:t xml:space="preserve"> students</w:t>
      </w:r>
      <w:r w:rsidR="00B2767A" w:rsidRPr="009C4DCB">
        <w:t xml:space="preserve"> graduate</w:t>
      </w:r>
      <w:r w:rsidR="004B1F1E">
        <w:t>d</w:t>
      </w:r>
      <w:r w:rsidR="00B2767A" w:rsidRPr="004B1F1E">
        <w:t xml:space="preserve"> </w:t>
      </w:r>
      <w:r w:rsidR="00B2767A" w:rsidRPr="009C4DCB">
        <w:t>(51</w:t>
      </w:r>
      <w:r w:rsidR="00AC4DE1">
        <w:t> </w:t>
      </w:r>
      <w:r w:rsidR="00B2767A" w:rsidRPr="009C4DCB">
        <w:t xml:space="preserve">per cent </w:t>
      </w:r>
      <w:r w:rsidR="00B2767A" w:rsidRPr="009C4DCB">
        <w:lastRenderedPageBreak/>
        <w:t>female)</w:t>
      </w:r>
      <w:r w:rsidR="00B2767A" w:rsidRPr="004B1F1E">
        <w:t xml:space="preserve"> and the 2012 Graduate Destination </w:t>
      </w:r>
      <w:r w:rsidR="00B2767A" w:rsidRPr="009C4DCB">
        <w:t xml:space="preserve">survey confirmed that </w:t>
      </w:r>
      <w:r w:rsidR="00B2767A" w:rsidRPr="004B1F1E">
        <w:t>61</w:t>
      </w:r>
      <w:r w:rsidR="00AC4DE1">
        <w:t> </w:t>
      </w:r>
      <w:r w:rsidR="00B2767A" w:rsidRPr="004B1F1E">
        <w:t xml:space="preserve">per cent </w:t>
      </w:r>
      <w:r w:rsidR="00B2767A" w:rsidRPr="009C4DCB">
        <w:t xml:space="preserve">of graduates </w:t>
      </w:r>
      <w:r w:rsidR="004B1F1E">
        <w:t>had found</w:t>
      </w:r>
      <w:r w:rsidR="004B1F1E" w:rsidRPr="009C4DCB">
        <w:t xml:space="preserve"> </w:t>
      </w:r>
      <w:r w:rsidR="00B2767A" w:rsidRPr="009C4DCB">
        <w:t xml:space="preserve">employment within </w:t>
      </w:r>
      <w:r w:rsidRPr="009C4DCB">
        <w:t>four</w:t>
      </w:r>
      <w:r w:rsidR="00B2767A" w:rsidRPr="009C4DCB">
        <w:t xml:space="preserve"> months of graduati</w:t>
      </w:r>
      <w:r w:rsidR="004B1F1E">
        <w:t>ng</w:t>
      </w:r>
      <w:r w:rsidR="00EB76F2" w:rsidRPr="004B1F1E">
        <w:t>.</w:t>
      </w:r>
    </w:p>
    <w:p w14:paraId="420DC67D" w14:textId="3D43D7DB" w:rsidR="00B2767A" w:rsidRPr="006222EA" w:rsidRDefault="00AF409A" w:rsidP="00FE62B5">
      <w:pPr>
        <w:pStyle w:val="ListBullet"/>
      </w:pPr>
      <w:r>
        <w:t>A</w:t>
      </w:r>
      <w:r w:rsidR="00B2767A" w:rsidRPr="00B95D4A">
        <w:t xml:space="preserve"> </w:t>
      </w:r>
      <w:r w:rsidR="00B2767A" w:rsidRPr="008E1162">
        <w:t>review of</w:t>
      </w:r>
      <w:r w:rsidR="00B2767A" w:rsidRPr="00B95D4A">
        <w:t xml:space="preserve"> </w:t>
      </w:r>
      <w:r w:rsidR="00B2767A" w:rsidRPr="008E1162">
        <w:t xml:space="preserve">Australia’s support to </w:t>
      </w:r>
      <w:r w:rsidR="00ED7003" w:rsidRPr="008E1162">
        <w:t xml:space="preserve">the </w:t>
      </w:r>
      <w:r w:rsidR="00B2767A" w:rsidRPr="008E1162">
        <w:t>USP</w:t>
      </w:r>
      <w:r w:rsidR="00B2767A" w:rsidRPr="00B95D4A">
        <w:t xml:space="preserve"> (14 per cent of </w:t>
      </w:r>
      <w:r w:rsidR="00ED7003" w:rsidRPr="00B95D4A">
        <w:t xml:space="preserve">the university’s </w:t>
      </w:r>
      <w:r w:rsidR="00B2767A" w:rsidRPr="00B95D4A">
        <w:t xml:space="preserve">budget in 2011) </w:t>
      </w:r>
      <w:r>
        <w:t xml:space="preserve">was commissioned </w:t>
      </w:r>
      <w:r w:rsidR="00B2767A" w:rsidRPr="00B95D4A">
        <w:t xml:space="preserve">which found that Australia’s core support made a significant contribution to </w:t>
      </w:r>
      <w:r w:rsidR="00ED7003" w:rsidRPr="00B95D4A">
        <w:t xml:space="preserve">the </w:t>
      </w:r>
      <w:r w:rsidR="00B2767A" w:rsidRPr="008E1162">
        <w:t xml:space="preserve">USP completing 80 per cent of its </w:t>
      </w:r>
      <w:r w:rsidR="00ED7003" w:rsidRPr="008E1162">
        <w:t>three</w:t>
      </w:r>
      <w:r w:rsidR="00B2767A" w:rsidRPr="008E1162">
        <w:t>-year strategic plan activities</w:t>
      </w:r>
      <w:r w:rsidR="00B2767A" w:rsidRPr="00B95D4A">
        <w:t xml:space="preserve"> by the end of 2012</w:t>
      </w:r>
      <w:r w:rsidR="00B2767A" w:rsidRPr="006222EA">
        <w:t>.</w:t>
      </w:r>
    </w:p>
    <w:p w14:paraId="420DC67E" w14:textId="77777777" w:rsidR="00B2767A" w:rsidRPr="006222EA" w:rsidRDefault="00D533F8" w:rsidP="00FE62B5">
      <w:pPr>
        <w:pStyle w:val="ListBullet"/>
      </w:pPr>
      <w:r w:rsidRPr="00B95D4A">
        <w:rPr>
          <w:rStyle w:val="st"/>
        </w:rPr>
        <w:t xml:space="preserve">The </w:t>
      </w:r>
      <w:r w:rsidR="00871FBE" w:rsidRPr="009C4DCB">
        <w:rPr>
          <w:rStyle w:val="st"/>
          <w:b/>
        </w:rPr>
        <w:t>Secretariat</w:t>
      </w:r>
      <w:r w:rsidRPr="009C4DCB">
        <w:rPr>
          <w:rStyle w:val="st"/>
          <w:b/>
        </w:rPr>
        <w:t xml:space="preserve"> of the Pacific Board for Educational Assessment</w:t>
      </w:r>
      <w:r w:rsidRPr="009C4DCB">
        <w:rPr>
          <w:rStyle w:val="st"/>
          <w:rFonts w:ascii="Arial" w:hAnsi="Arial" w:cs="Arial"/>
          <w:b/>
        </w:rPr>
        <w:t xml:space="preserve"> </w:t>
      </w:r>
      <w:r w:rsidRPr="009C4DCB">
        <w:t>(</w:t>
      </w:r>
      <w:r w:rsidR="00B2767A" w:rsidRPr="009C4DCB">
        <w:t>SPBEA</w:t>
      </w:r>
      <w:r w:rsidRPr="009C4DCB">
        <w:t>)</w:t>
      </w:r>
      <w:r w:rsidR="00B2767A" w:rsidRPr="00B95D4A">
        <w:t xml:space="preserve"> </w:t>
      </w:r>
      <w:r w:rsidR="00B2767A" w:rsidRPr="009C4DCB">
        <w:t>has</w:t>
      </w:r>
      <w:r w:rsidR="00B2767A" w:rsidRPr="006222EA">
        <w:t xml:space="preserve"> trained 265 educators in </w:t>
      </w:r>
      <w:r w:rsidR="00943337" w:rsidRPr="006222EA">
        <w:t>six</w:t>
      </w:r>
      <w:r w:rsidR="00B2767A" w:rsidRPr="006222EA">
        <w:t xml:space="preserve"> PICs to administer and award the Pacific Senior Secondary Certificate, creating national pathways </w:t>
      </w:r>
      <w:r w:rsidR="00943337" w:rsidRPr="006222EA">
        <w:t>for</w:t>
      </w:r>
      <w:r w:rsidR="00B2767A" w:rsidRPr="006222EA">
        <w:t xml:space="preserve"> study and employment</w:t>
      </w:r>
      <w:r w:rsidR="00943337" w:rsidRPr="006222EA">
        <w:t>.</w:t>
      </w:r>
    </w:p>
    <w:p w14:paraId="420DC67F" w14:textId="6EBCC652" w:rsidR="00B2767A" w:rsidRPr="006222EA" w:rsidRDefault="00ED7003" w:rsidP="00FE62B5">
      <w:pPr>
        <w:pStyle w:val="ListBullet"/>
      </w:pPr>
      <w:r>
        <w:t>More than</w:t>
      </w:r>
      <w:r w:rsidRPr="006222EA">
        <w:t xml:space="preserve"> </w:t>
      </w:r>
      <w:r w:rsidR="00B2767A" w:rsidRPr="00DC7B2F">
        <w:t>25</w:t>
      </w:r>
      <w:r w:rsidR="00E76CDC">
        <w:t>,</w:t>
      </w:r>
      <w:r w:rsidR="00B2767A" w:rsidRPr="00DC7B2F">
        <w:t xml:space="preserve">000 </w:t>
      </w:r>
      <w:r w:rsidR="00943337" w:rsidRPr="00DC7B2F">
        <w:t>students</w:t>
      </w:r>
      <w:r w:rsidR="00943337" w:rsidRPr="006222EA">
        <w:t xml:space="preserve"> </w:t>
      </w:r>
      <w:r w:rsidR="00B2767A" w:rsidRPr="006222EA">
        <w:t xml:space="preserve">in years 4 and 6 across 14 PICs </w:t>
      </w:r>
      <w:r w:rsidR="00B2767A" w:rsidRPr="009C4DCB">
        <w:t>sat the</w:t>
      </w:r>
      <w:r w:rsidR="00B2767A" w:rsidRPr="00DC7B2F">
        <w:t xml:space="preserve"> Pacific Islands Literacy and Numeracy Assessment</w:t>
      </w:r>
      <w:r w:rsidR="00B2767A" w:rsidRPr="006222EA">
        <w:t xml:space="preserve">. These results will </w:t>
      </w:r>
      <w:r w:rsidR="00943337" w:rsidRPr="006222EA">
        <w:t xml:space="preserve">enable PICs to </w:t>
      </w:r>
      <w:r w:rsidR="002A0D20" w:rsidRPr="006222EA">
        <w:t xml:space="preserve">benchmark learning outcomes and </w:t>
      </w:r>
      <w:r w:rsidR="00B2767A" w:rsidRPr="006222EA">
        <w:t>target interventions to improve education</w:t>
      </w:r>
      <w:r w:rsidR="009127FD" w:rsidRPr="006222EA">
        <w:t>.</w:t>
      </w:r>
    </w:p>
    <w:p w14:paraId="420DC680" w14:textId="77777777" w:rsidR="00B2767A" w:rsidRPr="006222EA" w:rsidRDefault="00135753" w:rsidP="00FE62B5">
      <w:pPr>
        <w:pStyle w:val="ListBullet"/>
      </w:pPr>
      <w:r>
        <w:t xml:space="preserve">The </w:t>
      </w:r>
      <w:r w:rsidR="00B2767A" w:rsidRPr="006222EA">
        <w:t>SPBEA is also collecting data from PIC qualifications authorities for the Pacific Register of Qua</w:t>
      </w:r>
      <w:r w:rsidR="002A0D20" w:rsidRPr="006222EA">
        <w:t xml:space="preserve">lifications and Standards. This </w:t>
      </w:r>
      <w:r w:rsidR="00B2767A" w:rsidRPr="006222EA">
        <w:t xml:space="preserve">will facilitate mutual recognition of qualifications regionally and internationally, increasing their portability for study, employment and labour mobility across borders. </w:t>
      </w:r>
    </w:p>
    <w:p w14:paraId="420DC681" w14:textId="77777777" w:rsidR="00CF6640" w:rsidRPr="006222EA" w:rsidRDefault="00B2767A" w:rsidP="00CF6640">
      <w:pPr>
        <w:pStyle w:val="Heading2"/>
      </w:pPr>
      <w:r w:rsidRPr="006222EA">
        <w:t>Factors affecting progress and future directions</w:t>
      </w:r>
    </w:p>
    <w:p w14:paraId="420DC682" w14:textId="77777777" w:rsidR="00B2767A" w:rsidRPr="006222EA" w:rsidRDefault="00286CD5" w:rsidP="00FE62B5">
      <w:pPr>
        <w:pStyle w:val="BodyText"/>
        <w:rPr>
          <w:rFonts w:ascii="Franklin Gothic Demi" w:hAnsi="Franklin Gothic Demi" w:cs="Arial"/>
        </w:rPr>
      </w:pPr>
      <w:r>
        <w:t>To improve</w:t>
      </w:r>
      <w:r w:rsidR="00ED7003" w:rsidRPr="006222EA">
        <w:t xml:space="preserve"> </w:t>
      </w:r>
      <w:r w:rsidR="009127FD" w:rsidRPr="006222EA">
        <w:t xml:space="preserve">the </w:t>
      </w:r>
      <w:r w:rsidR="00B2767A" w:rsidRPr="006222EA">
        <w:t xml:space="preserve">efficiency of the APTC, the </w:t>
      </w:r>
      <w:r w:rsidR="00ED7003">
        <w:t>college</w:t>
      </w:r>
      <w:r w:rsidR="00ED7003" w:rsidRPr="006222EA">
        <w:t xml:space="preserve"> </w:t>
      </w:r>
      <w:r w:rsidR="00B2767A" w:rsidRPr="006222EA">
        <w:t xml:space="preserve">has developed a business development strategy </w:t>
      </w:r>
      <w:r w:rsidR="00ED7003">
        <w:t>identifying</w:t>
      </w:r>
      <w:r w:rsidR="00B2767A" w:rsidRPr="006222EA">
        <w:t xml:space="preserve"> reduced operational and delivery costs and growth in revenue. The strengthening of the</w:t>
      </w:r>
      <w:r w:rsidR="00ED7003">
        <w:t xml:space="preserve"> APTC’s </w:t>
      </w:r>
      <w:r w:rsidR="00B2767A" w:rsidRPr="006222EA">
        <w:t>Nationalisation Strategy in 2012 and the endorsement of the Fee for Service strategy</w:t>
      </w:r>
      <w:r w:rsidR="009127FD" w:rsidRPr="006222EA">
        <w:t xml:space="preserve"> in</w:t>
      </w:r>
      <w:r w:rsidR="00B2767A" w:rsidRPr="006222EA">
        <w:t xml:space="preserve"> 2013 will reinforce these efforts. Progress under these areas </w:t>
      </w:r>
      <w:r w:rsidR="00ED7003">
        <w:t>is</w:t>
      </w:r>
      <w:r w:rsidR="00B2767A" w:rsidRPr="006222EA">
        <w:t xml:space="preserve"> crucial </w:t>
      </w:r>
      <w:r w:rsidR="00ED7003">
        <w:t>for</w:t>
      </w:r>
      <w:r w:rsidR="00ED7003" w:rsidRPr="006222EA">
        <w:t xml:space="preserve"> </w:t>
      </w:r>
      <w:r w:rsidR="00B2767A" w:rsidRPr="006222EA">
        <w:t>achiev</w:t>
      </w:r>
      <w:r w:rsidR="00ED7003">
        <w:t>ing</w:t>
      </w:r>
      <w:r w:rsidR="00B2767A" w:rsidRPr="006222EA">
        <w:t xml:space="preserve"> sustainability and value</w:t>
      </w:r>
      <w:r w:rsidR="00ED7003">
        <w:t>-</w:t>
      </w:r>
      <w:r w:rsidR="00B2767A" w:rsidRPr="006222EA">
        <w:t>for</w:t>
      </w:r>
      <w:r w:rsidR="00ED7003">
        <w:t>-</w:t>
      </w:r>
      <w:r w:rsidR="00B2767A" w:rsidRPr="006222EA">
        <w:t>money agendas</w:t>
      </w:r>
      <w:r w:rsidR="009127FD" w:rsidRPr="006222EA">
        <w:t>.</w:t>
      </w:r>
    </w:p>
    <w:p w14:paraId="420DC683" w14:textId="37B246FF" w:rsidR="00B2767A" w:rsidRPr="006222EA" w:rsidRDefault="009127FD" w:rsidP="00FE62B5">
      <w:pPr>
        <w:pStyle w:val="BodyText"/>
      </w:pPr>
      <w:r w:rsidRPr="006222EA">
        <w:t xml:space="preserve">Pressures on </w:t>
      </w:r>
      <w:r w:rsidR="006633C3">
        <w:t xml:space="preserve">the Australian Government’s </w:t>
      </w:r>
      <w:r w:rsidRPr="006222EA">
        <w:t xml:space="preserve">regional </w:t>
      </w:r>
      <w:r w:rsidR="00B2767A" w:rsidRPr="006222EA">
        <w:t xml:space="preserve">aid budget in 2012 </w:t>
      </w:r>
      <w:r w:rsidR="00E45844" w:rsidRPr="006222EA">
        <w:t xml:space="preserve">required </w:t>
      </w:r>
      <w:r w:rsidRPr="006222EA">
        <w:t xml:space="preserve">some </w:t>
      </w:r>
      <w:r w:rsidR="00B2767A" w:rsidRPr="006222EA">
        <w:t xml:space="preserve">deferred payments for </w:t>
      </w:r>
      <w:r w:rsidRPr="006222EA">
        <w:t xml:space="preserve">the </w:t>
      </w:r>
      <w:r w:rsidR="00B2767A" w:rsidRPr="006222EA">
        <w:t>APTC</w:t>
      </w:r>
      <w:r w:rsidRPr="006222EA">
        <w:t xml:space="preserve"> and </w:t>
      </w:r>
      <w:r w:rsidR="00B2767A" w:rsidRPr="006222EA">
        <w:t xml:space="preserve">SPBEA. This led to </w:t>
      </w:r>
      <w:r w:rsidR="00E45844" w:rsidRPr="006222EA">
        <w:t xml:space="preserve">modest </w:t>
      </w:r>
      <w:r w:rsidR="00B2767A" w:rsidRPr="006222EA">
        <w:t>delays in implementing work programs</w:t>
      </w:r>
      <w:r w:rsidR="00E45844" w:rsidRPr="006222EA">
        <w:t xml:space="preserve">. </w:t>
      </w:r>
      <w:r w:rsidR="00B2767A" w:rsidRPr="006222EA">
        <w:t>The</w:t>
      </w:r>
      <w:r w:rsidR="00ED7003">
        <w:t xml:space="preserve"> SPBEA is facing</w:t>
      </w:r>
      <w:r w:rsidR="00B2767A" w:rsidRPr="006222EA">
        <w:t xml:space="preserve"> significant challenges due to delays in recruit</w:t>
      </w:r>
      <w:r w:rsidR="00ED7003">
        <w:t>ing</w:t>
      </w:r>
      <w:r w:rsidR="00B2767A" w:rsidRPr="006222EA">
        <w:t xml:space="preserve"> key personnel</w:t>
      </w:r>
      <w:r w:rsidRPr="006222EA">
        <w:t xml:space="preserve">, however, a </w:t>
      </w:r>
      <w:r w:rsidR="00CF6640" w:rsidRPr="006222EA">
        <w:t>new human resources</w:t>
      </w:r>
      <w:r w:rsidR="00B2767A" w:rsidRPr="006222EA">
        <w:t xml:space="preserve"> director has </w:t>
      </w:r>
      <w:r w:rsidR="00E45844" w:rsidRPr="006222EA">
        <w:t xml:space="preserve">now </w:t>
      </w:r>
      <w:r w:rsidR="00B2767A" w:rsidRPr="006222EA">
        <w:t xml:space="preserve">been appointed. </w:t>
      </w:r>
    </w:p>
    <w:p w14:paraId="420DC684" w14:textId="77777777" w:rsidR="00B2767A" w:rsidRPr="006222EA" w:rsidRDefault="00B2767A" w:rsidP="00B2767A">
      <w:pPr>
        <w:pStyle w:val="Heading1"/>
      </w:pPr>
      <w:r w:rsidRPr="006222EA">
        <w:t>Disability inclusive development</w:t>
      </w:r>
    </w:p>
    <w:p w14:paraId="420DC685" w14:textId="77777777" w:rsidR="00B2767A" w:rsidRPr="006222EA" w:rsidRDefault="00B2767A" w:rsidP="00B2767A">
      <w:pPr>
        <w:pStyle w:val="Heading2"/>
      </w:pPr>
      <w:r w:rsidRPr="006222EA">
        <w:t>Program objectives</w:t>
      </w:r>
    </w:p>
    <w:p w14:paraId="420DC686" w14:textId="0C73A0F6" w:rsidR="0090035E" w:rsidRDefault="0090035E" w:rsidP="00FE62B5">
      <w:pPr>
        <w:pStyle w:val="BodyText"/>
      </w:pPr>
      <w:r>
        <w:t xml:space="preserve">The key objective of </w:t>
      </w:r>
      <w:r w:rsidRPr="006222EA">
        <w:t xml:space="preserve">the </w:t>
      </w:r>
      <w:r w:rsidRPr="006222EA">
        <w:rPr>
          <w:i/>
        </w:rPr>
        <w:t>Pacific Regional Strategy on Disability (2010</w:t>
      </w:r>
      <w:r>
        <w:rPr>
          <w:i/>
        </w:rPr>
        <w:t>–</w:t>
      </w:r>
      <w:r w:rsidRPr="006222EA">
        <w:rPr>
          <w:i/>
        </w:rPr>
        <w:t>2015)</w:t>
      </w:r>
      <w:r w:rsidR="00B2767A" w:rsidRPr="006222EA">
        <w:t xml:space="preserve"> is to improve the quality of life </w:t>
      </w:r>
      <w:r w:rsidR="009127FD" w:rsidRPr="006222EA">
        <w:t xml:space="preserve">for </w:t>
      </w:r>
      <w:r w:rsidR="00B2767A" w:rsidRPr="006222EA">
        <w:t xml:space="preserve">people with disability by promoting and improving access to the same opportunities </w:t>
      </w:r>
      <w:r w:rsidR="0080163F">
        <w:t>to participate, contribute and make decisions as others without disability</w:t>
      </w:r>
      <w:r>
        <w:t>.</w:t>
      </w:r>
    </w:p>
    <w:p w14:paraId="420DC687" w14:textId="721ADABA" w:rsidR="00B2767A" w:rsidRPr="006222EA" w:rsidRDefault="00956EA4" w:rsidP="00FE62B5">
      <w:pPr>
        <w:pStyle w:val="BodyText"/>
      </w:pPr>
      <w:r>
        <w:t>Australia</w:t>
      </w:r>
      <w:r w:rsidR="00B2767A" w:rsidRPr="006222EA">
        <w:t xml:space="preserve"> </w:t>
      </w:r>
      <w:r w:rsidR="00E45844" w:rsidRPr="006222EA">
        <w:t xml:space="preserve">is </w:t>
      </w:r>
      <w:r w:rsidR="00B2767A" w:rsidRPr="006222EA">
        <w:t xml:space="preserve">supporting </w:t>
      </w:r>
      <w:r w:rsidR="00AB7772">
        <w:t>the Pacific Island Forum Secretariat</w:t>
      </w:r>
      <w:r w:rsidR="00D4192C" w:rsidRPr="006222EA">
        <w:t xml:space="preserve"> </w:t>
      </w:r>
      <w:r w:rsidR="00B2767A" w:rsidRPr="006222EA">
        <w:t>to build</w:t>
      </w:r>
      <w:r w:rsidR="00A56FE4" w:rsidRPr="006222EA">
        <w:t xml:space="preserve"> </w:t>
      </w:r>
      <w:r w:rsidR="00B2767A" w:rsidRPr="006222EA">
        <w:t>the capacity of Pacific Disabled Persons Organisations</w:t>
      </w:r>
      <w:r w:rsidR="0080163F">
        <w:t>. This</w:t>
      </w:r>
      <w:r w:rsidR="00B2767A" w:rsidRPr="006222EA">
        <w:t xml:space="preserve"> play</w:t>
      </w:r>
      <w:r w:rsidR="0080163F">
        <w:t>s</w:t>
      </w:r>
      <w:r w:rsidR="00B2767A" w:rsidRPr="006222EA">
        <w:t xml:space="preserve"> a crucial role in strengthening inclusive development practice. </w:t>
      </w:r>
      <w:r>
        <w:t xml:space="preserve">Through </w:t>
      </w:r>
      <w:r w:rsidR="00B2767A" w:rsidRPr="006222EA">
        <w:t>a strategic partnership with the Pacific Disability Forum, the regional peak body of disability organisations</w:t>
      </w:r>
      <w:r w:rsidR="0080163F">
        <w:t>,</w:t>
      </w:r>
      <w:r w:rsidR="00A56FE4" w:rsidRPr="006222EA">
        <w:t xml:space="preserve"> </w:t>
      </w:r>
      <w:r>
        <w:t>the department</w:t>
      </w:r>
      <w:r w:rsidR="00A56FE4" w:rsidRPr="006222EA">
        <w:t xml:space="preserve"> is </w:t>
      </w:r>
      <w:r w:rsidR="00B2767A" w:rsidRPr="006222EA">
        <w:t>supporting the mainstreaming of disability in key higher education, gender and disaster risk reduction programs.</w:t>
      </w:r>
    </w:p>
    <w:p w14:paraId="420DC688" w14:textId="77777777" w:rsidR="000C4896" w:rsidRPr="006222EA" w:rsidRDefault="000C4896" w:rsidP="000C4896">
      <w:pPr>
        <w:pStyle w:val="Heading2"/>
      </w:pPr>
      <w:r w:rsidRPr="006222EA">
        <w:lastRenderedPageBreak/>
        <w:t>Key achievements</w:t>
      </w:r>
    </w:p>
    <w:p w14:paraId="420DC689" w14:textId="77777777" w:rsidR="000C4896" w:rsidRPr="006222EA" w:rsidRDefault="00224AD0" w:rsidP="00FE62B5">
      <w:pPr>
        <w:pStyle w:val="ListBullet"/>
      </w:pPr>
      <w:r w:rsidRPr="006222EA">
        <w:rPr>
          <w:b/>
        </w:rPr>
        <w:t>UN Convention on the Rights of Persons with Disabilities</w:t>
      </w:r>
      <w:r>
        <w:t>—i</w:t>
      </w:r>
      <w:r w:rsidR="000C4896" w:rsidRPr="006222EA">
        <w:t>n 2012</w:t>
      </w:r>
      <w:r w:rsidR="0080163F">
        <w:t>–</w:t>
      </w:r>
      <w:r w:rsidR="000C4896" w:rsidRPr="006222EA">
        <w:t xml:space="preserve">13, three more </w:t>
      </w:r>
      <w:r w:rsidR="00FF4D8C" w:rsidRPr="006222EA">
        <w:t>PICs (</w:t>
      </w:r>
      <w:r w:rsidR="000C4896" w:rsidRPr="006222EA">
        <w:t>Nauru, Palau and P</w:t>
      </w:r>
      <w:r w:rsidR="00E45844" w:rsidRPr="006222EA">
        <w:t>NG)</w:t>
      </w:r>
      <w:r w:rsidR="000C4896" w:rsidRPr="006222EA">
        <w:t xml:space="preserve"> ratif</w:t>
      </w:r>
      <w:r w:rsidR="00E45844" w:rsidRPr="006222EA">
        <w:t>ied</w:t>
      </w:r>
      <w:r w:rsidR="008449CF">
        <w:t xml:space="preserve"> the</w:t>
      </w:r>
      <w:r w:rsidR="000C4896" w:rsidRPr="006222EA">
        <w:t xml:space="preserve"> </w:t>
      </w:r>
      <w:r>
        <w:t>convention</w:t>
      </w:r>
      <w:r w:rsidR="000C4896" w:rsidRPr="006222EA">
        <w:t xml:space="preserve">. </w:t>
      </w:r>
      <w:r w:rsidR="0080163F">
        <w:t>S</w:t>
      </w:r>
      <w:r w:rsidR="000C4896" w:rsidRPr="006222EA">
        <w:t>even</w:t>
      </w:r>
      <w:r w:rsidR="000C4896" w:rsidRPr="006222EA">
        <w:rPr>
          <w:rStyle w:val="FootnoteReference"/>
        </w:rPr>
        <w:footnoteReference w:id="15"/>
      </w:r>
      <w:r w:rsidR="000C4896" w:rsidRPr="006222EA">
        <w:t xml:space="preserve"> countries are signatories and five</w:t>
      </w:r>
      <w:r w:rsidR="000C4896" w:rsidRPr="006222EA">
        <w:rPr>
          <w:rStyle w:val="FootnoteReference"/>
        </w:rPr>
        <w:footnoteReference w:id="16"/>
      </w:r>
      <w:r w:rsidR="000C4896" w:rsidRPr="006222EA">
        <w:t xml:space="preserve"> have</w:t>
      </w:r>
      <w:r w:rsidR="009C4DCB">
        <w:t xml:space="preserve"> now</w:t>
      </w:r>
      <w:r w:rsidR="000C4896" w:rsidRPr="006222EA">
        <w:t xml:space="preserve"> ratified the </w:t>
      </w:r>
      <w:r w:rsidR="002131CD">
        <w:t>c</w:t>
      </w:r>
      <w:r w:rsidR="000C4896" w:rsidRPr="006222EA">
        <w:t>onvention.</w:t>
      </w:r>
    </w:p>
    <w:p w14:paraId="420DC68A" w14:textId="77777777" w:rsidR="000C4896" w:rsidRPr="006222EA" w:rsidRDefault="00224AD0" w:rsidP="00FE62B5">
      <w:pPr>
        <w:pStyle w:val="ListBullet"/>
      </w:pPr>
      <w:r w:rsidRPr="006222EA">
        <w:rPr>
          <w:b/>
        </w:rPr>
        <w:t>UN Convention on the Rights of Persons with Disabilities</w:t>
      </w:r>
      <w:r>
        <w:rPr>
          <w:szCs w:val="22"/>
        </w:rPr>
        <w:t xml:space="preserve"> —i</w:t>
      </w:r>
      <w:r w:rsidR="000C4896" w:rsidRPr="006222EA">
        <w:rPr>
          <w:szCs w:val="22"/>
        </w:rPr>
        <w:t>n 2012</w:t>
      </w:r>
      <w:r w:rsidR="00D4192C" w:rsidRPr="006222EA">
        <w:rPr>
          <w:szCs w:val="22"/>
        </w:rPr>
        <w:t>,</w:t>
      </w:r>
      <w:r w:rsidR="000C4896" w:rsidRPr="006222EA">
        <w:rPr>
          <w:szCs w:val="22"/>
        </w:rPr>
        <w:t xml:space="preserve"> </w:t>
      </w:r>
      <w:r w:rsidR="0080163F">
        <w:rPr>
          <w:szCs w:val="22"/>
        </w:rPr>
        <w:t xml:space="preserve">the </w:t>
      </w:r>
      <w:r w:rsidR="000C4896" w:rsidRPr="006222EA">
        <w:rPr>
          <w:szCs w:val="22"/>
        </w:rPr>
        <w:t>USP established an office to support and advi</w:t>
      </w:r>
      <w:r w:rsidR="00B0028B">
        <w:rPr>
          <w:szCs w:val="22"/>
        </w:rPr>
        <w:t>se students with disability on campus l</w:t>
      </w:r>
      <w:r w:rsidR="000C4896" w:rsidRPr="006222EA">
        <w:rPr>
          <w:szCs w:val="22"/>
        </w:rPr>
        <w:t>ife</w:t>
      </w:r>
      <w:r w:rsidR="00E45844" w:rsidRPr="006222EA">
        <w:rPr>
          <w:szCs w:val="22"/>
        </w:rPr>
        <w:t>. P</w:t>
      </w:r>
      <w:r w:rsidR="000C4896" w:rsidRPr="006222EA">
        <w:rPr>
          <w:szCs w:val="22"/>
        </w:rPr>
        <w:t xml:space="preserve">athways and toilet facilities were made accessible on the main campus in Fiji and enhancements to </w:t>
      </w:r>
      <w:r w:rsidR="00E45844" w:rsidRPr="006222EA">
        <w:rPr>
          <w:szCs w:val="22"/>
        </w:rPr>
        <w:t xml:space="preserve">other </w:t>
      </w:r>
      <w:r w:rsidR="000C4896" w:rsidRPr="006222EA">
        <w:rPr>
          <w:szCs w:val="22"/>
        </w:rPr>
        <w:t xml:space="preserve">campuses </w:t>
      </w:r>
      <w:r w:rsidR="0080163F">
        <w:rPr>
          <w:szCs w:val="22"/>
        </w:rPr>
        <w:t>began</w:t>
      </w:r>
      <w:r w:rsidR="000C4896" w:rsidRPr="006222EA">
        <w:rPr>
          <w:szCs w:val="22"/>
        </w:rPr>
        <w:t xml:space="preserve">. </w:t>
      </w:r>
      <w:r w:rsidR="0080163F">
        <w:rPr>
          <w:szCs w:val="22"/>
        </w:rPr>
        <w:t xml:space="preserve">The </w:t>
      </w:r>
      <w:r w:rsidR="000C4896" w:rsidRPr="006222EA">
        <w:rPr>
          <w:szCs w:val="22"/>
        </w:rPr>
        <w:t>USP</w:t>
      </w:r>
      <w:r w:rsidR="00E45844" w:rsidRPr="006222EA">
        <w:rPr>
          <w:szCs w:val="22"/>
        </w:rPr>
        <w:t xml:space="preserve">’s new </w:t>
      </w:r>
      <w:r w:rsidR="000C4896" w:rsidRPr="006222EA">
        <w:rPr>
          <w:b/>
          <w:szCs w:val="22"/>
        </w:rPr>
        <w:t>Disability Inclusiveness Policy</w:t>
      </w:r>
      <w:r w:rsidR="000C4896" w:rsidRPr="006222EA">
        <w:rPr>
          <w:szCs w:val="22"/>
        </w:rPr>
        <w:t xml:space="preserve"> will be endorsed by the USP Council in mid-2013.</w:t>
      </w:r>
    </w:p>
    <w:p w14:paraId="420DC68B" w14:textId="77777777" w:rsidR="000C4896" w:rsidRPr="006222EA" w:rsidRDefault="000C4896" w:rsidP="00FE62B5">
      <w:pPr>
        <w:pStyle w:val="ListBullet"/>
      </w:pPr>
      <w:r w:rsidRPr="006222EA">
        <w:rPr>
          <w:b/>
        </w:rPr>
        <w:t>Certificate III course in Disability</w:t>
      </w:r>
      <w:r w:rsidR="00224AD0" w:rsidRPr="008449CF">
        <w:t>—</w:t>
      </w:r>
      <w:r w:rsidR="008449CF">
        <w:t>in</w:t>
      </w:r>
      <w:r w:rsidR="00224AD0">
        <w:t xml:space="preserve"> 2012, t</w:t>
      </w:r>
      <w:r w:rsidR="00224AD0" w:rsidRPr="008449CF">
        <w:t>he APTC</w:t>
      </w:r>
      <w:r w:rsidRPr="006222EA">
        <w:t xml:space="preserve"> </w:t>
      </w:r>
      <w:r w:rsidR="008449CF">
        <w:t xml:space="preserve">introduced this qualification, </w:t>
      </w:r>
      <w:r w:rsidR="008449CF" w:rsidRPr="006222EA">
        <w:t>ensu</w:t>
      </w:r>
      <w:r w:rsidR="008449CF">
        <w:t>ring</w:t>
      </w:r>
      <w:r w:rsidRPr="006222EA">
        <w:t xml:space="preserve"> that specialised training </w:t>
      </w:r>
      <w:r w:rsidR="0080163F">
        <w:t>is</w:t>
      </w:r>
      <w:r w:rsidR="0080163F" w:rsidRPr="006222EA">
        <w:t xml:space="preserve"> </w:t>
      </w:r>
      <w:r w:rsidRPr="006222EA">
        <w:t xml:space="preserve">available to </w:t>
      </w:r>
      <w:r w:rsidR="00E45844" w:rsidRPr="006222EA">
        <w:t xml:space="preserve">the region. </w:t>
      </w:r>
      <w:r w:rsidRPr="006222EA">
        <w:t>APTC facilities include provision for people with disabilit</w:t>
      </w:r>
      <w:r w:rsidR="0080163F">
        <w:t>y</w:t>
      </w:r>
      <w:r w:rsidR="00E45844" w:rsidRPr="006222EA">
        <w:t xml:space="preserve">. </w:t>
      </w:r>
    </w:p>
    <w:p w14:paraId="420DC68C" w14:textId="77777777" w:rsidR="000C4896" w:rsidRPr="006222EA" w:rsidRDefault="000C4896" w:rsidP="00FE62B5">
      <w:pPr>
        <w:pStyle w:val="ListBullet"/>
        <w:rPr>
          <w:b/>
        </w:rPr>
      </w:pPr>
      <w:r w:rsidRPr="006222EA">
        <w:rPr>
          <w:b/>
        </w:rPr>
        <w:t>International Disability Al</w:t>
      </w:r>
      <w:r w:rsidR="00D4192C" w:rsidRPr="006222EA">
        <w:rPr>
          <w:b/>
        </w:rPr>
        <w:t>liance</w:t>
      </w:r>
      <w:r w:rsidR="00224AD0">
        <w:rPr>
          <w:b/>
        </w:rPr>
        <w:t>—</w:t>
      </w:r>
      <w:r w:rsidR="00D4192C" w:rsidRPr="006222EA">
        <w:t xml:space="preserve">in </w:t>
      </w:r>
      <w:r w:rsidR="0080163F">
        <w:t>p</w:t>
      </w:r>
      <w:r w:rsidR="00D4192C" w:rsidRPr="006222EA">
        <w:t xml:space="preserve">artnership with </w:t>
      </w:r>
      <w:r w:rsidR="0080163F">
        <w:t xml:space="preserve">the Pacific </w:t>
      </w:r>
      <w:r w:rsidR="00224AD0">
        <w:t>Disability</w:t>
      </w:r>
      <w:r w:rsidR="0080163F">
        <w:t xml:space="preserve"> Forum</w:t>
      </w:r>
      <w:r w:rsidR="00D4192C" w:rsidRPr="006222EA">
        <w:t>,</w:t>
      </w:r>
      <w:r w:rsidR="00224AD0">
        <w:t xml:space="preserve"> the alliance</w:t>
      </w:r>
      <w:r w:rsidRPr="006222EA">
        <w:t xml:space="preserve"> implemented two phases of a pilot training program, to build the capacity of Pacific Disabled Persons Organisations to be involved in national discussions on the </w:t>
      </w:r>
      <w:r w:rsidR="0080163F" w:rsidRPr="008449CF">
        <w:t>UN Convention on the Rights of Persons with Disabilities</w:t>
      </w:r>
      <w:r w:rsidRPr="006222EA">
        <w:t>. Th</w:t>
      </w:r>
      <w:r w:rsidR="003E1AF2" w:rsidRPr="006222EA">
        <w:t>is</w:t>
      </w:r>
      <w:r w:rsidRPr="006222EA">
        <w:t xml:space="preserve"> training targeted 18 leaders with disability, from eight P</w:t>
      </w:r>
      <w:r w:rsidR="003E1AF2" w:rsidRPr="006222EA">
        <w:t>ICs.</w:t>
      </w:r>
    </w:p>
    <w:p w14:paraId="420DC68D" w14:textId="77777777" w:rsidR="000C4896" w:rsidRPr="006222EA" w:rsidRDefault="000C4896" w:rsidP="000C4896">
      <w:pPr>
        <w:pStyle w:val="Heading1"/>
        <w:rPr>
          <w:sz w:val="24"/>
          <w:szCs w:val="24"/>
        </w:rPr>
      </w:pPr>
      <w:r w:rsidRPr="00923084">
        <w:rPr>
          <w:sz w:val="24"/>
          <w:szCs w:val="24"/>
        </w:rPr>
        <w:t>Factors affecting</w:t>
      </w:r>
      <w:r w:rsidRPr="006222EA">
        <w:rPr>
          <w:sz w:val="24"/>
          <w:szCs w:val="24"/>
        </w:rPr>
        <w:t xml:space="preserve"> progress and future directions</w:t>
      </w:r>
    </w:p>
    <w:p w14:paraId="420DC68E" w14:textId="16893180" w:rsidR="000C4896" w:rsidRPr="006222EA" w:rsidRDefault="00956EA4" w:rsidP="000C4896">
      <w:pPr>
        <w:pStyle w:val="PlainText"/>
        <w:spacing w:after="120"/>
        <w:rPr>
          <w:szCs w:val="22"/>
        </w:rPr>
      </w:pPr>
      <w:r>
        <w:rPr>
          <w:rFonts w:ascii="Times New Roman" w:hAnsi="Times New Roman" w:cs="Times New Roman"/>
          <w:szCs w:val="22"/>
        </w:rPr>
        <w:t>S</w:t>
      </w:r>
      <w:r w:rsidR="000C4896" w:rsidRPr="006222EA">
        <w:rPr>
          <w:rFonts w:ascii="Times New Roman" w:hAnsi="Times New Roman" w:cs="Times New Roman"/>
          <w:szCs w:val="22"/>
        </w:rPr>
        <w:t xml:space="preserve">trong progress </w:t>
      </w:r>
      <w:r>
        <w:rPr>
          <w:rFonts w:ascii="Times New Roman" w:hAnsi="Times New Roman" w:cs="Times New Roman"/>
          <w:szCs w:val="22"/>
        </w:rPr>
        <w:t xml:space="preserve">has been made </w:t>
      </w:r>
      <w:r w:rsidR="000C4896" w:rsidRPr="006222EA">
        <w:rPr>
          <w:rFonts w:ascii="Times New Roman" w:hAnsi="Times New Roman" w:cs="Times New Roman"/>
          <w:szCs w:val="22"/>
        </w:rPr>
        <w:t>in integrating disability inclusiveness into elements of</w:t>
      </w:r>
      <w:r w:rsidR="00225961">
        <w:rPr>
          <w:rFonts w:ascii="Times New Roman" w:hAnsi="Times New Roman" w:cs="Times New Roman"/>
          <w:szCs w:val="22"/>
        </w:rPr>
        <w:t xml:space="preserve"> </w:t>
      </w:r>
      <w:r w:rsidR="00172238">
        <w:rPr>
          <w:rFonts w:ascii="Times New Roman" w:hAnsi="Times New Roman" w:cs="Times New Roman"/>
          <w:szCs w:val="22"/>
        </w:rPr>
        <w:t xml:space="preserve">all </w:t>
      </w:r>
      <w:r w:rsidR="00172238" w:rsidRPr="006222EA">
        <w:rPr>
          <w:rFonts w:ascii="Times New Roman" w:hAnsi="Times New Roman" w:cs="Times New Roman"/>
          <w:szCs w:val="22"/>
        </w:rPr>
        <w:t>programs</w:t>
      </w:r>
      <w:r w:rsidR="003E1AF2" w:rsidRPr="006222EA">
        <w:rPr>
          <w:rFonts w:ascii="Times New Roman" w:hAnsi="Times New Roman" w:cs="Times New Roman"/>
          <w:szCs w:val="22"/>
        </w:rPr>
        <w:t xml:space="preserve">. </w:t>
      </w:r>
      <w:r w:rsidR="0080163F">
        <w:rPr>
          <w:rFonts w:ascii="Times New Roman" w:hAnsi="Times New Roman" w:cs="Times New Roman"/>
        </w:rPr>
        <w:t xml:space="preserve">The </w:t>
      </w:r>
      <w:r>
        <w:rPr>
          <w:rFonts w:ascii="Times New Roman" w:hAnsi="Times New Roman" w:cs="Times New Roman"/>
        </w:rPr>
        <w:t xml:space="preserve">department </w:t>
      </w:r>
      <w:r w:rsidR="000C4896" w:rsidRPr="006222EA">
        <w:rPr>
          <w:rFonts w:ascii="Times New Roman" w:hAnsi="Times New Roman" w:cs="Times New Roman"/>
        </w:rPr>
        <w:t xml:space="preserve">is committed to building on these results and working more systematically to enable people with disability to </w:t>
      </w:r>
      <w:r w:rsidR="003E1AF2" w:rsidRPr="006222EA">
        <w:rPr>
          <w:rFonts w:ascii="Times New Roman" w:hAnsi="Times New Roman" w:cs="Times New Roman"/>
        </w:rPr>
        <w:t xml:space="preserve">fully </w:t>
      </w:r>
      <w:r w:rsidR="000C4896" w:rsidRPr="006222EA">
        <w:rPr>
          <w:rFonts w:ascii="Times New Roman" w:hAnsi="Times New Roman" w:cs="Times New Roman"/>
        </w:rPr>
        <w:t xml:space="preserve">participate in </w:t>
      </w:r>
      <w:r w:rsidR="003E1AF2" w:rsidRPr="006222EA">
        <w:rPr>
          <w:rFonts w:ascii="Times New Roman" w:hAnsi="Times New Roman" w:cs="Times New Roman"/>
        </w:rPr>
        <w:t>development outcomes in t</w:t>
      </w:r>
      <w:r w:rsidR="000C4896" w:rsidRPr="006222EA">
        <w:rPr>
          <w:rFonts w:ascii="Times New Roman" w:hAnsi="Times New Roman" w:cs="Times New Roman"/>
        </w:rPr>
        <w:t>he Pacific</w:t>
      </w:r>
      <w:r w:rsidR="000C4896" w:rsidRPr="006222EA">
        <w:rPr>
          <w:rFonts w:ascii="Times New Roman" w:hAnsi="Times New Roman" w:cs="Times New Roman"/>
          <w:szCs w:val="22"/>
        </w:rPr>
        <w:t xml:space="preserve">. This </w:t>
      </w:r>
      <w:r w:rsidR="003E1AF2" w:rsidRPr="006222EA">
        <w:rPr>
          <w:rFonts w:ascii="Times New Roman" w:hAnsi="Times New Roman" w:cs="Times New Roman"/>
          <w:szCs w:val="22"/>
        </w:rPr>
        <w:t xml:space="preserve">is reflected in the </w:t>
      </w:r>
      <w:r w:rsidR="000C4896" w:rsidRPr="006222EA">
        <w:rPr>
          <w:rFonts w:ascii="Times New Roman" w:hAnsi="Times New Roman" w:cs="Times New Roman"/>
          <w:szCs w:val="22"/>
        </w:rPr>
        <w:t xml:space="preserve">Pacific Disability Inclusive Development Delivery Strategy, to be finalised in 2013. Further training in disability inclusive development is planned for </w:t>
      </w:r>
      <w:r w:rsidR="0080163F">
        <w:rPr>
          <w:rFonts w:ascii="Times New Roman" w:hAnsi="Times New Roman" w:cs="Times New Roman"/>
          <w:szCs w:val="22"/>
        </w:rPr>
        <w:t xml:space="preserve">those working at </w:t>
      </w:r>
      <w:r w:rsidR="000C4896" w:rsidRPr="006222EA">
        <w:rPr>
          <w:rFonts w:ascii="Times New Roman" w:hAnsi="Times New Roman" w:cs="Times New Roman"/>
          <w:szCs w:val="22"/>
        </w:rPr>
        <w:t>Pacific Posts in 2013.</w:t>
      </w:r>
    </w:p>
    <w:p w14:paraId="420DC68F" w14:textId="77777777" w:rsidR="00B2767A" w:rsidRPr="006222EA" w:rsidRDefault="00B2767A" w:rsidP="00B2767A">
      <w:pPr>
        <w:pStyle w:val="Heading1"/>
      </w:pPr>
      <w:bookmarkStart w:id="1" w:name="OLE_LINK3"/>
      <w:r w:rsidRPr="00224AD0">
        <w:t>Gender equality</w:t>
      </w:r>
      <w:r w:rsidRPr="004C0ED5">
        <w:rPr>
          <w:color w:val="FF0000"/>
        </w:rPr>
        <w:t xml:space="preserve"> </w:t>
      </w:r>
      <w:r w:rsidRPr="006C1EE5">
        <w:t>and</w:t>
      </w:r>
      <w:r w:rsidRPr="006222EA">
        <w:t xml:space="preserve"> women’s empowerment</w:t>
      </w:r>
    </w:p>
    <w:p w14:paraId="420DC690" w14:textId="77777777" w:rsidR="00B2767A" w:rsidRPr="006222EA" w:rsidRDefault="00B2767A" w:rsidP="00B2767A">
      <w:pPr>
        <w:pStyle w:val="Heading2"/>
      </w:pPr>
      <w:r w:rsidRPr="006222EA">
        <w:t>Program objectives</w:t>
      </w:r>
      <w:r w:rsidR="001973F0">
        <w:t xml:space="preserve"> </w:t>
      </w:r>
    </w:p>
    <w:p w14:paraId="420DC691" w14:textId="2F5FB8BE" w:rsidR="00DF52EF" w:rsidRPr="006222EA" w:rsidRDefault="00F731ED" w:rsidP="00DF52EF">
      <w:pPr>
        <w:pStyle w:val="BodyText"/>
        <w:rPr>
          <w:szCs w:val="22"/>
        </w:rPr>
      </w:pPr>
      <w:r>
        <w:t>Gender equality is a key crosscutting theme for all programs, particularly in the Pacific</w:t>
      </w:r>
      <w:r w:rsidR="00761D88">
        <w:t xml:space="preserve"> for the reasons outlined</w:t>
      </w:r>
      <w:r>
        <w:t xml:space="preserve"> </w:t>
      </w:r>
      <w:r w:rsidR="00761D88">
        <w:t>in the Context</w:t>
      </w:r>
      <w:r w:rsidR="00923084">
        <w:t xml:space="preserve"> </w:t>
      </w:r>
      <w:r>
        <w:t xml:space="preserve">section of this </w:t>
      </w:r>
      <w:r w:rsidR="005C5D12">
        <w:t>APPR</w:t>
      </w:r>
      <w:r>
        <w:t>.</w:t>
      </w:r>
    </w:p>
    <w:p w14:paraId="420DC692" w14:textId="55D5B0A0" w:rsidR="00B2767A" w:rsidRPr="006222EA" w:rsidRDefault="00A260D1" w:rsidP="00B2767A">
      <w:pPr>
        <w:pStyle w:val="BodyText"/>
        <w:rPr>
          <w:szCs w:val="22"/>
        </w:rPr>
      </w:pPr>
      <w:r w:rsidRPr="006222EA">
        <w:t>The</w:t>
      </w:r>
      <w:r w:rsidR="005247A7">
        <w:t xml:space="preserve"> then </w:t>
      </w:r>
      <w:r w:rsidRPr="006222EA">
        <w:t xml:space="preserve">Prime Minister announced </w:t>
      </w:r>
      <w:r w:rsidR="00B2767A" w:rsidRPr="006222EA">
        <w:rPr>
          <w:i/>
          <w:szCs w:val="22"/>
        </w:rPr>
        <w:t>Pacific Women Shaping Pacific Development</w:t>
      </w:r>
      <w:r w:rsidR="00B2767A" w:rsidRPr="006222EA">
        <w:rPr>
          <w:szCs w:val="22"/>
        </w:rPr>
        <w:t>, a $320</w:t>
      </w:r>
      <w:proofErr w:type="gramStart"/>
      <w:r w:rsidR="00803BDC">
        <w:rPr>
          <w:szCs w:val="22"/>
        </w:rPr>
        <w:t> </w:t>
      </w:r>
      <w:r w:rsidR="00B2767A" w:rsidRPr="006222EA">
        <w:rPr>
          <w:szCs w:val="22"/>
        </w:rPr>
        <w:t xml:space="preserve"> million</w:t>
      </w:r>
      <w:proofErr w:type="gramEnd"/>
      <w:r w:rsidR="00B2767A" w:rsidRPr="006222EA">
        <w:rPr>
          <w:szCs w:val="22"/>
        </w:rPr>
        <w:t>, 10-year initiative to improve the political, social and economic opportunities for women in the region</w:t>
      </w:r>
      <w:r w:rsidR="00A477C1">
        <w:rPr>
          <w:szCs w:val="22"/>
        </w:rPr>
        <w:t xml:space="preserve">. </w:t>
      </w:r>
      <w:r w:rsidR="00B2767A" w:rsidRPr="006222EA">
        <w:rPr>
          <w:szCs w:val="22"/>
        </w:rPr>
        <w:t xml:space="preserve"> </w:t>
      </w:r>
      <w:r w:rsidR="00956EA4">
        <w:rPr>
          <w:szCs w:val="22"/>
        </w:rPr>
        <w:t>DFAT</w:t>
      </w:r>
      <w:r w:rsidR="002131CD">
        <w:rPr>
          <w:szCs w:val="22"/>
        </w:rPr>
        <w:t xml:space="preserve"> </w:t>
      </w:r>
      <w:r w:rsidR="00761D88">
        <w:rPr>
          <w:szCs w:val="22"/>
        </w:rPr>
        <w:t>will sour</w:t>
      </w:r>
      <w:r w:rsidR="00923084">
        <w:rPr>
          <w:szCs w:val="22"/>
        </w:rPr>
        <w:t>c</w:t>
      </w:r>
      <w:r w:rsidR="00761D88">
        <w:rPr>
          <w:szCs w:val="22"/>
        </w:rPr>
        <w:t>e c</w:t>
      </w:r>
      <w:r w:rsidR="00A56FE4" w:rsidRPr="006222EA">
        <w:rPr>
          <w:szCs w:val="22"/>
        </w:rPr>
        <w:t xml:space="preserve">ountry program funding </w:t>
      </w:r>
      <w:r w:rsidR="00761D88">
        <w:rPr>
          <w:szCs w:val="22"/>
        </w:rPr>
        <w:t>for this</w:t>
      </w:r>
      <w:r w:rsidR="00B2767A" w:rsidRPr="006222EA">
        <w:rPr>
          <w:szCs w:val="22"/>
        </w:rPr>
        <w:t xml:space="preserve"> from bilateral programs.</w:t>
      </w:r>
      <w:r w:rsidR="003E1AF2" w:rsidRPr="006222EA">
        <w:rPr>
          <w:szCs w:val="22"/>
        </w:rPr>
        <w:t xml:space="preserve"> </w:t>
      </w:r>
    </w:p>
    <w:p w14:paraId="420DC693" w14:textId="77777777" w:rsidR="00761D88" w:rsidRDefault="003E1AF2" w:rsidP="00C336CF">
      <w:pPr>
        <w:spacing w:after="120"/>
        <w:rPr>
          <w:sz w:val="22"/>
          <w:szCs w:val="22"/>
        </w:rPr>
      </w:pPr>
      <w:r w:rsidRPr="006222EA">
        <w:rPr>
          <w:sz w:val="22"/>
          <w:szCs w:val="22"/>
        </w:rPr>
        <w:t xml:space="preserve">The </w:t>
      </w:r>
      <w:r w:rsidR="00761D88">
        <w:rPr>
          <w:sz w:val="22"/>
          <w:szCs w:val="22"/>
        </w:rPr>
        <w:t>initiative</w:t>
      </w:r>
      <w:r w:rsidR="00761D88" w:rsidRPr="006222EA">
        <w:rPr>
          <w:sz w:val="22"/>
          <w:szCs w:val="22"/>
        </w:rPr>
        <w:t xml:space="preserve"> </w:t>
      </w:r>
      <w:r w:rsidR="00A56FE4" w:rsidRPr="006222EA">
        <w:rPr>
          <w:sz w:val="22"/>
          <w:szCs w:val="22"/>
        </w:rPr>
        <w:t>involve</w:t>
      </w:r>
      <w:r w:rsidR="002131CD">
        <w:rPr>
          <w:sz w:val="22"/>
          <w:szCs w:val="22"/>
        </w:rPr>
        <w:t>s</w:t>
      </w:r>
      <w:r w:rsidR="00A56FE4" w:rsidRPr="006222EA">
        <w:rPr>
          <w:sz w:val="22"/>
          <w:szCs w:val="22"/>
        </w:rPr>
        <w:t xml:space="preserve"> </w:t>
      </w:r>
      <w:r w:rsidR="00B2767A" w:rsidRPr="006222EA">
        <w:rPr>
          <w:sz w:val="22"/>
          <w:szCs w:val="22"/>
        </w:rPr>
        <w:t xml:space="preserve">three key thematic areas: </w:t>
      </w:r>
    </w:p>
    <w:p w14:paraId="420DC694" w14:textId="77777777" w:rsidR="00761D88" w:rsidRDefault="00B2767A" w:rsidP="00F55501">
      <w:pPr>
        <w:pStyle w:val="ListBullet"/>
      </w:pPr>
      <w:r w:rsidRPr="006222EA">
        <w:t>increasing the number and effectiveness of Pacific women in leadership and decision</w:t>
      </w:r>
      <w:r w:rsidR="002131CD">
        <w:t>-</w:t>
      </w:r>
      <w:r w:rsidRPr="006222EA">
        <w:t>making roles at national and local levels</w:t>
      </w:r>
    </w:p>
    <w:p w14:paraId="420DC695" w14:textId="77777777" w:rsidR="00761D88" w:rsidRDefault="00B2767A" w:rsidP="00F55501">
      <w:pPr>
        <w:pStyle w:val="ListBullet"/>
      </w:pPr>
      <w:r w:rsidRPr="006222EA">
        <w:t>increasing economic opportunities for women through improved access to financial services and markets</w:t>
      </w:r>
    </w:p>
    <w:p w14:paraId="420DC696" w14:textId="77777777" w:rsidR="00761D88" w:rsidRDefault="00B2767A" w:rsidP="00F55501">
      <w:pPr>
        <w:pStyle w:val="ListBullet"/>
      </w:pPr>
      <w:proofErr w:type="gramStart"/>
      <w:r w:rsidRPr="006222EA">
        <w:lastRenderedPageBreak/>
        <w:t>improving</w:t>
      </w:r>
      <w:proofErr w:type="gramEnd"/>
      <w:r w:rsidRPr="006222EA">
        <w:t xml:space="preserve"> safety for women through better services, violence pr</w:t>
      </w:r>
      <w:r w:rsidR="00A260D1" w:rsidRPr="006222EA">
        <w:t>evention and access to justice.</w:t>
      </w:r>
      <w:r w:rsidR="00C336CF" w:rsidRPr="006222EA">
        <w:t xml:space="preserve"> </w:t>
      </w:r>
    </w:p>
    <w:p w14:paraId="420DC697" w14:textId="77777777" w:rsidR="00B2767A" w:rsidRPr="006222EA" w:rsidRDefault="00C336CF" w:rsidP="00FE62B5">
      <w:pPr>
        <w:pStyle w:val="BodyText"/>
      </w:pPr>
      <w:r w:rsidRPr="006222EA">
        <w:t>An Advisory Board</w:t>
      </w:r>
      <w:r w:rsidR="009C4DCB">
        <w:t>,</w:t>
      </w:r>
      <w:r w:rsidRPr="006222EA">
        <w:t xml:space="preserve"> comprising nine eminent Pacific </w:t>
      </w:r>
      <w:r w:rsidR="00135753">
        <w:t>i</w:t>
      </w:r>
      <w:r w:rsidRPr="006222EA">
        <w:t>sland women and men</w:t>
      </w:r>
      <w:r w:rsidR="009C4DCB">
        <w:t>,</w:t>
      </w:r>
      <w:r w:rsidRPr="006222EA">
        <w:t xml:space="preserve"> provides advice on the</w:t>
      </w:r>
      <w:r w:rsidR="00761D88">
        <w:t xml:space="preserve"> initiative’s</w:t>
      </w:r>
      <w:r w:rsidRPr="006222EA">
        <w:t xml:space="preserve"> strategic direction.</w:t>
      </w:r>
    </w:p>
    <w:p w14:paraId="420DC698" w14:textId="01E5C9F6" w:rsidR="00B2767A" w:rsidRPr="006222EA" w:rsidRDefault="00B2767A" w:rsidP="00FE62B5">
      <w:pPr>
        <w:pStyle w:val="BodyText"/>
        <w:rPr>
          <w:szCs w:val="22"/>
        </w:rPr>
      </w:pPr>
      <w:r w:rsidRPr="006222EA">
        <w:rPr>
          <w:szCs w:val="22"/>
        </w:rPr>
        <w:t xml:space="preserve">The initiative supports the Gender Equality Declaration, signed at the August 2012 </w:t>
      </w:r>
      <w:r w:rsidR="003E1AF2" w:rsidRPr="006222EA">
        <w:rPr>
          <w:szCs w:val="22"/>
        </w:rPr>
        <w:t>Forum</w:t>
      </w:r>
      <w:r w:rsidR="00761D88">
        <w:rPr>
          <w:szCs w:val="22"/>
        </w:rPr>
        <w:t xml:space="preserve"> Leaders meeting</w:t>
      </w:r>
      <w:r w:rsidRPr="006222EA">
        <w:rPr>
          <w:szCs w:val="22"/>
        </w:rPr>
        <w:t xml:space="preserve">, which commits leaders to a set of actions, including adopting measures to increase women’s participation in governance and enacting legislation </w:t>
      </w:r>
      <w:r w:rsidR="00CF6640" w:rsidRPr="006222EA">
        <w:rPr>
          <w:szCs w:val="22"/>
        </w:rPr>
        <w:t>to protect women from violence.</w:t>
      </w:r>
    </w:p>
    <w:p w14:paraId="420DC699" w14:textId="77777777" w:rsidR="00B2767A" w:rsidRPr="006222EA" w:rsidRDefault="00A56FE4" w:rsidP="00B2767A">
      <w:pPr>
        <w:pStyle w:val="Heading2"/>
      </w:pPr>
      <w:r w:rsidRPr="006222EA">
        <w:t>K</w:t>
      </w:r>
      <w:r w:rsidR="00B2767A" w:rsidRPr="006222EA">
        <w:t>ey achievements</w:t>
      </w:r>
    </w:p>
    <w:p w14:paraId="420DC69A" w14:textId="77777777" w:rsidR="0018381F" w:rsidRPr="006222EA" w:rsidRDefault="00B2767A" w:rsidP="00FE62B5">
      <w:pPr>
        <w:pStyle w:val="BodyText"/>
      </w:pPr>
      <w:r w:rsidRPr="006222EA">
        <w:t xml:space="preserve">Early action on the </w:t>
      </w:r>
      <w:r w:rsidRPr="006222EA">
        <w:rPr>
          <w:i/>
        </w:rPr>
        <w:t>Pacific Women Shaping Pacific Development</w:t>
      </w:r>
      <w:r w:rsidRPr="006222EA">
        <w:t xml:space="preserve"> </w:t>
      </w:r>
      <w:r w:rsidR="002131CD">
        <w:t xml:space="preserve">initiative </w:t>
      </w:r>
      <w:r w:rsidRPr="006222EA">
        <w:t>has included:</w:t>
      </w:r>
    </w:p>
    <w:p w14:paraId="420DC69B" w14:textId="77777777" w:rsidR="00B2767A" w:rsidRPr="006222EA" w:rsidRDefault="0018381F" w:rsidP="00FE62B5">
      <w:pPr>
        <w:pStyle w:val="ListBullet"/>
      </w:pPr>
      <w:r w:rsidRPr="006222EA">
        <w:t>L</w:t>
      </w:r>
      <w:r w:rsidR="00B2767A" w:rsidRPr="006222EA">
        <w:t xml:space="preserve">aunch of the </w:t>
      </w:r>
      <w:r w:rsidR="00B2767A" w:rsidRPr="006222EA">
        <w:rPr>
          <w:b/>
        </w:rPr>
        <w:t>Australia</w:t>
      </w:r>
      <w:r w:rsidR="00761D88">
        <w:rPr>
          <w:b/>
        </w:rPr>
        <w:t xml:space="preserve"> – </w:t>
      </w:r>
      <w:r w:rsidR="00B2767A" w:rsidRPr="006222EA">
        <w:rPr>
          <w:b/>
        </w:rPr>
        <w:t>Pacific Women Parliamentarians Partnership Program</w:t>
      </w:r>
      <w:r w:rsidR="00B2767A" w:rsidRPr="006222EA">
        <w:rPr>
          <w:i/>
        </w:rPr>
        <w:t xml:space="preserve"> </w:t>
      </w:r>
      <w:r w:rsidR="00B2767A" w:rsidRPr="006222EA">
        <w:t xml:space="preserve">to build the capacity of Pacific women parliamentarians, the institutions in which they work, and the staff who support them so gender equality issues </w:t>
      </w:r>
      <w:r w:rsidR="00761D88">
        <w:t>can be</w:t>
      </w:r>
      <w:r w:rsidR="00761D88" w:rsidRPr="006222EA">
        <w:t xml:space="preserve"> </w:t>
      </w:r>
      <w:r w:rsidR="00B2767A" w:rsidRPr="006222EA">
        <w:t>better addressed by parliament</w:t>
      </w:r>
      <w:r w:rsidR="003E1AF2" w:rsidRPr="006222EA">
        <w:t>s</w:t>
      </w:r>
      <w:r w:rsidR="00B0028B">
        <w:t>.</w:t>
      </w:r>
    </w:p>
    <w:p w14:paraId="420DC69C" w14:textId="6781A20E" w:rsidR="00B2767A" w:rsidRPr="006222EA" w:rsidRDefault="0018381F" w:rsidP="00FE62B5">
      <w:pPr>
        <w:pStyle w:val="ListBullet"/>
      </w:pPr>
      <w:r w:rsidRPr="006222EA">
        <w:t>E</w:t>
      </w:r>
      <w:r w:rsidR="00B2767A" w:rsidRPr="006222EA">
        <w:t>xpand</w:t>
      </w:r>
      <w:r w:rsidR="00761D88">
        <w:t xml:space="preserve"> the</w:t>
      </w:r>
      <w:r w:rsidR="00B2767A" w:rsidRPr="006222EA">
        <w:t xml:space="preserve"> </w:t>
      </w:r>
      <w:r w:rsidR="00B2767A" w:rsidRPr="006222EA">
        <w:rPr>
          <w:b/>
        </w:rPr>
        <w:t>safe markets program</w:t>
      </w:r>
      <w:r w:rsidR="00B2767A" w:rsidRPr="006222EA">
        <w:t xml:space="preserve"> to improve infrastructure and governance of local produce markets </w:t>
      </w:r>
      <w:r w:rsidR="002131CD">
        <w:t>and</w:t>
      </w:r>
      <w:r w:rsidR="00B2767A" w:rsidRPr="006222EA">
        <w:t xml:space="preserve"> encourage women’s safe, fair and equal participation in local economies in PNG </w:t>
      </w:r>
      <w:r w:rsidR="003E1AF2" w:rsidRPr="006222EA">
        <w:t>(</w:t>
      </w:r>
      <w:r w:rsidR="00B2767A" w:rsidRPr="006222EA">
        <w:t>to expand to Fiji, Solomon Islands and Vanuatu</w:t>
      </w:r>
      <w:r w:rsidR="003E1AF2" w:rsidRPr="006222EA">
        <w:t>)</w:t>
      </w:r>
      <w:r w:rsidR="00B0028B">
        <w:t>.</w:t>
      </w:r>
    </w:p>
    <w:p w14:paraId="420DC69D" w14:textId="77777777" w:rsidR="00B2767A" w:rsidRPr="006222EA" w:rsidRDefault="0018381F" w:rsidP="00FE62B5">
      <w:pPr>
        <w:pStyle w:val="ListBullet"/>
      </w:pPr>
      <w:r w:rsidRPr="006222EA">
        <w:t>F</w:t>
      </w:r>
      <w:r w:rsidR="00B2767A" w:rsidRPr="006222EA">
        <w:t xml:space="preserve">orm a </w:t>
      </w:r>
      <w:r w:rsidR="00B2767A" w:rsidRPr="006222EA">
        <w:rPr>
          <w:b/>
        </w:rPr>
        <w:t>Business Coalition</w:t>
      </w:r>
      <w:r w:rsidR="00B2767A" w:rsidRPr="006222EA">
        <w:t xml:space="preserve"> for women in partnership with the International Finance Corporation to enhance wom</w:t>
      </w:r>
      <w:r w:rsidR="00B0028B">
        <w:t>en’s access to business finance.</w:t>
      </w:r>
    </w:p>
    <w:p w14:paraId="420DC69E" w14:textId="77777777" w:rsidR="00B2767A" w:rsidRPr="006222EA" w:rsidRDefault="00761D88" w:rsidP="00FE62B5">
      <w:pPr>
        <w:pStyle w:val="ListBullet"/>
      </w:pPr>
      <w:r>
        <w:t>Develop i</w:t>
      </w:r>
      <w:r w:rsidR="00B2767A" w:rsidRPr="006222EA">
        <w:t>ndividual</w:t>
      </w:r>
      <w:r w:rsidR="003E1AF2" w:rsidRPr="006222EA">
        <w:t xml:space="preserve"> </w:t>
      </w:r>
      <w:r w:rsidR="00B2767A" w:rsidRPr="006222EA">
        <w:rPr>
          <w:b/>
        </w:rPr>
        <w:t>country plans</w:t>
      </w:r>
      <w:r w:rsidR="00B2767A" w:rsidRPr="006222EA">
        <w:t xml:space="preserve"> </w:t>
      </w:r>
      <w:r>
        <w:t>for Cook Islands,</w:t>
      </w:r>
      <w:r w:rsidR="00B2767A" w:rsidRPr="006222EA">
        <w:t xml:space="preserve"> PNG</w:t>
      </w:r>
      <w:r>
        <w:t xml:space="preserve"> and</w:t>
      </w:r>
      <w:r w:rsidR="00B2767A" w:rsidRPr="006222EA">
        <w:t xml:space="preserve"> Solomon Islands. </w:t>
      </w:r>
      <w:r>
        <w:t>These</w:t>
      </w:r>
      <w:r w:rsidR="00B2767A" w:rsidRPr="006222EA">
        <w:t xml:space="preserve"> plans will be completed by the</w:t>
      </w:r>
      <w:r>
        <w:t xml:space="preserve"> next </w:t>
      </w:r>
      <w:r w:rsidR="00B2767A" w:rsidRPr="006222EA">
        <w:t>Forum</w:t>
      </w:r>
      <w:r>
        <w:t xml:space="preserve"> Leaders</w:t>
      </w:r>
      <w:r w:rsidR="0090035E">
        <w:t>’</w:t>
      </w:r>
      <w:r>
        <w:t xml:space="preserve"> M</w:t>
      </w:r>
      <w:r w:rsidR="00B2767A" w:rsidRPr="006222EA">
        <w:t xml:space="preserve">eeting in September 2013. Smaller </w:t>
      </w:r>
      <w:r w:rsidR="003E1AF2" w:rsidRPr="006222EA">
        <w:t xml:space="preserve">PICs </w:t>
      </w:r>
      <w:r w:rsidR="00B2767A" w:rsidRPr="006222EA">
        <w:t xml:space="preserve">will initially </w:t>
      </w:r>
      <w:r w:rsidR="003E1AF2" w:rsidRPr="006222EA">
        <w:t xml:space="preserve">be </w:t>
      </w:r>
      <w:r w:rsidR="00B2767A" w:rsidRPr="006222EA">
        <w:t xml:space="preserve">supported </w:t>
      </w:r>
      <w:r>
        <w:t>through</w:t>
      </w:r>
      <w:r w:rsidRPr="006222EA">
        <w:t xml:space="preserve"> </w:t>
      </w:r>
      <w:r w:rsidR="00B2767A" w:rsidRPr="006222EA">
        <w:t>regional mechanisms</w:t>
      </w:r>
      <w:r w:rsidR="00B0028B">
        <w:t>.</w:t>
      </w:r>
    </w:p>
    <w:p w14:paraId="420DC69F" w14:textId="77777777" w:rsidR="00DF52EF" w:rsidRPr="00FE62B5" w:rsidRDefault="004E04B4" w:rsidP="00FE62B5">
      <w:pPr>
        <w:pStyle w:val="ListBullet"/>
      </w:pPr>
      <w:r>
        <w:t>Develop and l</w:t>
      </w:r>
      <w:r w:rsidR="00761D88">
        <w:t>aunch a</w:t>
      </w:r>
      <w:r w:rsidR="00DF52EF" w:rsidRPr="006222EA">
        <w:t xml:space="preserve"> </w:t>
      </w:r>
      <w:r w:rsidR="00DF52EF" w:rsidRPr="006222EA">
        <w:rPr>
          <w:b/>
        </w:rPr>
        <w:t>Pacific women website</w:t>
      </w:r>
      <w:r w:rsidR="00DF52EF" w:rsidRPr="006222EA">
        <w:t xml:space="preserve"> to increase access to information on gender inequalities and responses.</w:t>
      </w:r>
    </w:p>
    <w:p w14:paraId="420DC6A0" w14:textId="7332DC0F" w:rsidR="00B2767A" w:rsidRPr="006222EA" w:rsidRDefault="00B2767A" w:rsidP="00FE62B5">
      <w:pPr>
        <w:pStyle w:val="BodyText"/>
      </w:pPr>
      <w:r w:rsidRPr="006222EA">
        <w:t>Achievements in other major Pacific regional activities address</w:t>
      </w:r>
      <w:r w:rsidR="006A4194" w:rsidRPr="006222EA">
        <w:t>ing</w:t>
      </w:r>
      <w:r w:rsidRPr="006222EA">
        <w:t xml:space="preserve"> gender equality and women’s empowerment include:</w:t>
      </w:r>
    </w:p>
    <w:p w14:paraId="420DC6A1" w14:textId="54D08A06" w:rsidR="00B2767A" w:rsidRPr="006222EA" w:rsidRDefault="00B2767A" w:rsidP="005B66B3">
      <w:pPr>
        <w:pStyle w:val="ListBullet"/>
      </w:pPr>
      <w:r w:rsidRPr="006222EA">
        <w:rPr>
          <w:b/>
        </w:rPr>
        <w:t>Fiji Women’s Crisis Centre</w:t>
      </w:r>
      <w:r w:rsidRPr="006222EA">
        <w:t xml:space="preserve"> provided crisis and other support services to </w:t>
      </w:r>
      <w:r w:rsidRPr="009C4DCB">
        <w:t>1</w:t>
      </w:r>
      <w:r w:rsidR="00803BDC">
        <w:t>,</w:t>
      </w:r>
      <w:r w:rsidRPr="009C4DCB">
        <w:t>828</w:t>
      </w:r>
      <w:r w:rsidR="00621F24">
        <w:t> </w:t>
      </w:r>
      <w:r w:rsidRPr="009C4DCB">
        <w:t>new clients</w:t>
      </w:r>
      <w:r w:rsidRPr="004C0ED5">
        <w:t xml:space="preserve"> </w:t>
      </w:r>
      <w:r w:rsidRPr="006222EA">
        <w:t>(up from 1</w:t>
      </w:r>
      <w:r w:rsidR="00803BDC">
        <w:t>,</w:t>
      </w:r>
      <w:r w:rsidRPr="006222EA">
        <w:t>682 in 2011) and</w:t>
      </w:r>
      <w:r w:rsidR="000F21DD">
        <w:t xml:space="preserve"> to</w:t>
      </w:r>
      <w:r w:rsidRPr="006222EA">
        <w:t xml:space="preserve"> </w:t>
      </w:r>
      <w:r w:rsidRPr="009C4DCB">
        <w:t>2</w:t>
      </w:r>
      <w:r w:rsidR="00803BDC">
        <w:t>,</w:t>
      </w:r>
      <w:r w:rsidRPr="009C4DCB">
        <w:t>632 repeat clients</w:t>
      </w:r>
      <w:r w:rsidRPr="006222EA">
        <w:t xml:space="preserve"> (up from 2</w:t>
      </w:r>
      <w:r w:rsidR="00803BDC">
        <w:t>,</w:t>
      </w:r>
      <w:r w:rsidRPr="006222EA">
        <w:t>059</w:t>
      </w:r>
      <w:r w:rsidR="00621F24">
        <w:t> </w:t>
      </w:r>
      <w:r w:rsidRPr="006222EA">
        <w:t>in 2011). The</w:t>
      </w:r>
      <w:r w:rsidR="000F21DD">
        <w:t xml:space="preserve"> centre also handled</w:t>
      </w:r>
      <w:r w:rsidRPr="006222EA">
        <w:t xml:space="preserve"> increased demand for regional training programs on domestic violence, including training for male advocates and gender training</w:t>
      </w:r>
      <w:r w:rsidR="0014558B" w:rsidRPr="006222EA">
        <w:t>.</w:t>
      </w:r>
    </w:p>
    <w:p w14:paraId="420DC6A2" w14:textId="77777777" w:rsidR="00B2767A" w:rsidRPr="006222EA" w:rsidRDefault="00B2767A" w:rsidP="005B66B3">
      <w:pPr>
        <w:pStyle w:val="ListBullet"/>
      </w:pPr>
      <w:r w:rsidRPr="006222EA">
        <w:rPr>
          <w:b/>
        </w:rPr>
        <w:t xml:space="preserve">Pacific Regional Rights Resource Team </w:t>
      </w:r>
      <w:r w:rsidRPr="006222EA">
        <w:t>worked with church leaders to address gender</w:t>
      </w:r>
      <w:r w:rsidR="00621F24">
        <w:t>-</w:t>
      </w:r>
      <w:r w:rsidRPr="006222EA">
        <w:t>based violence</w:t>
      </w:r>
      <w:r w:rsidR="006A4194" w:rsidRPr="006222EA">
        <w:t xml:space="preserve">. It assisted </w:t>
      </w:r>
      <w:r w:rsidR="000F21DD">
        <w:t xml:space="preserve">with </w:t>
      </w:r>
      <w:r w:rsidR="006A4194" w:rsidRPr="006222EA">
        <w:t xml:space="preserve">the </w:t>
      </w:r>
      <w:r w:rsidRPr="006222EA">
        <w:t>drafting of legislative bills addressing domestic violence in</w:t>
      </w:r>
      <w:r w:rsidR="00923084">
        <w:t xml:space="preserve"> </w:t>
      </w:r>
      <w:r w:rsidRPr="006222EA">
        <w:t>Kiribati</w:t>
      </w:r>
      <w:r w:rsidR="000F21DD">
        <w:t>,</w:t>
      </w:r>
      <w:r w:rsidRPr="006222EA">
        <w:t xml:space="preserve"> Tonga</w:t>
      </w:r>
      <w:r w:rsidR="000F21DD">
        <w:t xml:space="preserve"> and Tuvalu</w:t>
      </w:r>
      <w:r w:rsidRPr="006222EA">
        <w:t xml:space="preserve">. </w:t>
      </w:r>
      <w:r w:rsidR="000F21DD">
        <w:t>The team</w:t>
      </w:r>
      <w:r w:rsidR="000F21DD" w:rsidRPr="006222EA">
        <w:t xml:space="preserve"> </w:t>
      </w:r>
      <w:r w:rsidRPr="006222EA">
        <w:t xml:space="preserve">also assisted with reports on commitments made under the Convention on Ending Discrimination </w:t>
      </w:r>
      <w:proofErr w:type="gramStart"/>
      <w:r w:rsidRPr="006222EA">
        <w:t>Against</w:t>
      </w:r>
      <w:proofErr w:type="gramEnd"/>
      <w:r w:rsidRPr="006222EA">
        <w:t xml:space="preserve"> Women</w:t>
      </w:r>
      <w:r w:rsidR="00CF6640" w:rsidRPr="006222EA">
        <w:t>.</w:t>
      </w:r>
    </w:p>
    <w:p w14:paraId="420DC6A3" w14:textId="77777777" w:rsidR="00B2767A" w:rsidRPr="006222EA" w:rsidRDefault="00B2767A" w:rsidP="005B66B3">
      <w:pPr>
        <w:pStyle w:val="ListBullet"/>
      </w:pPr>
      <w:r w:rsidRPr="006222EA">
        <w:rPr>
          <w:b/>
        </w:rPr>
        <w:t>United Nations Family and Population Association</w:t>
      </w:r>
      <w:r w:rsidRPr="006222EA">
        <w:t xml:space="preserve"> supported the health systems strengthening program in </w:t>
      </w:r>
      <w:r w:rsidR="000F21DD">
        <w:t>Cook Islands</w:t>
      </w:r>
      <w:r w:rsidRPr="006222EA">
        <w:t xml:space="preserve">, Fiji, </w:t>
      </w:r>
      <w:r w:rsidR="000F21DD">
        <w:t xml:space="preserve">Kiribati, Solomon Islands and </w:t>
      </w:r>
      <w:r w:rsidRPr="006222EA">
        <w:t>Vanuatu. This includes reviewing the health systems’ response to gender</w:t>
      </w:r>
      <w:r w:rsidR="00621F24">
        <w:t>-</w:t>
      </w:r>
      <w:r w:rsidRPr="006222EA">
        <w:t xml:space="preserve">based violence, building capacity for doctors and nurses, and developing medical protocols and referral to other services. </w:t>
      </w:r>
      <w:r w:rsidR="000F21DD">
        <w:t>The association also launched its</w:t>
      </w:r>
      <w:r w:rsidR="002735C8" w:rsidRPr="006222EA">
        <w:t xml:space="preserve"> </w:t>
      </w:r>
      <w:r w:rsidR="002735C8" w:rsidRPr="009C4DCB">
        <w:t>A Deeper Silence</w:t>
      </w:r>
      <w:r w:rsidR="00630C7C" w:rsidRPr="009C4DCB">
        <w:rPr>
          <w:rStyle w:val="FootnoteReference"/>
        </w:rPr>
        <w:footnoteReference w:id="17"/>
      </w:r>
      <w:r w:rsidR="000F21DD">
        <w:t xml:space="preserve"> report, </w:t>
      </w:r>
      <w:r w:rsidR="002735C8" w:rsidRPr="006222EA">
        <w:t>which examines the experiences of women</w:t>
      </w:r>
      <w:r w:rsidR="000F21DD">
        <w:t xml:space="preserve"> with disability</w:t>
      </w:r>
      <w:r w:rsidR="002735C8" w:rsidRPr="006222EA">
        <w:t xml:space="preserve"> who encounter domestic violence, in April 2013 at the Pacific Disability Forum.</w:t>
      </w:r>
    </w:p>
    <w:p w14:paraId="420DC6A4" w14:textId="01312EA7" w:rsidR="00B2767A" w:rsidRPr="006222EA" w:rsidRDefault="00FF4D8C" w:rsidP="005B66B3">
      <w:pPr>
        <w:pStyle w:val="ListBullet"/>
      </w:pPr>
      <w:r w:rsidRPr="006222EA">
        <w:rPr>
          <w:b/>
        </w:rPr>
        <w:lastRenderedPageBreak/>
        <w:t xml:space="preserve">UN Women Pacific Regional Ending Violence </w:t>
      </w:r>
      <w:proofErr w:type="gramStart"/>
      <w:r w:rsidRPr="006222EA">
        <w:rPr>
          <w:b/>
        </w:rPr>
        <w:t>Against</w:t>
      </w:r>
      <w:proofErr w:type="gramEnd"/>
      <w:r w:rsidRPr="006222EA">
        <w:rPr>
          <w:b/>
        </w:rPr>
        <w:t xml:space="preserve"> Women Facility Fund </w:t>
      </w:r>
      <w:r w:rsidR="00761D88">
        <w:t>funded organisations in 2012 reaching</w:t>
      </w:r>
      <w:r w:rsidRPr="006222EA">
        <w:t xml:space="preserve"> </w:t>
      </w:r>
      <w:r w:rsidRPr="009C4DCB">
        <w:t>17</w:t>
      </w:r>
      <w:r w:rsidR="00803BDC">
        <w:t>,</w:t>
      </w:r>
      <w:r w:rsidRPr="009C4DCB">
        <w:t>328 people</w:t>
      </w:r>
      <w:r w:rsidRPr="006222EA">
        <w:t xml:space="preserve"> through </w:t>
      </w:r>
      <w:r w:rsidR="00761D88">
        <w:t>various</w:t>
      </w:r>
      <w:r w:rsidRPr="006222EA">
        <w:t xml:space="preserve"> programs focusing on schools, community-based awareness, engagement by faith</w:t>
      </w:r>
      <w:r w:rsidR="00621F24">
        <w:t>-</w:t>
      </w:r>
      <w:r w:rsidRPr="006222EA">
        <w:t>based organisations, and work with marginalised groups.</w:t>
      </w:r>
    </w:p>
    <w:p w14:paraId="420DC6A5" w14:textId="77777777" w:rsidR="00B2767A" w:rsidRPr="006222EA" w:rsidRDefault="00B2767A" w:rsidP="005B66B3">
      <w:pPr>
        <w:pStyle w:val="ListBullet"/>
      </w:pPr>
      <w:r w:rsidRPr="006222EA">
        <w:rPr>
          <w:b/>
        </w:rPr>
        <w:t>I</w:t>
      </w:r>
      <w:r w:rsidR="000F21DD">
        <w:rPr>
          <w:b/>
        </w:rPr>
        <w:t>nternational Planned Parenthood Federation</w:t>
      </w:r>
      <w:r w:rsidRPr="006222EA">
        <w:t xml:space="preserve"> </w:t>
      </w:r>
      <w:r w:rsidRPr="009C4DCB">
        <w:rPr>
          <w:b/>
        </w:rPr>
        <w:t>ensure</w:t>
      </w:r>
      <w:r w:rsidR="000F21DD" w:rsidRPr="009C4DCB">
        <w:rPr>
          <w:b/>
        </w:rPr>
        <w:t>d</w:t>
      </w:r>
      <w:r w:rsidRPr="006222EA">
        <w:t xml:space="preserve"> </w:t>
      </w:r>
      <w:r w:rsidRPr="006222EA">
        <w:rPr>
          <w:b/>
        </w:rPr>
        <w:t xml:space="preserve">gender </w:t>
      </w:r>
      <w:r w:rsidR="000F21DD">
        <w:rPr>
          <w:b/>
        </w:rPr>
        <w:t>was</w:t>
      </w:r>
      <w:r w:rsidR="000F21DD" w:rsidRPr="006222EA">
        <w:rPr>
          <w:b/>
        </w:rPr>
        <w:t xml:space="preserve"> </w:t>
      </w:r>
      <w:r w:rsidRPr="006222EA">
        <w:rPr>
          <w:b/>
        </w:rPr>
        <w:t>well integrated</w:t>
      </w:r>
      <w:r w:rsidRPr="006222EA">
        <w:t xml:space="preserve"> into all </w:t>
      </w:r>
      <w:r w:rsidR="000F21DD">
        <w:t xml:space="preserve">of </w:t>
      </w:r>
      <w:r w:rsidRPr="006222EA">
        <w:t>its services and programs in the region, includ</w:t>
      </w:r>
      <w:r w:rsidR="000F21DD">
        <w:t>ing</w:t>
      </w:r>
      <w:r w:rsidRPr="006222EA">
        <w:t xml:space="preserve"> Men as Partners and Pacific Sexual and Reproductive Health Program</w:t>
      </w:r>
      <w:r w:rsidR="0014558B" w:rsidRPr="006222EA">
        <w:t>,</w:t>
      </w:r>
      <w:r w:rsidRPr="006222EA">
        <w:t xml:space="preserve"> which is strengthening the capacity of nine </w:t>
      </w:r>
      <w:r w:rsidR="000F21DD">
        <w:t>f</w:t>
      </w:r>
      <w:r w:rsidRPr="006222EA">
        <w:t xml:space="preserve">amily </w:t>
      </w:r>
      <w:r w:rsidR="000F21DD">
        <w:t>h</w:t>
      </w:r>
      <w:r w:rsidRPr="006222EA">
        <w:t xml:space="preserve">ealth </w:t>
      </w:r>
      <w:r w:rsidR="000F21DD">
        <w:t>a</w:t>
      </w:r>
      <w:r w:rsidRPr="006222EA">
        <w:t>ssociations across the Pacific.</w:t>
      </w:r>
    </w:p>
    <w:p w14:paraId="420DC6A6" w14:textId="77777777" w:rsidR="00B2767A" w:rsidRPr="006222EA" w:rsidRDefault="00B2767A" w:rsidP="00B2767A">
      <w:pPr>
        <w:pStyle w:val="Heading2"/>
      </w:pPr>
      <w:r w:rsidRPr="006222EA">
        <w:t>Factors affecting progress and future directions</w:t>
      </w:r>
    </w:p>
    <w:p w14:paraId="420DC6A7" w14:textId="07158B55" w:rsidR="00DF52EF" w:rsidRPr="006222EA" w:rsidRDefault="002735C8" w:rsidP="005B66B3">
      <w:pPr>
        <w:pStyle w:val="BodyText"/>
      </w:pPr>
      <w:r w:rsidRPr="006222EA">
        <w:t>Reporting demonstrates</w:t>
      </w:r>
      <w:r w:rsidR="005128AC" w:rsidRPr="006222EA">
        <w:t xml:space="preserve"> that </w:t>
      </w:r>
      <w:r w:rsidR="002D4C6B" w:rsidRPr="006222EA">
        <w:t xml:space="preserve">gender </w:t>
      </w:r>
      <w:r w:rsidR="000F21DD">
        <w:t>is</w:t>
      </w:r>
      <w:r w:rsidR="002D4C6B" w:rsidRPr="006222EA">
        <w:t xml:space="preserve"> not yet well integrated into all regional programming. </w:t>
      </w:r>
      <w:r w:rsidR="00956EA4">
        <w:t>DFAT’s</w:t>
      </w:r>
      <w:r w:rsidR="000F21DD">
        <w:t xml:space="preserve"> </w:t>
      </w:r>
      <w:r w:rsidR="00DF52EF" w:rsidRPr="006222EA">
        <w:t xml:space="preserve">Pacific Division has renewed efforts to ensure questions on how women and men (and girls and boys) are benefiting from each </w:t>
      </w:r>
      <w:r w:rsidR="000F21DD">
        <w:t xml:space="preserve">aid </w:t>
      </w:r>
      <w:r w:rsidR="00DF52EF" w:rsidRPr="006222EA">
        <w:t>investment are asked</w:t>
      </w:r>
      <w:r w:rsidR="000F21DD">
        <w:t xml:space="preserve"> early</w:t>
      </w:r>
      <w:r w:rsidR="00DF52EF" w:rsidRPr="006222EA">
        <w:t xml:space="preserve"> in all </w:t>
      </w:r>
      <w:r w:rsidR="00B0028B">
        <w:t xml:space="preserve">program </w:t>
      </w:r>
      <w:r w:rsidR="00DF52EF" w:rsidRPr="006222EA">
        <w:t xml:space="preserve">designs. </w:t>
      </w:r>
      <w:r w:rsidR="000F21DD">
        <w:t xml:space="preserve">The </w:t>
      </w:r>
      <w:r w:rsidR="00DF52EF" w:rsidRPr="006222EA">
        <w:t xml:space="preserve">Pacific Division </w:t>
      </w:r>
      <w:r w:rsidR="003F1E4F" w:rsidRPr="006222EA">
        <w:t xml:space="preserve">has </w:t>
      </w:r>
      <w:r w:rsidR="00DF52EF" w:rsidRPr="006222EA">
        <w:t xml:space="preserve">also </w:t>
      </w:r>
      <w:r w:rsidR="003F1E4F" w:rsidRPr="006222EA">
        <w:t xml:space="preserve">appointed a </w:t>
      </w:r>
      <w:r w:rsidR="002D4C6B" w:rsidRPr="006222EA">
        <w:t xml:space="preserve">lead gender specialist to assist </w:t>
      </w:r>
      <w:r w:rsidR="000F21DD">
        <w:t>with these</w:t>
      </w:r>
      <w:r w:rsidR="000F21DD" w:rsidRPr="006222EA">
        <w:t xml:space="preserve"> </w:t>
      </w:r>
      <w:r w:rsidR="00DF52EF" w:rsidRPr="006222EA">
        <w:t xml:space="preserve">broader efforts to </w:t>
      </w:r>
      <w:r w:rsidR="002D4C6B" w:rsidRPr="006222EA">
        <w:t>mak</w:t>
      </w:r>
      <w:r w:rsidR="00DF52EF" w:rsidRPr="006222EA">
        <w:t>e</w:t>
      </w:r>
      <w:r w:rsidR="002D4C6B" w:rsidRPr="006222EA">
        <w:t xml:space="preserve"> gender </w:t>
      </w:r>
      <w:r w:rsidR="003F1E4F" w:rsidRPr="006222EA">
        <w:t xml:space="preserve">a key </w:t>
      </w:r>
      <w:r w:rsidRPr="006222EA">
        <w:t>consideration for</w:t>
      </w:r>
      <w:r w:rsidR="002D4C6B" w:rsidRPr="006222EA">
        <w:t xml:space="preserve"> all programs.</w:t>
      </w:r>
      <w:r w:rsidR="003F1E4F" w:rsidRPr="006222EA">
        <w:t xml:space="preserve"> </w:t>
      </w:r>
    </w:p>
    <w:p w14:paraId="420DC6A8" w14:textId="77777777" w:rsidR="00B2767A" w:rsidRPr="006222EA" w:rsidRDefault="00B2767A" w:rsidP="005B66B3">
      <w:pPr>
        <w:pStyle w:val="BodyText"/>
      </w:pPr>
      <w:r w:rsidRPr="006222EA">
        <w:t>A full design for the</w:t>
      </w:r>
      <w:r w:rsidRPr="006222EA">
        <w:rPr>
          <w:i/>
        </w:rPr>
        <w:t xml:space="preserve"> Pacific Women Shaping Pacific Development</w:t>
      </w:r>
      <w:r w:rsidRPr="006222EA">
        <w:t xml:space="preserve"> initiative will be finalised </w:t>
      </w:r>
      <w:r w:rsidR="006A4194" w:rsidRPr="006222EA">
        <w:t>in mid-</w:t>
      </w:r>
      <w:r w:rsidRPr="006222EA">
        <w:t xml:space="preserve">2013 to establish </w:t>
      </w:r>
      <w:r w:rsidR="0014558B" w:rsidRPr="006222EA">
        <w:t>management, coordination and implementation arrangements</w:t>
      </w:r>
      <w:r w:rsidRPr="006222EA">
        <w:t xml:space="preserve">. The final design will also inform the ongoing functions, delivery models and location of the </w:t>
      </w:r>
      <w:r w:rsidRPr="004C0ED5">
        <w:t>Gender Hub</w:t>
      </w:r>
      <w:r w:rsidRPr="000F21DD">
        <w:t>,</w:t>
      </w:r>
      <w:r w:rsidRPr="006222EA">
        <w:t xml:space="preserve"> </w:t>
      </w:r>
      <w:r w:rsidR="000F21DD">
        <w:t>to</w:t>
      </w:r>
      <w:r w:rsidRPr="006222EA">
        <w:t xml:space="preserve"> be operational by</w:t>
      </w:r>
      <w:r w:rsidR="00C249B4" w:rsidRPr="006222EA">
        <w:t xml:space="preserve"> late 2013</w:t>
      </w:r>
      <w:r w:rsidR="00C336CF" w:rsidRPr="006222EA">
        <w:t>.</w:t>
      </w:r>
    </w:p>
    <w:bookmarkEnd w:id="1"/>
    <w:p w14:paraId="420DC6A9" w14:textId="77777777" w:rsidR="00765923" w:rsidRPr="006222EA" w:rsidRDefault="00765923" w:rsidP="00765923">
      <w:pPr>
        <w:pStyle w:val="Heading1"/>
      </w:pPr>
      <w:r w:rsidRPr="006222EA">
        <w:t xml:space="preserve">Climate </w:t>
      </w:r>
      <w:r w:rsidR="000F21DD">
        <w:t>c</w:t>
      </w:r>
      <w:r w:rsidRPr="006222EA">
        <w:t xml:space="preserve">hange and </w:t>
      </w:r>
      <w:r w:rsidR="000F21DD">
        <w:t>e</w:t>
      </w:r>
      <w:r w:rsidRPr="006222EA">
        <w:t xml:space="preserve">nvironment </w:t>
      </w:r>
    </w:p>
    <w:p w14:paraId="420DC6AA" w14:textId="77777777" w:rsidR="00765923" w:rsidRPr="006222EA" w:rsidRDefault="00765923" w:rsidP="00765923">
      <w:pPr>
        <w:pStyle w:val="Heading2"/>
      </w:pPr>
      <w:r w:rsidRPr="006222EA">
        <w:t>Program objectives</w:t>
      </w:r>
    </w:p>
    <w:p w14:paraId="420DC6AB" w14:textId="77777777" w:rsidR="00765923" w:rsidRPr="006222EA" w:rsidRDefault="00765923" w:rsidP="005B66B3">
      <w:pPr>
        <w:pStyle w:val="BodyText"/>
        <w:rPr>
          <w:rFonts w:eastAsiaTheme="minorHAnsi"/>
          <w:lang w:eastAsia="en-US"/>
        </w:rPr>
      </w:pPr>
      <w:r w:rsidRPr="006222EA">
        <w:rPr>
          <w:rFonts w:eastAsiaTheme="minorHAnsi"/>
          <w:lang w:eastAsia="en-US"/>
        </w:rPr>
        <w:t>Climate change and environmental degradation are major development challenges which disproportionately affect the poor</w:t>
      </w:r>
      <w:r w:rsidR="006A4194" w:rsidRPr="006222EA">
        <w:rPr>
          <w:rFonts w:eastAsiaTheme="minorHAnsi"/>
          <w:lang w:eastAsia="en-US"/>
        </w:rPr>
        <w:t>est communities</w:t>
      </w:r>
      <w:r w:rsidR="000F21DD">
        <w:rPr>
          <w:rFonts w:eastAsiaTheme="minorHAnsi"/>
          <w:lang w:eastAsia="en-US"/>
        </w:rPr>
        <w:t>, including in the Pacific region</w:t>
      </w:r>
      <w:r w:rsidR="006A4194" w:rsidRPr="006222EA">
        <w:rPr>
          <w:rFonts w:eastAsiaTheme="minorHAnsi"/>
          <w:lang w:eastAsia="en-US"/>
        </w:rPr>
        <w:t>. S</w:t>
      </w:r>
      <w:r w:rsidRPr="006222EA">
        <w:rPr>
          <w:rFonts w:eastAsiaTheme="minorHAnsi"/>
          <w:lang w:eastAsia="en-US"/>
        </w:rPr>
        <w:t>mall island developing states are likely to be most impacted</w:t>
      </w:r>
      <w:r w:rsidR="006A4194" w:rsidRPr="006222EA">
        <w:rPr>
          <w:rFonts w:eastAsiaTheme="minorHAnsi"/>
          <w:lang w:eastAsia="en-US"/>
        </w:rPr>
        <w:t>.</w:t>
      </w:r>
      <w:r w:rsidR="00800ACF">
        <w:rPr>
          <w:rStyle w:val="FootnoteReference"/>
          <w:rFonts w:eastAsiaTheme="minorHAnsi"/>
          <w:lang w:eastAsia="en-US"/>
        </w:rPr>
        <w:footnoteReference w:id="18"/>
      </w:r>
      <w:r w:rsidRPr="006222EA">
        <w:rPr>
          <w:rFonts w:eastAsiaTheme="minorHAnsi"/>
          <w:lang w:eastAsia="en-US"/>
        </w:rPr>
        <w:t xml:space="preserve"> Coastal zones, where many Pacific </w:t>
      </w:r>
      <w:r w:rsidR="00135753">
        <w:rPr>
          <w:rFonts w:eastAsiaTheme="minorHAnsi"/>
          <w:lang w:eastAsia="en-US"/>
        </w:rPr>
        <w:t>i</w:t>
      </w:r>
      <w:r w:rsidRPr="006222EA">
        <w:rPr>
          <w:rFonts w:eastAsiaTheme="minorHAnsi"/>
          <w:lang w:eastAsia="en-US"/>
        </w:rPr>
        <w:t xml:space="preserve">slanders live, </w:t>
      </w:r>
      <w:r w:rsidR="003F1E4F" w:rsidRPr="006222EA">
        <w:rPr>
          <w:rFonts w:eastAsiaTheme="minorHAnsi"/>
          <w:lang w:eastAsia="en-US"/>
        </w:rPr>
        <w:t xml:space="preserve">are </w:t>
      </w:r>
      <w:r w:rsidRPr="006222EA">
        <w:rPr>
          <w:rFonts w:eastAsiaTheme="minorHAnsi"/>
          <w:lang w:eastAsia="en-US"/>
        </w:rPr>
        <w:t xml:space="preserve">particularly vulnerable. Developing resilience and effective adaptation measures are </w:t>
      </w:r>
      <w:r w:rsidR="0014558B" w:rsidRPr="006222EA">
        <w:rPr>
          <w:rFonts w:eastAsiaTheme="minorHAnsi"/>
          <w:lang w:eastAsia="en-US"/>
        </w:rPr>
        <w:t>priorities for PICs</w:t>
      </w:r>
      <w:r w:rsidRPr="006222EA">
        <w:rPr>
          <w:rFonts w:eastAsiaTheme="minorHAnsi"/>
          <w:lang w:eastAsia="en-US"/>
        </w:rPr>
        <w:t>.</w:t>
      </w:r>
    </w:p>
    <w:p w14:paraId="420DC6AC" w14:textId="7B1B33A9" w:rsidR="00765923" w:rsidRPr="006222EA" w:rsidRDefault="00956EA4" w:rsidP="005B66B3">
      <w:pPr>
        <w:pStyle w:val="BodyText"/>
      </w:pPr>
      <w:r>
        <w:rPr>
          <w:rFonts w:eastAsiaTheme="minorHAnsi"/>
          <w:lang w:eastAsia="en-US"/>
        </w:rPr>
        <w:t>Australia’s</w:t>
      </w:r>
      <w:r w:rsidR="00765923" w:rsidRPr="006222EA">
        <w:rPr>
          <w:rFonts w:eastAsiaTheme="minorHAnsi"/>
          <w:lang w:eastAsia="en-US"/>
        </w:rPr>
        <w:t xml:space="preserve"> </w:t>
      </w:r>
      <w:r w:rsidR="00130408" w:rsidRPr="006222EA">
        <w:rPr>
          <w:rFonts w:eastAsiaTheme="minorHAnsi"/>
          <w:lang w:eastAsia="en-US"/>
        </w:rPr>
        <w:t xml:space="preserve">regional </w:t>
      </w:r>
      <w:r w:rsidR="00765923" w:rsidRPr="006222EA">
        <w:rPr>
          <w:rFonts w:eastAsiaTheme="minorHAnsi"/>
          <w:lang w:eastAsia="en-US"/>
        </w:rPr>
        <w:t>assistance includes developing a better understanding of likely climate change impacts and strengthening government capacity to plan for and adapt to the</w:t>
      </w:r>
      <w:r w:rsidR="00224AD0">
        <w:rPr>
          <w:rFonts w:eastAsiaTheme="minorHAnsi"/>
          <w:lang w:eastAsia="en-US"/>
        </w:rPr>
        <w:t>m</w:t>
      </w:r>
      <w:r w:rsidR="00765923" w:rsidRPr="006222EA">
        <w:rPr>
          <w:rFonts w:eastAsiaTheme="minorHAnsi"/>
          <w:lang w:eastAsia="en-US"/>
        </w:rPr>
        <w:t xml:space="preserve">. </w:t>
      </w:r>
      <w:r w:rsidR="006A4194" w:rsidRPr="006222EA">
        <w:rPr>
          <w:rFonts w:eastAsiaTheme="minorHAnsi"/>
          <w:lang w:eastAsia="en-US"/>
        </w:rPr>
        <w:t xml:space="preserve">This assistance is </w:t>
      </w:r>
      <w:r w:rsidR="00765923" w:rsidRPr="006222EA">
        <w:t xml:space="preserve">delivered through </w:t>
      </w:r>
      <w:r w:rsidR="006A4194" w:rsidRPr="006222EA">
        <w:t>the SPREP, SPC and USP,</w:t>
      </w:r>
      <w:r w:rsidR="003F1E4F" w:rsidRPr="006222EA">
        <w:t xml:space="preserve"> </w:t>
      </w:r>
      <w:r w:rsidR="002735C8" w:rsidRPr="006222EA">
        <w:t>other international</w:t>
      </w:r>
      <w:r w:rsidR="00A90EC5">
        <w:t xml:space="preserve"> agencies and Australian G</w:t>
      </w:r>
      <w:r w:rsidR="00765923" w:rsidRPr="006222EA">
        <w:t>overnment agencies</w:t>
      </w:r>
      <w:r w:rsidR="006A4194" w:rsidRPr="006222EA">
        <w:t xml:space="preserve"> </w:t>
      </w:r>
      <w:r w:rsidR="00765923" w:rsidRPr="006222EA">
        <w:t>such as the Bureau of Meteorology, C</w:t>
      </w:r>
      <w:r w:rsidR="00D67182">
        <w:t>ommonwealth Scientific and Industrial Research Organisation</w:t>
      </w:r>
      <w:r w:rsidR="00765923" w:rsidRPr="006222EA">
        <w:t>, Department of Environment and Community and Geoscience Australia.</w:t>
      </w:r>
    </w:p>
    <w:p w14:paraId="420DC6AD" w14:textId="4A99F89B" w:rsidR="00765923" w:rsidRPr="006222EA" w:rsidRDefault="00765923" w:rsidP="005B66B3">
      <w:pPr>
        <w:pStyle w:val="BodyText"/>
        <w:rPr>
          <w:bCs/>
          <w:iCs/>
        </w:rPr>
      </w:pPr>
      <w:r w:rsidRPr="006222EA">
        <w:rPr>
          <w:bCs/>
          <w:iCs/>
        </w:rPr>
        <w:t>Australia is</w:t>
      </w:r>
      <w:r w:rsidR="00A477C1">
        <w:rPr>
          <w:bCs/>
          <w:iCs/>
        </w:rPr>
        <w:t xml:space="preserve"> also</w:t>
      </w:r>
      <w:r w:rsidRPr="006222EA">
        <w:rPr>
          <w:bCs/>
          <w:iCs/>
        </w:rPr>
        <w:t xml:space="preserve"> supporting practical community level adaptation activities that improve people’s lives by </w:t>
      </w:r>
      <w:r w:rsidR="003F1E4F" w:rsidRPr="006222EA">
        <w:rPr>
          <w:bCs/>
          <w:iCs/>
        </w:rPr>
        <w:t xml:space="preserve">providing </w:t>
      </w:r>
      <w:r w:rsidRPr="006222EA">
        <w:rPr>
          <w:bCs/>
          <w:iCs/>
        </w:rPr>
        <w:t>a more reliable water supply, improving coastal management and improving the crops they can grow in a changing climate. This assistance is delivered predominately through the International Climate Change Adaptation Initiative.</w:t>
      </w:r>
    </w:p>
    <w:p w14:paraId="420DC6AE" w14:textId="77777777" w:rsidR="00765923" w:rsidRPr="006222EA" w:rsidRDefault="00765923" w:rsidP="00765923">
      <w:pPr>
        <w:pStyle w:val="Heading2"/>
      </w:pPr>
      <w:r w:rsidRPr="006222EA">
        <w:t>Key achievements</w:t>
      </w:r>
    </w:p>
    <w:p w14:paraId="420DC6AF" w14:textId="77777777" w:rsidR="00765923" w:rsidRPr="006222EA" w:rsidRDefault="0014558B" w:rsidP="005B66B3">
      <w:pPr>
        <w:pStyle w:val="ListBullet"/>
      </w:pPr>
      <w:r w:rsidRPr="006222EA">
        <w:t>N</w:t>
      </w:r>
      <w:r w:rsidR="00765923" w:rsidRPr="006222EA">
        <w:t xml:space="preserve">ew research under the </w:t>
      </w:r>
      <w:r w:rsidR="00765923" w:rsidRPr="006222EA">
        <w:rPr>
          <w:b/>
        </w:rPr>
        <w:t>Pacific</w:t>
      </w:r>
      <w:r w:rsidR="000F21DD">
        <w:rPr>
          <w:b/>
        </w:rPr>
        <w:t xml:space="preserve"> – </w:t>
      </w:r>
      <w:r w:rsidR="00765923" w:rsidRPr="006222EA">
        <w:rPr>
          <w:b/>
        </w:rPr>
        <w:t>Australia Climate Change Science and Adaptation Planning Program</w:t>
      </w:r>
      <w:r w:rsidR="00765923" w:rsidRPr="006222EA">
        <w:t xml:space="preserve"> </w:t>
      </w:r>
      <w:r w:rsidRPr="006222EA">
        <w:t>has</w:t>
      </w:r>
      <w:r w:rsidR="00765923" w:rsidRPr="006222EA">
        <w:t xml:space="preserve"> added to country</w:t>
      </w:r>
      <w:r w:rsidR="007104B7">
        <w:t>-</w:t>
      </w:r>
      <w:r w:rsidR="00765923" w:rsidRPr="006222EA">
        <w:t>specific information on past, current and future climate. Work has begun on helping P</w:t>
      </w:r>
      <w:r w:rsidR="00560A63">
        <w:t>ICs</w:t>
      </w:r>
      <w:r w:rsidR="00765923" w:rsidRPr="006222EA">
        <w:t xml:space="preserve"> to apply climate change projections in planning adaptation measures. For example, </w:t>
      </w:r>
      <w:r w:rsidR="00765923" w:rsidRPr="006222EA">
        <w:rPr>
          <w:b/>
        </w:rPr>
        <w:t>high resolution elevation data</w:t>
      </w:r>
      <w:r w:rsidR="00765923" w:rsidRPr="006222EA">
        <w:t xml:space="preserve"> for sections of </w:t>
      </w:r>
      <w:r w:rsidR="00611989" w:rsidRPr="006222EA">
        <w:t>PNG’s</w:t>
      </w:r>
      <w:r w:rsidRPr="006222EA">
        <w:t xml:space="preserve"> </w:t>
      </w:r>
      <w:r w:rsidRPr="006222EA">
        <w:lastRenderedPageBreak/>
        <w:t>northern coastline</w:t>
      </w:r>
      <w:r w:rsidR="00765923" w:rsidRPr="006222EA">
        <w:t xml:space="preserve"> will </w:t>
      </w:r>
      <w:r w:rsidR="00D67182">
        <w:t>enable</w:t>
      </w:r>
      <w:r w:rsidR="00611989" w:rsidRPr="006222EA">
        <w:t xml:space="preserve"> </w:t>
      </w:r>
      <w:r w:rsidR="00765923" w:rsidRPr="006222EA">
        <w:t>inundation model</w:t>
      </w:r>
      <w:r w:rsidR="00D67182">
        <w:t>s to be developed</w:t>
      </w:r>
      <w:r w:rsidR="00765923" w:rsidRPr="006222EA">
        <w:t xml:space="preserve"> to plan </w:t>
      </w:r>
      <w:r w:rsidR="00611989" w:rsidRPr="006222EA">
        <w:t xml:space="preserve">for more </w:t>
      </w:r>
      <w:r w:rsidR="00765923" w:rsidRPr="006222EA">
        <w:t xml:space="preserve">effective coastal management. </w:t>
      </w:r>
    </w:p>
    <w:p w14:paraId="420DC6B0" w14:textId="77777777" w:rsidR="00765923" w:rsidRPr="006222EA" w:rsidRDefault="0014558B" w:rsidP="005B66B3">
      <w:pPr>
        <w:pStyle w:val="ListBullet"/>
      </w:pPr>
      <w:r w:rsidRPr="006222EA">
        <w:t>T</w:t>
      </w:r>
      <w:r w:rsidR="00765923" w:rsidRPr="006222EA">
        <w:t xml:space="preserve">he </w:t>
      </w:r>
      <w:r w:rsidR="00765923" w:rsidRPr="006222EA">
        <w:rPr>
          <w:b/>
        </w:rPr>
        <w:t>Climate and Oceans Support Program in the Pacific</w:t>
      </w:r>
      <w:r w:rsidR="00765923" w:rsidRPr="006222EA">
        <w:t xml:space="preserve"> </w:t>
      </w:r>
      <w:r w:rsidR="00D67182">
        <w:t xml:space="preserve">has </w:t>
      </w:r>
      <w:r w:rsidR="00765923" w:rsidRPr="006222EA">
        <w:t>increase</w:t>
      </w:r>
      <w:r w:rsidR="00611989" w:rsidRPr="006222EA">
        <w:t>d</w:t>
      </w:r>
      <w:r w:rsidR="00765923" w:rsidRPr="006222EA">
        <w:t xml:space="preserve"> capacities of Pacific meteorological services to use climate science to support planning in </w:t>
      </w:r>
      <w:r w:rsidR="00611989" w:rsidRPr="006222EA">
        <w:t xml:space="preserve">resource and service sectors. </w:t>
      </w:r>
      <w:r w:rsidR="00765923" w:rsidRPr="006222EA">
        <w:t xml:space="preserve">For example, the </w:t>
      </w:r>
      <w:r w:rsidR="00D67182">
        <w:t>p</w:t>
      </w:r>
      <w:r w:rsidR="00765923" w:rsidRPr="006222EA">
        <w:t xml:space="preserve">rogram worked with the Vanuatu Meteorological and Geo-Hazard Department </w:t>
      </w:r>
      <w:r w:rsidR="00611989" w:rsidRPr="006222EA">
        <w:t>t</w:t>
      </w:r>
      <w:r w:rsidR="00765923" w:rsidRPr="006222EA">
        <w:t xml:space="preserve">o </w:t>
      </w:r>
      <w:r w:rsidR="00611989" w:rsidRPr="006222EA">
        <w:t>p</w:t>
      </w:r>
      <w:r w:rsidR="00765923" w:rsidRPr="006222EA">
        <w:t xml:space="preserve">rovide </w:t>
      </w:r>
      <w:r w:rsidR="00765923" w:rsidRPr="006222EA">
        <w:rPr>
          <w:b/>
        </w:rPr>
        <w:t>targeted seasonal forecasts</w:t>
      </w:r>
      <w:r w:rsidR="00765923" w:rsidRPr="006222EA">
        <w:t xml:space="preserve"> for climate-sensitive sectors such as agriculture, fisheries, tourism and public health, enabling </w:t>
      </w:r>
      <w:r w:rsidR="00611989" w:rsidRPr="006222EA">
        <w:t xml:space="preserve">better preparation for </w:t>
      </w:r>
      <w:r w:rsidR="000C4896" w:rsidRPr="006222EA">
        <w:t>droughts and extreme events</w:t>
      </w:r>
      <w:r w:rsidR="00231212" w:rsidRPr="006222EA">
        <w:t>.</w:t>
      </w:r>
    </w:p>
    <w:p w14:paraId="420DC6B1" w14:textId="77777777" w:rsidR="00765923" w:rsidRPr="006222EA" w:rsidRDefault="00765923" w:rsidP="005B66B3">
      <w:pPr>
        <w:pStyle w:val="ListBullet"/>
      </w:pPr>
      <w:r w:rsidRPr="006222EA">
        <w:t>Regional technical organisations and other</w:t>
      </w:r>
      <w:r w:rsidR="00B6349D" w:rsidRPr="006222EA">
        <w:t xml:space="preserve"> donors </w:t>
      </w:r>
      <w:r w:rsidR="00D67182">
        <w:t>have used</w:t>
      </w:r>
      <w:r w:rsidR="00B6349D" w:rsidRPr="006222EA">
        <w:t xml:space="preserve"> the weather and climate data from the </w:t>
      </w:r>
      <w:r w:rsidR="00B6349D" w:rsidRPr="006222EA">
        <w:rPr>
          <w:b/>
        </w:rPr>
        <w:t>Pacific Climate Change Science Program</w:t>
      </w:r>
      <w:r w:rsidRPr="006222EA">
        <w:t xml:space="preserve"> </w:t>
      </w:r>
      <w:r w:rsidR="00B6349D" w:rsidRPr="006222EA">
        <w:t xml:space="preserve">for </w:t>
      </w:r>
      <w:r w:rsidRPr="006222EA">
        <w:t xml:space="preserve">disaster risk assessments, coastal zone management and in the </w:t>
      </w:r>
      <w:r w:rsidR="00D67182">
        <w:t>n</w:t>
      </w:r>
      <w:r w:rsidRPr="006222EA">
        <w:t xml:space="preserve">ational </w:t>
      </w:r>
      <w:r w:rsidR="00D67182">
        <w:t>a</w:t>
      </w:r>
      <w:r w:rsidRPr="006222EA">
        <w:t xml:space="preserve">daptation </w:t>
      </w:r>
      <w:r w:rsidR="00D67182">
        <w:t>p</w:t>
      </w:r>
      <w:r w:rsidRPr="006222EA">
        <w:t xml:space="preserve">lans of </w:t>
      </w:r>
      <w:r w:rsidR="00D67182">
        <w:t>a</w:t>
      </w:r>
      <w:r w:rsidRPr="006222EA">
        <w:t>ction</w:t>
      </w:r>
      <w:r w:rsidR="00611989" w:rsidRPr="006222EA">
        <w:t xml:space="preserve"> such as </w:t>
      </w:r>
      <w:r w:rsidR="00D67182">
        <w:t xml:space="preserve">the one </w:t>
      </w:r>
      <w:r w:rsidR="00611989" w:rsidRPr="006222EA">
        <w:t>a</w:t>
      </w:r>
      <w:r w:rsidR="00CF6640" w:rsidRPr="006222EA">
        <w:t>dopted by Cook Islands in 2012.</w:t>
      </w:r>
    </w:p>
    <w:p w14:paraId="420DC6B2" w14:textId="3414B0B5" w:rsidR="00765923" w:rsidRPr="006222EA" w:rsidRDefault="00611989" w:rsidP="005B66B3">
      <w:pPr>
        <w:pStyle w:val="ListBullet"/>
      </w:pPr>
      <w:r w:rsidRPr="006222EA">
        <w:t xml:space="preserve">Through </w:t>
      </w:r>
      <w:r w:rsidR="00765923" w:rsidRPr="006222EA">
        <w:t>Au</w:t>
      </w:r>
      <w:r w:rsidR="00B6349D" w:rsidRPr="006222EA">
        <w:t>stralia</w:t>
      </w:r>
      <w:r w:rsidRPr="006222EA">
        <w:t xml:space="preserve">n </w:t>
      </w:r>
      <w:r w:rsidR="00B6349D" w:rsidRPr="006222EA">
        <w:t xml:space="preserve">support </w:t>
      </w:r>
      <w:r w:rsidRPr="006222EA">
        <w:t xml:space="preserve">to </w:t>
      </w:r>
      <w:r w:rsidR="00765923" w:rsidRPr="006222EA">
        <w:rPr>
          <w:b/>
        </w:rPr>
        <w:t>SPC</w:t>
      </w:r>
      <w:r w:rsidRPr="006222EA">
        <w:rPr>
          <w:b/>
        </w:rPr>
        <w:t xml:space="preserve">, PICs </w:t>
      </w:r>
      <w:r w:rsidR="00765923" w:rsidRPr="006222EA">
        <w:t xml:space="preserve">now have access to </w:t>
      </w:r>
      <w:r w:rsidR="00D67182">
        <w:t>more than</w:t>
      </w:r>
      <w:r w:rsidR="00D67182" w:rsidRPr="006222EA">
        <w:t xml:space="preserve"> </w:t>
      </w:r>
      <w:r w:rsidR="00765923" w:rsidRPr="006222EA">
        <w:rPr>
          <w:b/>
        </w:rPr>
        <w:t>100</w:t>
      </w:r>
      <w:r w:rsidR="007104B7">
        <w:rPr>
          <w:b/>
        </w:rPr>
        <w:t> </w:t>
      </w:r>
      <w:r w:rsidR="00765923" w:rsidRPr="006222EA">
        <w:rPr>
          <w:b/>
        </w:rPr>
        <w:t>climate resilient varieties of staple Pacific crops</w:t>
      </w:r>
      <w:r w:rsidR="00765923" w:rsidRPr="006222EA">
        <w:t xml:space="preserve"> through the Pacific Centre for Crops and Trees. In 2012</w:t>
      </w:r>
      <w:r w:rsidR="00D67182">
        <w:t>,</w:t>
      </w:r>
      <w:r w:rsidR="00765923" w:rsidRPr="006222EA">
        <w:t xml:space="preserve"> more than 8</w:t>
      </w:r>
      <w:r w:rsidR="00803BDC">
        <w:t>,</w:t>
      </w:r>
      <w:r w:rsidR="00765923" w:rsidRPr="006222EA">
        <w:t>300 plantlets</w:t>
      </w:r>
      <w:r w:rsidR="00B6349D" w:rsidRPr="006222EA">
        <w:t xml:space="preserve"> were distributed to </w:t>
      </w:r>
      <w:r w:rsidR="00D67182">
        <w:t>PIC</w:t>
      </w:r>
      <w:r w:rsidR="007104B7">
        <w:t>s</w:t>
      </w:r>
      <w:r w:rsidR="00B6349D" w:rsidRPr="006222EA">
        <w:t>.</w:t>
      </w:r>
    </w:p>
    <w:p w14:paraId="420DC6B3" w14:textId="77777777" w:rsidR="007E6565" w:rsidRPr="006222EA" w:rsidRDefault="00B6349D" w:rsidP="005B66B3">
      <w:pPr>
        <w:pStyle w:val="ListBullet"/>
      </w:pPr>
      <w:r w:rsidRPr="006222EA">
        <w:t>T</w:t>
      </w:r>
      <w:r w:rsidR="00765923" w:rsidRPr="006222EA">
        <w:t xml:space="preserve">hrough the </w:t>
      </w:r>
      <w:r w:rsidR="00765923" w:rsidRPr="006222EA">
        <w:rPr>
          <w:b/>
        </w:rPr>
        <w:t>United Nations Development Program</w:t>
      </w:r>
      <w:r w:rsidR="00D67182">
        <w:rPr>
          <w:b/>
        </w:rPr>
        <w:t>me</w:t>
      </w:r>
      <w:r w:rsidR="00765923" w:rsidRPr="006222EA">
        <w:rPr>
          <w:b/>
        </w:rPr>
        <w:t>’s (UNDP) Pacific Ada</w:t>
      </w:r>
      <w:r w:rsidR="00B0028B">
        <w:rPr>
          <w:b/>
        </w:rPr>
        <w:t>ptation to Climate Change</w:t>
      </w:r>
      <w:r w:rsidR="00765923" w:rsidRPr="006222EA">
        <w:rPr>
          <w:b/>
        </w:rPr>
        <w:t xml:space="preserve"> project</w:t>
      </w:r>
      <w:r w:rsidR="00765923" w:rsidRPr="006222EA">
        <w:t>, Australia</w:t>
      </w:r>
      <w:r w:rsidR="00D67182">
        <w:t xml:space="preserve"> has helped</w:t>
      </w:r>
      <w:r w:rsidR="00765923" w:rsidRPr="006222EA">
        <w:t xml:space="preserve"> enhance the capacity of</w:t>
      </w:r>
      <w:r w:rsidRPr="006222EA">
        <w:t xml:space="preserve"> </w:t>
      </w:r>
      <w:r w:rsidR="00611989" w:rsidRPr="006222EA">
        <w:t>15</w:t>
      </w:r>
      <w:r w:rsidR="00765923" w:rsidRPr="006222EA">
        <w:t xml:space="preserve"> participating countries to adapt to food security, water and coastal management </w:t>
      </w:r>
      <w:r w:rsidR="00611989" w:rsidRPr="006222EA">
        <w:t>challenges</w:t>
      </w:r>
      <w:r w:rsidR="007104B7">
        <w:t>,</w:t>
      </w:r>
      <w:r w:rsidR="007E6565" w:rsidRPr="006222EA">
        <w:t xml:space="preserve"> with practical measure</w:t>
      </w:r>
      <w:r w:rsidR="00F3550D">
        <w:t>s</w:t>
      </w:r>
      <w:r w:rsidR="007E6565" w:rsidRPr="006222EA">
        <w:t xml:space="preserve"> such as water tanks, coastal planning and utilisation, water conse</w:t>
      </w:r>
      <w:r w:rsidR="00CF6640" w:rsidRPr="006222EA">
        <w:t>rvation and technical support.</w:t>
      </w:r>
    </w:p>
    <w:p w14:paraId="420DC6B4" w14:textId="77777777" w:rsidR="00765923" w:rsidRPr="006222EA" w:rsidRDefault="001E7155" w:rsidP="005B66B3">
      <w:pPr>
        <w:pStyle w:val="ListBullet"/>
      </w:pPr>
      <w:r w:rsidRPr="006222EA">
        <w:t xml:space="preserve">At the </w:t>
      </w:r>
      <w:r w:rsidR="00765923" w:rsidRPr="006222EA">
        <w:t xml:space="preserve">USP, Australia </w:t>
      </w:r>
      <w:r w:rsidR="00D67182">
        <w:t>continues to</w:t>
      </w:r>
      <w:r w:rsidR="00D67182" w:rsidRPr="006222EA">
        <w:t xml:space="preserve"> </w:t>
      </w:r>
      <w:r w:rsidR="00765923" w:rsidRPr="006222EA">
        <w:t xml:space="preserve">support the development of degree programs </w:t>
      </w:r>
      <w:r w:rsidR="00B6349D" w:rsidRPr="006222EA">
        <w:t xml:space="preserve">and </w:t>
      </w:r>
      <w:r w:rsidR="00B6349D" w:rsidRPr="006222EA">
        <w:rPr>
          <w:b/>
        </w:rPr>
        <w:t>five</w:t>
      </w:r>
      <w:r w:rsidR="00765923" w:rsidRPr="006222EA">
        <w:rPr>
          <w:b/>
        </w:rPr>
        <w:t xml:space="preserve"> new courses</w:t>
      </w:r>
      <w:r w:rsidR="00765923" w:rsidRPr="006222EA">
        <w:t xml:space="preserve"> in climate change areas. Since 2010</w:t>
      </w:r>
      <w:r w:rsidR="00765923" w:rsidRPr="001E34A5">
        <w:t xml:space="preserve">, </w:t>
      </w:r>
      <w:r w:rsidR="00765923" w:rsidRPr="006222EA">
        <w:rPr>
          <w:b/>
        </w:rPr>
        <w:t>scholarships</w:t>
      </w:r>
      <w:r w:rsidR="00765923" w:rsidRPr="006222EA">
        <w:t xml:space="preserve"> for Postgraduate Diploma and Masters Degrees have been awarded to </w:t>
      </w:r>
      <w:r w:rsidR="00765923" w:rsidRPr="006222EA">
        <w:rPr>
          <w:b/>
        </w:rPr>
        <w:t>40 students</w:t>
      </w:r>
      <w:r w:rsidR="00B6349D" w:rsidRPr="006222EA">
        <w:t>.</w:t>
      </w:r>
    </w:p>
    <w:p w14:paraId="420DC6B5" w14:textId="77777777" w:rsidR="00765923" w:rsidRPr="006222EA" w:rsidRDefault="00B6349D" w:rsidP="005B66B3">
      <w:pPr>
        <w:pStyle w:val="ListBullet"/>
      </w:pPr>
      <w:r w:rsidRPr="006222EA">
        <w:t>A</w:t>
      </w:r>
      <w:r w:rsidR="00765923" w:rsidRPr="006222EA">
        <w:t xml:space="preserve">id funded contributions by </w:t>
      </w:r>
      <w:r w:rsidR="00765923" w:rsidRPr="006222EA">
        <w:rPr>
          <w:b/>
        </w:rPr>
        <w:t xml:space="preserve">other Australian </w:t>
      </w:r>
      <w:r w:rsidR="00A90EC5">
        <w:rPr>
          <w:b/>
        </w:rPr>
        <w:t>G</w:t>
      </w:r>
      <w:r w:rsidR="00765923" w:rsidRPr="006222EA">
        <w:rPr>
          <w:b/>
        </w:rPr>
        <w:t>overnment agencies</w:t>
      </w:r>
      <w:r w:rsidR="00D67182" w:rsidRPr="001E34A5">
        <w:t xml:space="preserve"> have</w:t>
      </w:r>
      <w:r w:rsidR="00765923" w:rsidRPr="006222EA">
        <w:t xml:space="preserve"> include</w:t>
      </w:r>
      <w:r w:rsidR="00D67182">
        <w:t>d</w:t>
      </w:r>
      <w:r w:rsidR="00765923" w:rsidRPr="006222EA">
        <w:t xml:space="preserve"> working with </w:t>
      </w:r>
      <w:r w:rsidRPr="006222EA">
        <w:t xml:space="preserve">PICs </w:t>
      </w:r>
      <w:r w:rsidR="00765923" w:rsidRPr="006222EA">
        <w:t xml:space="preserve">to establish their international boundaries and register </w:t>
      </w:r>
      <w:r w:rsidRPr="006222EA">
        <w:t>them with the U</w:t>
      </w:r>
      <w:r w:rsidR="001E7155" w:rsidRPr="006222EA">
        <w:t xml:space="preserve">N, </w:t>
      </w:r>
      <w:r w:rsidR="00D67182">
        <w:t xml:space="preserve">as well as </w:t>
      </w:r>
      <w:r w:rsidR="00765923" w:rsidRPr="006222EA">
        <w:t>collaborat</w:t>
      </w:r>
      <w:r w:rsidR="00D67182">
        <w:t>e</w:t>
      </w:r>
      <w:r w:rsidR="00765923" w:rsidRPr="006222EA">
        <w:t xml:space="preserve"> on tree seed technology, animal health surveillance, weed control and urban water management.</w:t>
      </w:r>
    </w:p>
    <w:p w14:paraId="420DC6B6" w14:textId="77777777" w:rsidR="00765923" w:rsidRPr="006222EA" w:rsidRDefault="00765923" w:rsidP="00765923">
      <w:pPr>
        <w:pStyle w:val="Heading2"/>
      </w:pPr>
      <w:r w:rsidRPr="006222EA">
        <w:t>Factors affecting progress and future directions</w:t>
      </w:r>
    </w:p>
    <w:p w14:paraId="420DC6B7" w14:textId="632CDC66" w:rsidR="008F4C57" w:rsidRDefault="00871FBE" w:rsidP="008F4C57">
      <w:pPr>
        <w:pStyle w:val="BodyText"/>
      </w:pPr>
      <w:r>
        <w:t>Relative to the population of most PICs and their capacity to engage with and implement climate change and environment</w:t>
      </w:r>
      <w:r w:rsidR="00D67182">
        <w:t>-</w:t>
      </w:r>
      <w:r>
        <w:t>related activities</w:t>
      </w:r>
      <w:r w:rsidR="00D67182">
        <w:t>,</w:t>
      </w:r>
      <w:r>
        <w:t xml:space="preserve"> a large number of activities </w:t>
      </w:r>
      <w:r w:rsidR="00D67182">
        <w:t xml:space="preserve">are </w:t>
      </w:r>
      <w:r>
        <w:t xml:space="preserve">on offer within the region. </w:t>
      </w:r>
      <w:r w:rsidR="00D67182">
        <w:t>A</w:t>
      </w:r>
      <w:r w:rsidR="008F4C57">
        <w:t xml:space="preserve"> growing number of development partners and donors active in the Pacific</w:t>
      </w:r>
      <w:r w:rsidR="00D67182">
        <w:t xml:space="preserve"> are focusing</w:t>
      </w:r>
      <w:r w:rsidR="008F4C57">
        <w:t xml:space="preserve"> on climate change adaptation. </w:t>
      </w:r>
      <w:r w:rsidR="00D67182">
        <w:t>This requires g</w:t>
      </w:r>
      <w:r w:rsidR="008F4C57">
        <w:t xml:space="preserve">reater cooperation between </w:t>
      </w:r>
      <w:r w:rsidR="00560A63">
        <w:t>PROs</w:t>
      </w:r>
      <w:r w:rsidR="008F4C57">
        <w:t xml:space="preserve"> and enhanced donor coordination. </w:t>
      </w:r>
      <w:r w:rsidR="00E31BD8">
        <w:t>Strong c</w:t>
      </w:r>
      <w:r w:rsidR="008F4C57">
        <w:t>ollaboration between Australian</w:t>
      </w:r>
      <w:r w:rsidR="00D67182">
        <w:t xml:space="preserve"> Government</w:t>
      </w:r>
      <w:r w:rsidR="008F4C57">
        <w:t xml:space="preserve"> agencies engaged in the sector should lessen demands on Pacific partners. A comprehensive review of Australian</w:t>
      </w:r>
      <w:r w:rsidR="00D67182">
        <w:t>-</w:t>
      </w:r>
      <w:r w:rsidR="008F4C57">
        <w:t>funded activities (2008</w:t>
      </w:r>
      <w:r w:rsidR="00AB7772">
        <w:t>–</w:t>
      </w:r>
      <w:r w:rsidR="008F4C57">
        <w:t xml:space="preserve">13) is underway, as </w:t>
      </w:r>
      <w:r w:rsidR="00D67182">
        <w:t>is</w:t>
      </w:r>
      <w:r w:rsidR="008F4C57">
        <w:t xml:space="preserve"> a needs assessment, which will inform programming options and ensure greater consolidation and integration of climate change and environment into regional and bilateral programs. </w:t>
      </w:r>
    </w:p>
    <w:p w14:paraId="420DC6B8" w14:textId="77777777" w:rsidR="00765923" w:rsidRPr="006222EA" w:rsidRDefault="00765923" w:rsidP="00765923">
      <w:pPr>
        <w:pStyle w:val="Heading1"/>
      </w:pPr>
      <w:r w:rsidRPr="006222EA">
        <w:t>Fisheries</w:t>
      </w:r>
    </w:p>
    <w:p w14:paraId="420DC6B9" w14:textId="77777777" w:rsidR="00765923" w:rsidRPr="006222EA" w:rsidRDefault="00765923" w:rsidP="00765923">
      <w:pPr>
        <w:pStyle w:val="Heading2"/>
      </w:pPr>
      <w:r w:rsidRPr="006222EA">
        <w:t>Program objectives</w:t>
      </w:r>
    </w:p>
    <w:p w14:paraId="420DC6BA" w14:textId="42D5F054" w:rsidR="00765923" w:rsidRPr="006222EA" w:rsidRDefault="00956EA4" w:rsidP="005B66B3">
      <w:pPr>
        <w:pStyle w:val="BodyText"/>
      </w:pPr>
      <w:r>
        <w:t>Australia’s</w:t>
      </w:r>
      <w:r w:rsidR="00765923" w:rsidRPr="006222EA">
        <w:t xml:space="preserve"> engagement in the regional fisheries sector reflects the importance of fisheries to all </w:t>
      </w:r>
      <w:r w:rsidR="0017048D" w:rsidRPr="006222EA">
        <w:t xml:space="preserve">PICs </w:t>
      </w:r>
      <w:r w:rsidR="007104B7">
        <w:t>for</w:t>
      </w:r>
      <w:r w:rsidR="007104B7" w:rsidRPr="006222EA">
        <w:t xml:space="preserve"> </w:t>
      </w:r>
      <w:r w:rsidR="00765923" w:rsidRPr="006222EA">
        <w:t xml:space="preserve">local food security and national economic development. Upwards of three million islanders rely on inshore </w:t>
      </w:r>
      <w:r w:rsidR="0017048D" w:rsidRPr="006222EA">
        <w:t xml:space="preserve">fisheries </w:t>
      </w:r>
      <w:r w:rsidR="00765923" w:rsidRPr="006222EA">
        <w:t xml:space="preserve">for basic protein needs. </w:t>
      </w:r>
      <w:r w:rsidR="004C5396" w:rsidRPr="006222EA">
        <w:t xml:space="preserve">The Pacific offshore tuna industry is the largest sustainably managed tuna industry in the world, now providing </w:t>
      </w:r>
      <w:r w:rsidR="003B10DF">
        <w:t>more than</w:t>
      </w:r>
      <w:r w:rsidR="003B10DF" w:rsidRPr="006222EA">
        <w:t xml:space="preserve"> </w:t>
      </w:r>
      <w:r w:rsidR="004C5396" w:rsidRPr="006222EA">
        <w:t>60</w:t>
      </w:r>
      <w:r w:rsidR="00AC4DE1">
        <w:t> </w:t>
      </w:r>
      <w:r w:rsidR="004C5396" w:rsidRPr="006222EA">
        <w:t xml:space="preserve">per cent of global tuna supplies. </w:t>
      </w:r>
      <w:r>
        <w:t>DFAT’s</w:t>
      </w:r>
      <w:r w:rsidR="0017048D" w:rsidRPr="006222EA">
        <w:t xml:space="preserve"> key </w:t>
      </w:r>
      <w:r w:rsidR="00765923" w:rsidRPr="006222EA">
        <w:t>objective is to assist P</w:t>
      </w:r>
      <w:r w:rsidR="0017048D" w:rsidRPr="006222EA">
        <w:t>ICs</w:t>
      </w:r>
      <w:r w:rsidR="00765923" w:rsidRPr="006222EA">
        <w:t xml:space="preserve"> to </w:t>
      </w:r>
      <w:r w:rsidR="004434C6" w:rsidRPr="006222EA">
        <w:t xml:space="preserve">effectively manage </w:t>
      </w:r>
      <w:r w:rsidR="004434C6" w:rsidRPr="006222EA">
        <w:lastRenderedPageBreak/>
        <w:t xml:space="preserve">resources and promote </w:t>
      </w:r>
      <w:r w:rsidR="00765923" w:rsidRPr="006222EA">
        <w:t>sustainable economic development</w:t>
      </w:r>
      <w:r w:rsidR="004434C6" w:rsidRPr="006222EA">
        <w:t xml:space="preserve">. In </w:t>
      </w:r>
      <w:r w:rsidR="00765923" w:rsidRPr="006222EA">
        <w:t>doing so</w:t>
      </w:r>
      <w:r w:rsidR="00CF6640" w:rsidRPr="006222EA">
        <w:t>,</w:t>
      </w:r>
      <w:r w:rsidR="00765923" w:rsidRPr="006222EA">
        <w:t xml:space="preserve"> </w:t>
      </w:r>
      <w:r w:rsidR="004434C6" w:rsidRPr="006222EA">
        <w:t xml:space="preserve">fisheries can </w:t>
      </w:r>
      <w:r w:rsidR="00765923" w:rsidRPr="006222EA">
        <w:t xml:space="preserve">reduce poverty and achieve improved livelihoods for all Pacific </w:t>
      </w:r>
      <w:r w:rsidR="00135753">
        <w:t>i</w:t>
      </w:r>
      <w:r w:rsidR="00765923" w:rsidRPr="006222EA">
        <w:t>slanders.</w:t>
      </w:r>
    </w:p>
    <w:p w14:paraId="420DC6BB" w14:textId="77777777" w:rsidR="00765923" w:rsidRPr="006222EA" w:rsidRDefault="00765923" w:rsidP="005B66B3">
      <w:pPr>
        <w:pStyle w:val="BodyText"/>
      </w:pPr>
      <w:r w:rsidRPr="006222EA">
        <w:t xml:space="preserve">Australia’s assistance to the sector is provided predominantly through core and project funding to the </w:t>
      </w:r>
      <w:r w:rsidR="004434C6" w:rsidRPr="006222EA">
        <w:t xml:space="preserve">FFA </w:t>
      </w:r>
      <w:r w:rsidRPr="006222EA">
        <w:t>and the SPC</w:t>
      </w:r>
      <w:r w:rsidR="003B10DF">
        <w:t>’s</w:t>
      </w:r>
      <w:r w:rsidRPr="006222EA">
        <w:t xml:space="preserve"> Fisheries, Aquaculture and Marine Ecosystems Division. </w:t>
      </w:r>
      <w:r w:rsidR="004434C6" w:rsidRPr="006222EA">
        <w:t xml:space="preserve">This </w:t>
      </w:r>
      <w:r w:rsidRPr="006222EA">
        <w:t>assistance is complemented by bilateral assistance in Kiribati and Nauru to strengthen national fisheries administrations. A new community</w:t>
      </w:r>
      <w:r w:rsidR="004C764A">
        <w:t>-</w:t>
      </w:r>
      <w:r w:rsidRPr="006222EA">
        <w:t>based fisheries and aquaculture program for food security</w:t>
      </w:r>
      <w:r w:rsidR="004C764A">
        <w:t xml:space="preserve">, </w:t>
      </w:r>
      <w:r w:rsidRPr="006222EA">
        <w:t xml:space="preserve">to be managed by </w:t>
      </w:r>
      <w:r w:rsidR="00CF6640" w:rsidRPr="006222EA">
        <w:t xml:space="preserve">the </w:t>
      </w:r>
      <w:r w:rsidR="00CF6640" w:rsidRPr="001E34A5">
        <w:t>Australian Centre for International Agricultural Research</w:t>
      </w:r>
      <w:r w:rsidR="004C764A">
        <w:t>,</w:t>
      </w:r>
      <w:r w:rsidR="004434C6" w:rsidRPr="006222EA">
        <w:t xml:space="preserve"> </w:t>
      </w:r>
      <w:r w:rsidRPr="006222EA">
        <w:t xml:space="preserve">is </w:t>
      </w:r>
      <w:r w:rsidR="004C764A">
        <w:t>being</w:t>
      </w:r>
      <w:r w:rsidR="004C764A" w:rsidRPr="006222EA">
        <w:t xml:space="preserve"> </w:t>
      </w:r>
      <w:r w:rsidRPr="006222EA">
        <w:t>develop</w:t>
      </w:r>
      <w:r w:rsidR="001E34A5">
        <w:t>ed</w:t>
      </w:r>
      <w:r w:rsidRPr="006222EA">
        <w:t xml:space="preserve">. </w:t>
      </w:r>
    </w:p>
    <w:p w14:paraId="420DC6BC" w14:textId="5B062102" w:rsidR="005C49A3" w:rsidRPr="006222EA" w:rsidRDefault="005C49A3" w:rsidP="005B66B3">
      <w:pPr>
        <w:pStyle w:val="BodyText"/>
      </w:pPr>
      <w:r w:rsidRPr="006222EA">
        <w:rPr>
          <w:iCs/>
        </w:rPr>
        <w:t xml:space="preserve">Australia’s engagement with the sector has been guided by </w:t>
      </w:r>
      <w:r w:rsidRPr="006222EA">
        <w:rPr>
          <w:i/>
          <w:iCs/>
        </w:rPr>
        <w:t>Valuing Pacific Fish: A framework for fisheries-related development assistance in the Pacific</w:t>
      </w:r>
      <w:r w:rsidR="004C764A">
        <w:rPr>
          <w:iCs/>
        </w:rPr>
        <w:t xml:space="preserve"> (2009)</w:t>
      </w:r>
      <w:r w:rsidR="00FF1D8E">
        <w:rPr>
          <w:rStyle w:val="FootnoteReference"/>
          <w:iCs/>
        </w:rPr>
        <w:footnoteReference w:id="19"/>
      </w:r>
      <w:r w:rsidRPr="006222EA">
        <w:rPr>
          <w:i/>
          <w:iCs/>
        </w:rPr>
        <w:t xml:space="preserve">. </w:t>
      </w:r>
      <w:r w:rsidRPr="006222EA">
        <w:rPr>
          <w:iCs/>
        </w:rPr>
        <w:t xml:space="preserve">A new fisheries delivery strategy is </w:t>
      </w:r>
      <w:r w:rsidR="00E31BD8">
        <w:rPr>
          <w:iCs/>
        </w:rPr>
        <w:t>under development</w:t>
      </w:r>
      <w:r w:rsidR="00CF6640" w:rsidRPr="006222EA">
        <w:rPr>
          <w:iCs/>
        </w:rPr>
        <w:t>.</w:t>
      </w:r>
    </w:p>
    <w:p w14:paraId="420DC6BD" w14:textId="77777777" w:rsidR="00765923" w:rsidRPr="006222EA" w:rsidRDefault="00765923" w:rsidP="00765923">
      <w:pPr>
        <w:pStyle w:val="Heading2"/>
      </w:pPr>
      <w:r w:rsidRPr="006222EA">
        <w:t>Key achievements</w:t>
      </w:r>
    </w:p>
    <w:p w14:paraId="420DC6BE" w14:textId="77777777" w:rsidR="00765923" w:rsidRPr="006222EA" w:rsidRDefault="00765923" w:rsidP="005B66B3">
      <w:pPr>
        <w:pStyle w:val="BodyText"/>
      </w:pPr>
      <w:r w:rsidRPr="006222EA">
        <w:t xml:space="preserve">Australia has provided </w:t>
      </w:r>
      <w:r w:rsidR="004434C6" w:rsidRPr="006222EA">
        <w:t xml:space="preserve">critical funding to </w:t>
      </w:r>
      <w:r w:rsidR="004C5396" w:rsidRPr="006222EA">
        <w:t>assist in</w:t>
      </w:r>
      <w:r w:rsidR="004C764A">
        <w:t xml:space="preserve"> the</w:t>
      </w:r>
      <w:r w:rsidR="004C5396" w:rsidRPr="006222EA">
        <w:t xml:space="preserve"> regional management of fisheries resources </w:t>
      </w:r>
      <w:r w:rsidR="004434C6" w:rsidRPr="006222EA">
        <w:t xml:space="preserve">for more </w:t>
      </w:r>
      <w:r w:rsidRPr="006222EA">
        <w:t xml:space="preserve">than 30 years. </w:t>
      </w:r>
      <w:r w:rsidR="004C5396" w:rsidRPr="006222EA">
        <w:t xml:space="preserve">Recent highlights </w:t>
      </w:r>
      <w:r w:rsidR="004434C6" w:rsidRPr="006222EA">
        <w:t xml:space="preserve">of this </w:t>
      </w:r>
      <w:r w:rsidR="004C5396" w:rsidRPr="006222EA">
        <w:t xml:space="preserve">long-term </w:t>
      </w:r>
      <w:r w:rsidR="004434C6" w:rsidRPr="006222EA">
        <w:t xml:space="preserve">support </w:t>
      </w:r>
      <w:r w:rsidRPr="006222EA">
        <w:t xml:space="preserve">include: </w:t>
      </w:r>
    </w:p>
    <w:p w14:paraId="420DC6BF" w14:textId="77777777" w:rsidR="004C5396" w:rsidRPr="006222EA" w:rsidRDefault="004434C6" w:rsidP="005B66B3">
      <w:pPr>
        <w:pStyle w:val="ListBullet"/>
      </w:pPr>
      <w:r w:rsidRPr="007411FA">
        <w:rPr>
          <w:b/>
        </w:rPr>
        <w:t>S</w:t>
      </w:r>
      <w:r w:rsidR="00765923" w:rsidRPr="007411FA">
        <w:rPr>
          <w:b/>
        </w:rPr>
        <w:t xml:space="preserve">upport to </w:t>
      </w:r>
      <w:r w:rsidR="00F51A9A">
        <w:rPr>
          <w:b/>
        </w:rPr>
        <w:t xml:space="preserve">the </w:t>
      </w:r>
      <w:r w:rsidR="00765923" w:rsidRPr="009C4DCB">
        <w:rPr>
          <w:b/>
        </w:rPr>
        <w:t>FFA</w:t>
      </w:r>
      <w:r w:rsidR="00765923" w:rsidRPr="006222EA">
        <w:t xml:space="preserve"> </w:t>
      </w:r>
      <w:r w:rsidR="00765923" w:rsidRPr="009C4DCB">
        <w:rPr>
          <w:b/>
        </w:rPr>
        <w:t xml:space="preserve">has </w:t>
      </w:r>
      <w:r w:rsidR="004C5396" w:rsidRPr="009C4DCB">
        <w:rPr>
          <w:b/>
        </w:rPr>
        <w:t xml:space="preserve">underpinned regional </w:t>
      </w:r>
      <w:r w:rsidR="00765923" w:rsidRPr="009C4DCB">
        <w:rPr>
          <w:b/>
        </w:rPr>
        <w:t>engagement</w:t>
      </w:r>
      <w:r w:rsidR="00765923" w:rsidRPr="006222EA">
        <w:t xml:space="preserve"> in </w:t>
      </w:r>
      <w:r w:rsidR="00183359" w:rsidRPr="006222EA">
        <w:t xml:space="preserve">critical </w:t>
      </w:r>
      <w:r w:rsidR="00765923" w:rsidRPr="006222EA">
        <w:t>fisheries management arrangements</w:t>
      </w:r>
      <w:r w:rsidR="007104B7">
        <w:t>,</w:t>
      </w:r>
      <w:r w:rsidR="00765923" w:rsidRPr="006222EA">
        <w:t xml:space="preserve"> including the U</w:t>
      </w:r>
      <w:r w:rsidR="004C764A">
        <w:t>nited States</w:t>
      </w:r>
      <w:r w:rsidR="00765923" w:rsidRPr="006222EA">
        <w:t xml:space="preserve"> Tuna Treaty, Western and Central Pacific Fisheries Commission</w:t>
      </w:r>
      <w:r w:rsidR="004C764A">
        <w:t xml:space="preserve"> and</w:t>
      </w:r>
      <w:r w:rsidR="00765923" w:rsidRPr="006222EA">
        <w:t xml:space="preserve"> Parties to the Nauru Agreement</w:t>
      </w:r>
      <w:r w:rsidR="004C764A">
        <w:t>. Support has also provided</w:t>
      </w:r>
      <w:r w:rsidR="00765923" w:rsidRPr="006222EA">
        <w:t xml:space="preserve"> key </w:t>
      </w:r>
      <w:r w:rsidRPr="006222EA">
        <w:t>stock assessments through SPC</w:t>
      </w:r>
      <w:r w:rsidR="004C764A">
        <w:t>’s</w:t>
      </w:r>
      <w:r w:rsidRPr="006222EA">
        <w:t xml:space="preserve"> </w:t>
      </w:r>
      <w:r w:rsidR="004C764A" w:rsidRPr="006222EA">
        <w:rPr>
          <w:szCs w:val="22"/>
        </w:rPr>
        <w:t>Fisheries, Aquaculture and Marine Ecosystems Division</w:t>
      </w:r>
      <w:r w:rsidR="00183359" w:rsidRPr="006222EA">
        <w:t>.</w:t>
      </w:r>
      <w:r w:rsidR="00765923" w:rsidRPr="006222EA">
        <w:t xml:space="preserve"> </w:t>
      </w:r>
    </w:p>
    <w:p w14:paraId="420DC6C0" w14:textId="77777777" w:rsidR="00765923" w:rsidRPr="006222EA" w:rsidRDefault="007104B7" w:rsidP="005B66B3">
      <w:pPr>
        <w:pStyle w:val="ListBullet"/>
      </w:pPr>
      <w:r>
        <w:rPr>
          <w:b/>
        </w:rPr>
        <w:t>E</w:t>
      </w:r>
      <w:r w:rsidR="0011370A">
        <w:rPr>
          <w:b/>
        </w:rPr>
        <w:t xml:space="preserve">xtension of the </w:t>
      </w:r>
      <w:r w:rsidR="0011370A" w:rsidRPr="007104B7">
        <w:rPr>
          <w:b/>
        </w:rPr>
        <w:t>United States Tuna Treaty</w:t>
      </w:r>
      <w:r w:rsidR="0011370A">
        <w:rPr>
          <w:b/>
        </w:rPr>
        <w:t xml:space="preserve">, </w:t>
      </w:r>
      <w:r w:rsidR="0011370A" w:rsidRPr="006222EA">
        <w:t>after protracted negotiations</w:t>
      </w:r>
      <w:r w:rsidR="0011370A">
        <w:t xml:space="preserve">, </w:t>
      </w:r>
      <w:r w:rsidR="0011370A" w:rsidRPr="007104B7">
        <w:t>for a</w:t>
      </w:r>
      <w:r>
        <w:t>nother</w:t>
      </w:r>
      <w:r w:rsidR="0011370A" w:rsidRPr="007104B7">
        <w:t xml:space="preserve"> 18 months in 2012–13</w:t>
      </w:r>
      <w:r w:rsidR="0011370A" w:rsidRPr="007104B7">
        <w:rPr>
          <w:b/>
        </w:rPr>
        <w:t xml:space="preserve"> </w:t>
      </w:r>
      <w:r w:rsidR="0011370A">
        <w:t xml:space="preserve">will </w:t>
      </w:r>
      <w:r w:rsidR="0011370A" w:rsidRPr="006222EA">
        <w:t xml:space="preserve">greatly increase revenue flows. </w:t>
      </w:r>
    </w:p>
    <w:p w14:paraId="420DC6C1" w14:textId="77777777" w:rsidR="00183359" w:rsidRPr="006222EA" w:rsidRDefault="00183359" w:rsidP="005B66B3">
      <w:pPr>
        <w:pStyle w:val="ListBullet"/>
      </w:pPr>
      <w:r w:rsidRPr="009C4DCB">
        <w:rPr>
          <w:b/>
        </w:rPr>
        <w:t>Direct fisheries r</w:t>
      </w:r>
      <w:r w:rsidR="00765923" w:rsidRPr="009C4DCB">
        <w:rPr>
          <w:b/>
        </w:rPr>
        <w:t>evenues to PICs</w:t>
      </w:r>
      <w:r w:rsidR="00765923" w:rsidRPr="006222EA">
        <w:t xml:space="preserve"> have continued to grow and </w:t>
      </w:r>
      <w:r w:rsidR="004C5396" w:rsidRPr="006222EA">
        <w:t xml:space="preserve">now exceed </w:t>
      </w:r>
      <w:r w:rsidR="00765923" w:rsidRPr="006222EA">
        <w:rPr>
          <w:b/>
        </w:rPr>
        <w:t>$250</w:t>
      </w:r>
      <w:r w:rsidR="007104B7">
        <w:rPr>
          <w:b/>
        </w:rPr>
        <w:t> </w:t>
      </w:r>
      <w:r w:rsidR="00765923" w:rsidRPr="007104B7">
        <w:rPr>
          <w:b/>
        </w:rPr>
        <w:t>million</w:t>
      </w:r>
      <w:r w:rsidR="00765923" w:rsidRPr="009C4DCB">
        <w:rPr>
          <w:b/>
        </w:rPr>
        <w:t xml:space="preserve"> per annum</w:t>
      </w:r>
      <w:r w:rsidRPr="006222EA">
        <w:t xml:space="preserve">. </w:t>
      </w:r>
    </w:p>
    <w:p w14:paraId="420DC6C2" w14:textId="152D2AD6" w:rsidR="00765923" w:rsidRPr="006222EA" w:rsidRDefault="004C764A" w:rsidP="005B66B3">
      <w:pPr>
        <w:pStyle w:val="ListBullet"/>
      </w:pPr>
      <w:r w:rsidRPr="009C4DCB">
        <w:rPr>
          <w:b/>
          <w:caps/>
        </w:rPr>
        <w:t>A</w:t>
      </w:r>
      <w:r w:rsidR="00765923" w:rsidRPr="009C4DCB">
        <w:rPr>
          <w:b/>
        </w:rPr>
        <w:t>nnual exports</w:t>
      </w:r>
      <w:r w:rsidR="00765923" w:rsidRPr="006222EA">
        <w:t xml:space="preserve"> to the E</w:t>
      </w:r>
      <w:r w:rsidR="003B10DF">
        <w:t>uropean Union</w:t>
      </w:r>
      <w:r w:rsidR="00765923" w:rsidRPr="006222EA">
        <w:t xml:space="preserve">, </w:t>
      </w:r>
      <w:r>
        <w:t xml:space="preserve">Japan and the </w:t>
      </w:r>
      <w:r w:rsidR="00765923" w:rsidRPr="006222EA">
        <w:t>U</w:t>
      </w:r>
      <w:r w:rsidR="003B10DF">
        <w:t xml:space="preserve">nited </w:t>
      </w:r>
      <w:r w:rsidR="00765923" w:rsidRPr="006222EA">
        <w:t>S</w:t>
      </w:r>
      <w:r w:rsidR="003B10DF">
        <w:t>tates</w:t>
      </w:r>
      <w:r>
        <w:t xml:space="preserve"> have continued to grow steadily over the past decade (</w:t>
      </w:r>
      <w:r w:rsidRPr="00B95D4A">
        <w:rPr>
          <w:b/>
        </w:rPr>
        <w:t>now estimated to be US$285</w:t>
      </w:r>
      <w:r w:rsidR="007104B7">
        <w:rPr>
          <w:b/>
        </w:rPr>
        <w:t> </w:t>
      </w:r>
      <w:r w:rsidRPr="00B95D4A">
        <w:rPr>
          <w:b/>
        </w:rPr>
        <w:t>million</w:t>
      </w:r>
      <w:r>
        <w:t>), as has</w:t>
      </w:r>
      <w:r w:rsidR="00765923" w:rsidRPr="006222EA">
        <w:t xml:space="preserve"> employment (</w:t>
      </w:r>
      <w:r w:rsidR="00765923" w:rsidRPr="006222EA">
        <w:rPr>
          <w:b/>
        </w:rPr>
        <w:t>now estima</w:t>
      </w:r>
      <w:r w:rsidR="007129D7" w:rsidRPr="006222EA">
        <w:rPr>
          <w:b/>
        </w:rPr>
        <w:t>ted to be 13</w:t>
      </w:r>
      <w:r w:rsidR="00803BDC">
        <w:rPr>
          <w:b/>
        </w:rPr>
        <w:t>,</w:t>
      </w:r>
      <w:r w:rsidR="00765923" w:rsidRPr="006222EA">
        <w:rPr>
          <w:b/>
        </w:rPr>
        <w:t>000</w:t>
      </w:r>
      <w:r w:rsidR="00765923" w:rsidRPr="006222EA">
        <w:t>)</w:t>
      </w:r>
      <w:r w:rsidR="00716686" w:rsidRPr="006222EA">
        <w:t xml:space="preserve">. </w:t>
      </w:r>
    </w:p>
    <w:p w14:paraId="420DC6C3" w14:textId="77777777" w:rsidR="00765923" w:rsidRPr="006222EA" w:rsidRDefault="004C764A" w:rsidP="005B66B3">
      <w:pPr>
        <w:pStyle w:val="ListBullet"/>
      </w:pPr>
      <w:r w:rsidRPr="00923084">
        <w:t>C</w:t>
      </w:r>
      <w:r w:rsidR="00765923" w:rsidRPr="00923084">
        <w:t>ontinued enhancement to the science of tuna stock assessment and strengthening of bio-economic analyses of management options</w:t>
      </w:r>
      <w:r w:rsidR="00716686" w:rsidRPr="00923084">
        <w:t xml:space="preserve">. </w:t>
      </w:r>
      <w:r w:rsidR="00716686" w:rsidRPr="00923084">
        <w:rPr>
          <w:b/>
        </w:rPr>
        <w:t>S</w:t>
      </w:r>
      <w:r w:rsidR="00765923" w:rsidRPr="00923084">
        <w:rPr>
          <w:b/>
        </w:rPr>
        <w:t xml:space="preserve">kipjack, </w:t>
      </w:r>
      <w:proofErr w:type="spellStart"/>
      <w:r w:rsidR="00765923" w:rsidRPr="00923084">
        <w:rPr>
          <w:b/>
        </w:rPr>
        <w:t>yellowfin</w:t>
      </w:r>
      <w:proofErr w:type="spellEnd"/>
      <w:r w:rsidR="00765923" w:rsidRPr="00923084">
        <w:rPr>
          <w:b/>
        </w:rPr>
        <w:t xml:space="preserve"> and albacore</w:t>
      </w:r>
      <w:r w:rsidR="00765923" w:rsidRPr="00923084">
        <w:t xml:space="preserve"> remain</w:t>
      </w:r>
      <w:r w:rsidR="00765923" w:rsidRPr="006222EA">
        <w:t xml:space="preserve"> in a </w:t>
      </w:r>
      <w:r w:rsidR="00716686" w:rsidRPr="006222EA">
        <w:t xml:space="preserve">relatively </w:t>
      </w:r>
      <w:r w:rsidR="00765923" w:rsidRPr="006222EA">
        <w:t xml:space="preserve">healthy state, with the fourth </w:t>
      </w:r>
      <w:r w:rsidR="00765923" w:rsidRPr="006222EA">
        <w:rPr>
          <w:b/>
        </w:rPr>
        <w:t>(</w:t>
      </w:r>
      <w:r w:rsidR="0077737D" w:rsidRPr="006222EA">
        <w:rPr>
          <w:b/>
        </w:rPr>
        <w:t>big eye</w:t>
      </w:r>
      <w:r w:rsidR="00765923" w:rsidRPr="006222EA">
        <w:t xml:space="preserve">) </w:t>
      </w:r>
      <w:r w:rsidR="004C5396" w:rsidRPr="006222EA">
        <w:t xml:space="preserve">requiring </w:t>
      </w:r>
      <w:r w:rsidR="00765923" w:rsidRPr="006222EA">
        <w:t>close</w:t>
      </w:r>
      <w:r w:rsidR="005C3D83" w:rsidRPr="006222EA">
        <w:t>r</w:t>
      </w:r>
      <w:r w:rsidR="00765923" w:rsidRPr="006222EA">
        <w:t xml:space="preserve"> evaluation</w:t>
      </w:r>
      <w:r w:rsidR="00373CEF" w:rsidRPr="006222EA">
        <w:t>.</w:t>
      </w:r>
    </w:p>
    <w:p w14:paraId="420DC6C4" w14:textId="77777777" w:rsidR="00765923" w:rsidRPr="006222EA" w:rsidRDefault="00765923" w:rsidP="005B66B3">
      <w:pPr>
        <w:pStyle w:val="ListBullet"/>
      </w:pPr>
      <w:r w:rsidRPr="006222EA">
        <w:t xml:space="preserve">Continued enhancements to regional monitoring, control and surveillance of tuna fisheries including through: </w:t>
      </w:r>
      <w:r w:rsidR="005C3D83" w:rsidRPr="006222EA">
        <w:t xml:space="preserve">strengthening </w:t>
      </w:r>
      <w:r w:rsidRPr="006222EA">
        <w:rPr>
          <w:b/>
        </w:rPr>
        <w:t>the Niue Treaty</w:t>
      </w:r>
      <w:r w:rsidRPr="006222EA">
        <w:rPr>
          <w:rStyle w:val="FootnoteReference"/>
        </w:rPr>
        <w:footnoteReference w:id="20"/>
      </w:r>
      <w:r w:rsidRPr="00611886">
        <w:t>;</w:t>
      </w:r>
      <w:r w:rsidRPr="006222EA">
        <w:t xml:space="preserve"> effective joint operations leading to </w:t>
      </w:r>
      <w:r w:rsidRPr="006222EA">
        <w:rPr>
          <w:b/>
        </w:rPr>
        <w:t xml:space="preserve">394 </w:t>
      </w:r>
      <w:proofErr w:type="spellStart"/>
      <w:r w:rsidRPr="006222EA">
        <w:rPr>
          <w:b/>
        </w:rPr>
        <w:t>boardings</w:t>
      </w:r>
      <w:proofErr w:type="spellEnd"/>
      <w:r w:rsidRPr="006222EA">
        <w:rPr>
          <w:b/>
        </w:rPr>
        <w:t xml:space="preserve"> and 27 infringement notices</w:t>
      </w:r>
      <w:r w:rsidRPr="009C4DCB">
        <w:t>;</w:t>
      </w:r>
      <w:r w:rsidRPr="006222EA">
        <w:t xml:space="preserve"> </w:t>
      </w:r>
      <w:r w:rsidR="005C3D83" w:rsidRPr="006222EA">
        <w:t xml:space="preserve">stronger </w:t>
      </w:r>
      <w:r w:rsidRPr="006222EA">
        <w:t xml:space="preserve">compliance with </w:t>
      </w:r>
      <w:r w:rsidR="00716686" w:rsidRPr="006222EA">
        <w:t xml:space="preserve">conservation </w:t>
      </w:r>
      <w:r w:rsidRPr="006222EA">
        <w:t xml:space="preserve">measures; improved licensed vessel monitoring reporting rates (from 89.7 per cent in 2012 to 98.7 per cent in 2013); and improved on-board </w:t>
      </w:r>
      <w:r w:rsidRPr="006222EA">
        <w:rPr>
          <w:b/>
        </w:rPr>
        <w:t>observer coverage</w:t>
      </w:r>
      <w:r w:rsidRPr="006222EA">
        <w:t xml:space="preserve"> </w:t>
      </w:r>
      <w:r w:rsidR="00716686" w:rsidRPr="006222EA">
        <w:t>i</w:t>
      </w:r>
      <w:r w:rsidRPr="006222EA">
        <w:t>n the purse</w:t>
      </w:r>
      <w:r w:rsidR="00611886">
        <w:t xml:space="preserve"> </w:t>
      </w:r>
      <w:r w:rsidRPr="006222EA">
        <w:t>seine industry.</w:t>
      </w:r>
    </w:p>
    <w:p w14:paraId="420DC6C5" w14:textId="77777777" w:rsidR="00765923" w:rsidRDefault="009A4C7E" w:rsidP="005B66B3">
      <w:pPr>
        <w:pStyle w:val="ListBullet"/>
      </w:pPr>
      <w:r>
        <w:t xml:space="preserve">Support for </w:t>
      </w:r>
      <w:r w:rsidRPr="006222EA">
        <w:t>inshore fisheries management</w:t>
      </w:r>
      <w:r>
        <w:t xml:space="preserve"> from </w:t>
      </w:r>
      <w:r w:rsidR="00765923" w:rsidRPr="007104B7">
        <w:rPr>
          <w:b/>
        </w:rPr>
        <w:t>SPC</w:t>
      </w:r>
      <w:r w:rsidR="003B10DF" w:rsidRPr="007104B7">
        <w:rPr>
          <w:b/>
        </w:rPr>
        <w:t xml:space="preserve">’s </w:t>
      </w:r>
      <w:r w:rsidR="003B10DF" w:rsidRPr="007104B7">
        <w:rPr>
          <w:b/>
          <w:szCs w:val="22"/>
        </w:rPr>
        <w:t>Fisheries, Aquaculture and Marine Ecosystems Division</w:t>
      </w:r>
      <w:r w:rsidR="00765923" w:rsidRPr="006222EA">
        <w:t xml:space="preserve"> </w:t>
      </w:r>
      <w:r w:rsidR="002735C8" w:rsidRPr="006222EA">
        <w:t>assist</w:t>
      </w:r>
      <w:r>
        <w:t>ed</w:t>
      </w:r>
      <w:r w:rsidR="005C3D83" w:rsidRPr="006222EA">
        <w:t xml:space="preserve"> </w:t>
      </w:r>
      <w:r w:rsidR="00765923" w:rsidRPr="007104B7">
        <w:rPr>
          <w:b/>
        </w:rPr>
        <w:t xml:space="preserve">18 </w:t>
      </w:r>
      <w:r w:rsidR="005C3D83" w:rsidRPr="007104B7">
        <w:rPr>
          <w:b/>
        </w:rPr>
        <w:t xml:space="preserve">members </w:t>
      </w:r>
      <w:r w:rsidR="00765923" w:rsidRPr="007104B7">
        <w:rPr>
          <w:b/>
        </w:rPr>
        <w:t>with climate change and fisheries policy advice</w:t>
      </w:r>
      <w:r w:rsidR="00716686" w:rsidRPr="006222EA">
        <w:t xml:space="preserve">, </w:t>
      </w:r>
      <w:r w:rsidR="00765923" w:rsidRPr="006222EA">
        <w:t>beg</w:t>
      </w:r>
      <w:r w:rsidR="007104B7">
        <w:t>a</w:t>
      </w:r>
      <w:r w:rsidR="00765923" w:rsidRPr="006222EA">
        <w:t xml:space="preserve">n climate change adaptation work in </w:t>
      </w:r>
      <w:r w:rsidR="00716686" w:rsidRPr="006222EA">
        <w:t xml:space="preserve">four </w:t>
      </w:r>
      <w:r w:rsidR="00765923" w:rsidRPr="006222EA">
        <w:t>countries</w:t>
      </w:r>
      <w:r w:rsidR="00716686" w:rsidRPr="006222EA">
        <w:t xml:space="preserve"> and </w:t>
      </w:r>
      <w:r w:rsidR="007104B7">
        <w:t>started the</w:t>
      </w:r>
      <w:r w:rsidR="007104B7" w:rsidRPr="006222EA">
        <w:t xml:space="preserve"> </w:t>
      </w:r>
      <w:r w:rsidR="00765923" w:rsidRPr="006222EA">
        <w:t xml:space="preserve">development of 10 management plans of key species in six countries. Six </w:t>
      </w:r>
      <w:r w:rsidR="00716686" w:rsidRPr="006222EA">
        <w:t xml:space="preserve">members have </w:t>
      </w:r>
      <w:r w:rsidR="00765923" w:rsidRPr="006222EA">
        <w:t xml:space="preserve">now established export moratoria for threatened sea cucumber fisheries. </w:t>
      </w:r>
    </w:p>
    <w:p w14:paraId="420DC6C6" w14:textId="00D116CF" w:rsidR="00183359" w:rsidRPr="006222EA" w:rsidRDefault="007104B7" w:rsidP="005B66B3">
      <w:pPr>
        <w:pStyle w:val="ListBullet"/>
        <w:rPr>
          <w:szCs w:val="22"/>
        </w:rPr>
      </w:pPr>
      <w:r>
        <w:rPr>
          <w:szCs w:val="22"/>
        </w:rPr>
        <w:lastRenderedPageBreak/>
        <w:t>Launch of a</w:t>
      </w:r>
      <w:r w:rsidR="00183359" w:rsidRPr="006222EA">
        <w:rPr>
          <w:szCs w:val="22"/>
        </w:rPr>
        <w:t xml:space="preserve"> new</w:t>
      </w:r>
      <w:r w:rsidR="00500CA8">
        <w:rPr>
          <w:szCs w:val="22"/>
        </w:rPr>
        <w:t xml:space="preserve"> </w:t>
      </w:r>
      <w:r w:rsidR="00956EA4">
        <w:rPr>
          <w:szCs w:val="22"/>
        </w:rPr>
        <w:t>DFAT</w:t>
      </w:r>
      <w:r w:rsidR="00183359" w:rsidRPr="006222EA">
        <w:rPr>
          <w:szCs w:val="22"/>
        </w:rPr>
        <w:t xml:space="preserve"> program,</w:t>
      </w:r>
      <w:r w:rsidR="00456818">
        <w:rPr>
          <w:szCs w:val="22"/>
        </w:rPr>
        <w:t xml:space="preserve"> </w:t>
      </w:r>
      <w:r w:rsidR="00183359" w:rsidRPr="006222EA">
        <w:rPr>
          <w:szCs w:val="22"/>
        </w:rPr>
        <w:t>delivered through the</w:t>
      </w:r>
      <w:r w:rsidR="003B10DF">
        <w:rPr>
          <w:szCs w:val="22"/>
        </w:rPr>
        <w:t xml:space="preserve"> </w:t>
      </w:r>
      <w:r w:rsidR="003B10DF" w:rsidRPr="008F7F3E">
        <w:rPr>
          <w:szCs w:val="22"/>
        </w:rPr>
        <w:t>Australian Centre for International Agricultural Research</w:t>
      </w:r>
      <w:r w:rsidR="00183359" w:rsidRPr="006222EA">
        <w:rPr>
          <w:szCs w:val="22"/>
        </w:rPr>
        <w:t xml:space="preserve"> in partnership with the SPC, </w:t>
      </w:r>
      <w:proofErr w:type="spellStart"/>
      <w:r w:rsidR="00183359" w:rsidRPr="006222EA">
        <w:rPr>
          <w:szCs w:val="22"/>
        </w:rPr>
        <w:t>WorldFish</w:t>
      </w:r>
      <w:proofErr w:type="spellEnd"/>
      <w:r w:rsidR="00183359" w:rsidRPr="006222EA">
        <w:rPr>
          <w:szCs w:val="22"/>
        </w:rPr>
        <w:t xml:space="preserve"> and the University of Wollongong</w:t>
      </w:r>
      <w:r w:rsidR="00500CA8">
        <w:rPr>
          <w:szCs w:val="22"/>
        </w:rPr>
        <w:t>,</w:t>
      </w:r>
      <w:r w:rsidR="00456818">
        <w:rPr>
          <w:szCs w:val="22"/>
        </w:rPr>
        <w:t xml:space="preserve"> will</w:t>
      </w:r>
      <w:r w:rsidR="00456818" w:rsidRPr="006222EA">
        <w:rPr>
          <w:szCs w:val="22"/>
        </w:rPr>
        <w:t xml:space="preserve"> support communities to better manage their inshore resources</w:t>
      </w:r>
      <w:r w:rsidR="00183359" w:rsidRPr="006222EA">
        <w:rPr>
          <w:szCs w:val="22"/>
        </w:rPr>
        <w:t>. The initial pilot projects will focus on Kiribati</w:t>
      </w:r>
      <w:r w:rsidR="007129D7" w:rsidRPr="006222EA">
        <w:rPr>
          <w:szCs w:val="22"/>
        </w:rPr>
        <w:t>.</w:t>
      </w:r>
    </w:p>
    <w:p w14:paraId="420DC6C7" w14:textId="77777777" w:rsidR="00765923" w:rsidRPr="006222EA" w:rsidRDefault="00765923" w:rsidP="00765923">
      <w:pPr>
        <w:pStyle w:val="Heading2"/>
      </w:pPr>
      <w:r w:rsidRPr="006222EA">
        <w:t>Factors affecting progress and future directions</w:t>
      </w:r>
    </w:p>
    <w:p w14:paraId="420DC6C8" w14:textId="77777777" w:rsidR="00765923" w:rsidRPr="006222EA" w:rsidRDefault="00716686" w:rsidP="005B66B3">
      <w:pPr>
        <w:pStyle w:val="BodyText"/>
      </w:pPr>
      <w:r w:rsidRPr="006222EA">
        <w:t>E</w:t>
      </w:r>
      <w:r w:rsidR="004434C6" w:rsidRPr="006222EA">
        <w:t xml:space="preserve">ffective </w:t>
      </w:r>
      <w:r w:rsidRPr="006222EA">
        <w:t xml:space="preserve">regional </w:t>
      </w:r>
      <w:r w:rsidR="004434C6" w:rsidRPr="006222EA">
        <w:t xml:space="preserve">management </w:t>
      </w:r>
      <w:r w:rsidRPr="006222EA">
        <w:t xml:space="preserve">of highly migratory tuna resources </w:t>
      </w:r>
      <w:r w:rsidR="004434C6" w:rsidRPr="006222EA">
        <w:t xml:space="preserve">requires sustained </w:t>
      </w:r>
      <w:r w:rsidRPr="006222EA">
        <w:t xml:space="preserve">regional </w:t>
      </w:r>
      <w:r w:rsidR="004434C6" w:rsidRPr="006222EA">
        <w:t>solidarity</w:t>
      </w:r>
      <w:r w:rsidR="005C49A3" w:rsidRPr="006222EA">
        <w:t>,</w:t>
      </w:r>
      <w:r w:rsidR="004434C6" w:rsidRPr="006222EA">
        <w:t xml:space="preserve"> policy coordination, harmonised terms and conditions and a </w:t>
      </w:r>
      <w:r w:rsidR="00183359" w:rsidRPr="006222EA">
        <w:t xml:space="preserve">credible </w:t>
      </w:r>
      <w:r w:rsidR="004434C6" w:rsidRPr="006222EA">
        <w:t xml:space="preserve">scientific </w:t>
      </w:r>
      <w:r w:rsidR="00183359" w:rsidRPr="006222EA">
        <w:t xml:space="preserve">assessment of </w:t>
      </w:r>
      <w:r w:rsidR="004434C6" w:rsidRPr="006222EA">
        <w:t xml:space="preserve">the </w:t>
      </w:r>
      <w:r w:rsidR="007129D7" w:rsidRPr="006222EA">
        <w:t>resource</w:t>
      </w:r>
      <w:r w:rsidR="00C804A3">
        <w:t>s</w:t>
      </w:r>
      <w:r w:rsidR="007129D7" w:rsidRPr="006222EA">
        <w:t xml:space="preserve">. </w:t>
      </w:r>
      <w:r w:rsidR="00765923" w:rsidRPr="006222EA">
        <w:t xml:space="preserve">While </w:t>
      </w:r>
      <w:r w:rsidR="005C49A3" w:rsidRPr="006222EA">
        <w:t xml:space="preserve">there are ongoing </w:t>
      </w:r>
      <w:r w:rsidR="00765923" w:rsidRPr="006222EA">
        <w:t xml:space="preserve">opportunities to enhance </w:t>
      </w:r>
      <w:r w:rsidR="00183359" w:rsidRPr="006222EA">
        <w:t xml:space="preserve">the value and </w:t>
      </w:r>
      <w:r w:rsidR="00765923" w:rsidRPr="006222EA">
        <w:t>economic returns to the PICs from the Pacific tuna resource</w:t>
      </w:r>
      <w:r w:rsidR="005C49A3" w:rsidRPr="006222EA">
        <w:t>, t</w:t>
      </w:r>
      <w:r w:rsidR="00765923" w:rsidRPr="006222EA">
        <w:t xml:space="preserve">he challenges and complexities of the operating environment </w:t>
      </w:r>
      <w:r w:rsidR="009F5DB1" w:rsidRPr="006222EA">
        <w:t xml:space="preserve">are growing. </w:t>
      </w:r>
      <w:r w:rsidR="00765923" w:rsidRPr="006222EA">
        <w:t xml:space="preserve">Potential overfishing </w:t>
      </w:r>
      <w:r w:rsidR="00183359" w:rsidRPr="006222EA">
        <w:t>(</w:t>
      </w:r>
      <w:r w:rsidR="005C49A3" w:rsidRPr="006222EA">
        <w:t xml:space="preserve">as </w:t>
      </w:r>
      <w:r w:rsidR="00183359" w:rsidRPr="006222EA">
        <w:t xml:space="preserve">has occurred with devastating results in </w:t>
      </w:r>
      <w:r w:rsidR="005C49A3" w:rsidRPr="006222EA">
        <w:t>other global fisheries</w:t>
      </w:r>
      <w:r w:rsidR="00183359" w:rsidRPr="006222EA">
        <w:t>)</w:t>
      </w:r>
      <w:r w:rsidR="005C49A3" w:rsidRPr="006222EA">
        <w:t xml:space="preserve"> </w:t>
      </w:r>
      <w:r w:rsidR="002F1849" w:rsidRPr="006222EA">
        <w:t xml:space="preserve">is </w:t>
      </w:r>
      <w:r w:rsidR="00765923" w:rsidRPr="006222EA">
        <w:t>an immediate challenge</w:t>
      </w:r>
      <w:r w:rsidR="009F5DB1" w:rsidRPr="006222EA">
        <w:t xml:space="preserve">. </w:t>
      </w:r>
      <w:r w:rsidR="005C49A3" w:rsidRPr="006222EA">
        <w:t xml:space="preserve">The </w:t>
      </w:r>
      <w:r w:rsidR="00765923" w:rsidRPr="006222EA">
        <w:t xml:space="preserve">size </w:t>
      </w:r>
      <w:r w:rsidR="005C49A3" w:rsidRPr="006222EA">
        <w:t>and capacity of distant water fleets seeking to operate in the region continues to grow.</w:t>
      </w:r>
      <w:r w:rsidR="00765923" w:rsidRPr="006222EA">
        <w:t xml:space="preserve"> </w:t>
      </w:r>
      <w:r w:rsidR="00183359" w:rsidRPr="006222EA">
        <w:t>Financial transparency in the sector remains poor. These issues necessitate resource-intensive regional management of the sector.</w:t>
      </w:r>
    </w:p>
    <w:p w14:paraId="420DC6C9" w14:textId="3AC98969" w:rsidR="00765923" w:rsidRPr="006222EA" w:rsidRDefault="00C804A3" w:rsidP="005B66B3">
      <w:pPr>
        <w:pStyle w:val="BodyText"/>
        <w:rPr>
          <w:i/>
          <w:iCs/>
        </w:rPr>
      </w:pPr>
      <w:r>
        <w:t>With</w:t>
      </w:r>
      <w:r w:rsidRPr="006222EA">
        <w:t xml:space="preserve"> </w:t>
      </w:r>
      <w:r w:rsidR="00183359" w:rsidRPr="006222EA">
        <w:t>the inshore fishery</w:t>
      </w:r>
      <w:r w:rsidR="007129D7" w:rsidRPr="006222EA">
        <w:t>,</w:t>
      </w:r>
      <w:r w:rsidR="00183359" w:rsidRPr="006222EA">
        <w:t xml:space="preserve"> the combined effects of population growth, environmental degradation and climate change present challenges </w:t>
      </w:r>
      <w:r w:rsidR="00871FBE">
        <w:t>for food security</w:t>
      </w:r>
      <w:r>
        <w:t xml:space="preserve"> that, if not solved, will</w:t>
      </w:r>
      <w:r w:rsidR="00871FBE">
        <w:t xml:space="preserve"> affect </w:t>
      </w:r>
      <w:r w:rsidR="00183359" w:rsidRPr="006222EA">
        <w:t xml:space="preserve">future generations. </w:t>
      </w:r>
      <w:r w:rsidR="00765923" w:rsidRPr="006222EA">
        <w:t>Management of coastal and artisan</w:t>
      </w:r>
      <w:r w:rsidR="00E31BD8">
        <w:t>al</w:t>
      </w:r>
      <w:r w:rsidR="00765923" w:rsidRPr="006222EA">
        <w:t xml:space="preserve"> fisheries</w:t>
      </w:r>
      <w:r w:rsidR="005C49A3" w:rsidRPr="006222EA">
        <w:t xml:space="preserve"> </w:t>
      </w:r>
      <w:r w:rsidR="00765923" w:rsidRPr="006222EA">
        <w:t>remains weak</w:t>
      </w:r>
      <w:r w:rsidR="005C49A3" w:rsidRPr="006222EA">
        <w:t xml:space="preserve">. </w:t>
      </w:r>
      <w:r w:rsidR="00765923" w:rsidRPr="006222EA">
        <w:t xml:space="preserve">In many cases, national fisheries administrations focus on the offshore tuna industry and face funding and capacity constraints, with </w:t>
      </w:r>
      <w:r w:rsidR="005C49A3" w:rsidRPr="006222EA">
        <w:t>ongoing</w:t>
      </w:r>
      <w:r w:rsidR="00765923" w:rsidRPr="006222EA">
        <w:t xml:space="preserve"> reliance on the services provided by</w:t>
      </w:r>
      <w:r w:rsidR="00500CA8">
        <w:t xml:space="preserve"> the</w:t>
      </w:r>
      <w:r w:rsidR="00765923" w:rsidRPr="006222EA">
        <w:t xml:space="preserve"> FFA and SPC.</w:t>
      </w:r>
      <w:r w:rsidR="00765923" w:rsidRPr="006222EA">
        <w:rPr>
          <w:i/>
          <w:iCs/>
        </w:rPr>
        <w:t xml:space="preserve"> </w:t>
      </w:r>
      <w:r w:rsidR="00765923" w:rsidRPr="006222EA">
        <w:t>Climate change factors</w:t>
      </w:r>
      <w:r>
        <w:t>,</w:t>
      </w:r>
      <w:r w:rsidR="00765923" w:rsidRPr="006222EA">
        <w:t xml:space="preserve"> including rising sea temperature</w:t>
      </w:r>
      <w:r w:rsidR="007129D7" w:rsidRPr="006222EA">
        <w:t>s</w:t>
      </w:r>
      <w:r w:rsidR="00765923" w:rsidRPr="006222EA">
        <w:t xml:space="preserve"> and ocean acidification, combined within increasing </w:t>
      </w:r>
      <w:proofErr w:type="spellStart"/>
      <w:r w:rsidR="00765923" w:rsidRPr="006222EA">
        <w:t>nearshore</w:t>
      </w:r>
      <w:proofErr w:type="spellEnd"/>
      <w:r w:rsidR="00765923" w:rsidRPr="006222EA">
        <w:t xml:space="preserve"> development, population increases and other local environmental factors</w:t>
      </w:r>
      <w:r w:rsidR="00500CA8">
        <w:t>,</w:t>
      </w:r>
      <w:r w:rsidR="00765923" w:rsidRPr="006222EA">
        <w:t xml:space="preserve"> are pressur</w:t>
      </w:r>
      <w:r>
        <w:t>ing</w:t>
      </w:r>
      <w:r w:rsidR="00765923" w:rsidRPr="006222EA">
        <w:t xml:space="preserve"> inshore fisheries stocks. </w:t>
      </w:r>
      <w:r w:rsidR="005C49A3" w:rsidRPr="006222EA">
        <w:t>Ef</w:t>
      </w:r>
      <w:r w:rsidR="00765923" w:rsidRPr="006222EA">
        <w:t xml:space="preserve">forts are underway to ensure </w:t>
      </w:r>
      <w:r w:rsidR="00871FBE">
        <w:t>greater local involvement</w:t>
      </w:r>
      <w:r w:rsidR="005C49A3" w:rsidRPr="006222EA">
        <w:t xml:space="preserve"> in manag</w:t>
      </w:r>
      <w:r>
        <w:t>ing</w:t>
      </w:r>
      <w:r w:rsidR="005C49A3" w:rsidRPr="006222EA">
        <w:t xml:space="preserve"> inshore stocks</w:t>
      </w:r>
      <w:r>
        <w:t xml:space="preserve"> so</w:t>
      </w:r>
      <w:r w:rsidR="00FF4D8C" w:rsidRPr="006222EA">
        <w:t xml:space="preserve"> a</w:t>
      </w:r>
      <w:r w:rsidR="00765923" w:rsidRPr="006222EA">
        <w:t xml:space="preserve"> greater proportion of small and lower value catch </w:t>
      </w:r>
      <w:r w:rsidR="00183359" w:rsidRPr="006222EA">
        <w:t xml:space="preserve">from offshore fleets </w:t>
      </w:r>
      <w:r w:rsidR="005C49A3" w:rsidRPr="006222EA">
        <w:t xml:space="preserve">can be </w:t>
      </w:r>
      <w:r w:rsidR="00765923" w:rsidRPr="006222EA">
        <w:t xml:space="preserve">landed </w:t>
      </w:r>
      <w:r w:rsidR="002557A5">
        <w:t xml:space="preserve">and </w:t>
      </w:r>
      <w:r>
        <w:t>sold</w:t>
      </w:r>
      <w:r w:rsidR="00765923" w:rsidRPr="006222EA">
        <w:t xml:space="preserve"> in local markets. </w:t>
      </w:r>
    </w:p>
    <w:p w14:paraId="420DC6CA" w14:textId="77777777" w:rsidR="00765923" w:rsidRPr="006222EA" w:rsidRDefault="00765923" w:rsidP="00765923">
      <w:pPr>
        <w:pStyle w:val="Heading1"/>
      </w:pPr>
      <w:r w:rsidRPr="006222EA">
        <w:t>Sustainable economic development</w:t>
      </w:r>
    </w:p>
    <w:p w14:paraId="420DC6CB" w14:textId="77777777" w:rsidR="00765923" w:rsidRPr="006222EA" w:rsidRDefault="00765923" w:rsidP="00765923">
      <w:pPr>
        <w:pStyle w:val="Heading2"/>
      </w:pPr>
      <w:r w:rsidRPr="006222EA">
        <w:t>Program objectives</w:t>
      </w:r>
    </w:p>
    <w:p w14:paraId="420DC6CC" w14:textId="7064A61D" w:rsidR="00765923" w:rsidRPr="006222EA" w:rsidRDefault="005C49A3" w:rsidP="005B66B3">
      <w:pPr>
        <w:pStyle w:val="BodyText"/>
        <w:rPr>
          <w:rFonts w:eastAsiaTheme="minorHAnsi"/>
        </w:rPr>
      </w:pPr>
      <w:r w:rsidRPr="006222EA">
        <w:rPr>
          <w:rFonts w:eastAsiaTheme="minorHAnsi"/>
        </w:rPr>
        <w:t xml:space="preserve">An important component of </w:t>
      </w:r>
      <w:r w:rsidR="00765923" w:rsidRPr="006222EA">
        <w:rPr>
          <w:rFonts w:eastAsiaTheme="minorHAnsi"/>
        </w:rPr>
        <w:t>Australia</w:t>
      </w:r>
      <w:r w:rsidRPr="006222EA">
        <w:rPr>
          <w:rFonts w:eastAsiaTheme="minorHAnsi"/>
        </w:rPr>
        <w:t>’s</w:t>
      </w:r>
      <w:r w:rsidR="00765923" w:rsidRPr="006222EA">
        <w:rPr>
          <w:rFonts w:eastAsiaTheme="minorHAnsi"/>
        </w:rPr>
        <w:t xml:space="preserve"> </w:t>
      </w:r>
      <w:r w:rsidR="003C5641" w:rsidRPr="006222EA">
        <w:rPr>
          <w:rFonts w:eastAsiaTheme="minorHAnsi"/>
        </w:rPr>
        <w:t xml:space="preserve">efforts to reduce poverty and enhance </w:t>
      </w:r>
      <w:r w:rsidR="00765923" w:rsidRPr="006222EA">
        <w:rPr>
          <w:rFonts w:eastAsiaTheme="minorHAnsi"/>
        </w:rPr>
        <w:t>sustainable economic development in the Pacific</w:t>
      </w:r>
      <w:r w:rsidRPr="006222EA">
        <w:rPr>
          <w:rFonts w:eastAsiaTheme="minorHAnsi"/>
        </w:rPr>
        <w:t xml:space="preserve"> is through </w:t>
      </w:r>
      <w:r w:rsidR="00765923" w:rsidRPr="006222EA">
        <w:rPr>
          <w:rFonts w:eastAsiaTheme="minorHAnsi"/>
        </w:rPr>
        <w:t>promoti</w:t>
      </w:r>
      <w:r w:rsidR="00C804A3">
        <w:rPr>
          <w:rFonts w:eastAsiaTheme="minorHAnsi"/>
        </w:rPr>
        <w:t>ng</w:t>
      </w:r>
      <w:r w:rsidRPr="006222EA">
        <w:rPr>
          <w:rFonts w:eastAsiaTheme="minorHAnsi"/>
        </w:rPr>
        <w:t xml:space="preserve"> p</w:t>
      </w:r>
      <w:r w:rsidR="00765923" w:rsidRPr="006222EA">
        <w:rPr>
          <w:rFonts w:eastAsiaTheme="minorHAnsi"/>
        </w:rPr>
        <w:t>rivate sector</w:t>
      </w:r>
      <w:r w:rsidR="00C804A3">
        <w:rPr>
          <w:rFonts w:eastAsiaTheme="minorHAnsi"/>
        </w:rPr>
        <w:t>-</w:t>
      </w:r>
      <w:r w:rsidR="00765923" w:rsidRPr="006222EA">
        <w:rPr>
          <w:rFonts w:eastAsiaTheme="minorHAnsi"/>
        </w:rPr>
        <w:t xml:space="preserve">led growth. </w:t>
      </w:r>
      <w:r w:rsidR="00956EA4">
        <w:rPr>
          <w:rFonts w:eastAsiaTheme="minorHAnsi"/>
        </w:rPr>
        <w:t>Australia’s</w:t>
      </w:r>
      <w:r w:rsidR="00765923" w:rsidRPr="006222EA">
        <w:rPr>
          <w:rFonts w:eastAsiaTheme="minorHAnsi"/>
        </w:rPr>
        <w:t xml:space="preserve"> economic assistance programs in the Pacific are helping to</w:t>
      </w:r>
      <w:r w:rsidR="005A48B6" w:rsidRPr="006222EA">
        <w:rPr>
          <w:rFonts w:eastAsiaTheme="minorHAnsi"/>
        </w:rPr>
        <w:t xml:space="preserve"> improve access to finance for individuals and </w:t>
      </w:r>
      <w:r w:rsidR="003C5641" w:rsidRPr="006222EA">
        <w:rPr>
          <w:rFonts w:eastAsiaTheme="minorHAnsi"/>
        </w:rPr>
        <w:t>small and medium</w:t>
      </w:r>
      <w:r w:rsidR="007A123B">
        <w:rPr>
          <w:rFonts w:eastAsiaTheme="minorHAnsi"/>
        </w:rPr>
        <w:t>-</w:t>
      </w:r>
      <w:r w:rsidR="003C5641" w:rsidRPr="006222EA">
        <w:rPr>
          <w:rFonts w:eastAsiaTheme="minorHAnsi"/>
        </w:rPr>
        <w:t>size enterprises</w:t>
      </w:r>
      <w:r w:rsidR="005A48B6" w:rsidRPr="006222EA">
        <w:rPr>
          <w:rFonts w:eastAsiaTheme="minorHAnsi"/>
        </w:rPr>
        <w:t xml:space="preserve">, </w:t>
      </w:r>
      <w:r w:rsidR="003C5641" w:rsidRPr="006222EA">
        <w:rPr>
          <w:rFonts w:eastAsiaTheme="minorHAnsi"/>
        </w:rPr>
        <w:t xml:space="preserve">and </w:t>
      </w:r>
      <w:r w:rsidR="00765923" w:rsidRPr="006222EA">
        <w:rPr>
          <w:rFonts w:eastAsiaTheme="minorHAnsi"/>
        </w:rPr>
        <w:t>make it easier to do bus</w:t>
      </w:r>
      <w:r w:rsidR="005A48B6" w:rsidRPr="006222EA">
        <w:rPr>
          <w:rFonts w:eastAsiaTheme="minorHAnsi"/>
        </w:rPr>
        <w:t>iness and access markets.</w:t>
      </w:r>
    </w:p>
    <w:p w14:paraId="420DC6CD" w14:textId="690F557B" w:rsidR="00765923" w:rsidRPr="006222EA" w:rsidRDefault="00956EA4" w:rsidP="005B66B3">
      <w:pPr>
        <w:pStyle w:val="BodyText"/>
      </w:pPr>
      <w:r>
        <w:rPr>
          <w:rFonts w:eastAsiaTheme="minorHAnsi"/>
        </w:rPr>
        <w:t xml:space="preserve">Australia </w:t>
      </w:r>
      <w:r w:rsidR="00765923" w:rsidRPr="006222EA">
        <w:rPr>
          <w:rFonts w:eastAsiaTheme="minorHAnsi"/>
        </w:rPr>
        <w:t xml:space="preserve">works with a number of implementing partners including the </w:t>
      </w:r>
      <w:r w:rsidR="00AC2CD6">
        <w:rPr>
          <w:rFonts w:eastAsiaTheme="minorHAnsi"/>
        </w:rPr>
        <w:t xml:space="preserve">ADB, </w:t>
      </w:r>
      <w:r w:rsidR="00765923" w:rsidRPr="006222EA">
        <w:rPr>
          <w:rFonts w:eastAsiaTheme="minorHAnsi"/>
        </w:rPr>
        <w:t xml:space="preserve">International Finance </w:t>
      </w:r>
      <w:r w:rsidR="00E31BD8">
        <w:rPr>
          <w:rFonts w:eastAsiaTheme="minorHAnsi"/>
        </w:rPr>
        <w:t>Corporation</w:t>
      </w:r>
      <w:r w:rsidR="00765923" w:rsidRPr="006222EA">
        <w:rPr>
          <w:rFonts w:eastAsiaTheme="minorHAnsi"/>
        </w:rPr>
        <w:t>, U</w:t>
      </w:r>
      <w:r w:rsidR="00AC2CD6">
        <w:rPr>
          <w:rFonts w:eastAsiaTheme="minorHAnsi"/>
        </w:rPr>
        <w:t>N</w:t>
      </w:r>
      <w:r w:rsidR="00765923" w:rsidRPr="006222EA">
        <w:rPr>
          <w:rFonts w:eastAsiaTheme="minorHAnsi"/>
        </w:rPr>
        <w:t xml:space="preserve"> Capital Development Fund</w:t>
      </w:r>
      <w:r w:rsidR="00AC2CD6">
        <w:rPr>
          <w:rFonts w:eastAsiaTheme="minorHAnsi"/>
        </w:rPr>
        <w:t xml:space="preserve"> and World Bank</w:t>
      </w:r>
      <w:r w:rsidR="00765923" w:rsidRPr="006222EA">
        <w:rPr>
          <w:rFonts w:eastAsiaTheme="minorHAnsi"/>
        </w:rPr>
        <w:t xml:space="preserve">. Close engagement with the private sector in Australia and the region </w:t>
      </w:r>
      <w:r w:rsidR="003C5641" w:rsidRPr="006222EA">
        <w:rPr>
          <w:rFonts w:eastAsiaTheme="minorHAnsi"/>
        </w:rPr>
        <w:t xml:space="preserve">also </w:t>
      </w:r>
      <w:r w:rsidR="00765923" w:rsidRPr="006222EA">
        <w:rPr>
          <w:rFonts w:eastAsiaTheme="minorHAnsi"/>
        </w:rPr>
        <w:t xml:space="preserve">facilitates delivery of regional and multi-country programs. </w:t>
      </w:r>
    </w:p>
    <w:p w14:paraId="420DC6CE" w14:textId="77777777" w:rsidR="00765923" w:rsidRPr="006222EA" w:rsidRDefault="00765923" w:rsidP="00765923">
      <w:pPr>
        <w:pStyle w:val="Heading2"/>
      </w:pPr>
      <w:r w:rsidRPr="006222EA">
        <w:t>Key achievements</w:t>
      </w:r>
    </w:p>
    <w:p w14:paraId="420DC6CF" w14:textId="77777777" w:rsidR="00765923" w:rsidRPr="006222EA" w:rsidRDefault="00765923" w:rsidP="005B66B3">
      <w:pPr>
        <w:pStyle w:val="BodyText"/>
      </w:pPr>
      <w:r w:rsidRPr="006222EA">
        <w:t xml:space="preserve">The </w:t>
      </w:r>
      <w:r w:rsidRPr="006222EA">
        <w:rPr>
          <w:b/>
        </w:rPr>
        <w:t>Pacific Private Sector Development Initiative</w:t>
      </w:r>
      <w:r w:rsidRPr="006222EA">
        <w:t xml:space="preserve"> with the A</w:t>
      </w:r>
      <w:r w:rsidR="00871FBE">
        <w:t>DB</w:t>
      </w:r>
      <w:r w:rsidRPr="006222EA">
        <w:t xml:space="preserve"> and </w:t>
      </w:r>
      <w:r w:rsidRPr="006222EA">
        <w:rPr>
          <w:b/>
        </w:rPr>
        <w:t>Private Enterprise Partnership</w:t>
      </w:r>
      <w:r w:rsidRPr="006222EA">
        <w:t xml:space="preserve"> with the International Finance Corporation expand access to finance reform business law and state</w:t>
      </w:r>
      <w:r w:rsidR="00AC2CD6">
        <w:t>-</w:t>
      </w:r>
      <w:r w:rsidRPr="006222EA">
        <w:t>owned enterpri</w:t>
      </w:r>
      <w:r w:rsidR="005A48B6" w:rsidRPr="006222EA">
        <w:t>ses, promote competition policy</w:t>
      </w:r>
      <w:r w:rsidRPr="006222EA">
        <w:t xml:space="preserve"> and empower women economically. Key achievements include:</w:t>
      </w:r>
    </w:p>
    <w:p w14:paraId="420DC6D0" w14:textId="77777777" w:rsidR="00765923" w:rsidRPr="006222EA" w:rsidRDefault="00765923" w:rsidP="005B66B3">
      <w:pPr>
        <w:pStyle w:val="ListBullet"/>
      </w:pPr>
      <w:r w:rsidRPr="006222EA">
        <w:t>Reform of the Companies Acts in Samoa, Solomon Islands</w:t>
      </w:r>
      <w:r w:rsidR="00AC2CD6">
        <w:t xml:space="preserve"> and Tonga</w:t>
      </w:r>
      <w:r w:rsidRPr="006222EA">
        <w:t xml:space="preserve"> </w:t>
      </w:r>
      <w:r w:rsidRPr="006222EA">
        <w:rPr>
          <w:b/>
        </w:rPr>
        <w:t xml:space="preserve">doubled the number of new companies </w:t>
      </w:r>
      <w:r w:rsidRPr="006222EA">
        <w:t>being incorporated. In Solomon Islands, registering a business now takes less than one day, resulting in a jump of 38</w:t>
      </w:r>
      <w:r w:rsidR="00DA07F1">
        <w:t> </w:t>
      </w:r>
      <w:r w:rsidRPr="006222EA">
        <w:t>places in the World Bank Ease of Starting a Business indicator</w:t>
      </w:r>
      <w:r w:rsidR="005A48B6" w:rsidRPr="006222EA">
        <w:t>.</w:t>
      </w:r>
    </w:p>
    <w:p w14:paraId="420DC6D1" w14:textId="5EB3E195" w:rsidR="00765923" w:rsidRPr="006222EA" w:rsidRDefault="00765923" w:rsidP="005B66B3">
      <w:pPr>
        <w:pStyle w:val="ListBullet"/>
      </w:pPr>
      <w:r w:rsidRPr="006222EA">
        <w:lastRenderedPageBreak/>
        <w:t xml:space="preserve">Reform of secured transactions in the Marshall Islands, Palau, Solomon Islands, Tonga and Vanuatu now allows moveable property such as </w:t>
      </w:r>
      <w:proofErr w:type="gramStart"/>
      <w:r w:rsidRPr="006222EA">
        <w:t>crops,</w:t>
      </w:r>
      <w:proofErr w:type="gramEnd"/>
      <w:r w:rsidRPr="006222EA">
        <w:t xml:space="preserve"> livestock, handicrafts, and market produce to be used as collateral for loans, resulting in </w:t>
      </w:r>
      <w:r w:rsidR="00AC2CD6">
        <w:t>more than</w:t>
      </w:r>
      <w:r w:rsidR="00AC2CD6" w:rsidRPr="006222EA">
        <w:t xml:space="preserve"> </w:t>
      </w:r>
      <w:r w:rsidRPr="006222EA">
        <w:rPr>
          <w:b/>
        </w:rPr>
        <w:t>8</w:t>
      </w:r>
      <w:r w:rsidR="00803BDC">
        <w:rPr>
          <w:b/>
        </w:rPr>
        <w:t>,</w:t>
      </w:r>
      <w:r w:rsidRPr="006222EA">
        <w:rPr>
          <w:b/>
        </w:rPr>
        <w:t>000 new loans.</w:t>
      </w:r>
    </w:p>
    <w:p w14:paraId="420DC6D2" w14:textId="77777777" w:rsidR="00765923" w:rsidRPr="006222EA" w:rsidRDefault="00765923" w:rsidP="005B66B3">
      <w:pPr>
        <w:pStyle w:val="BodyText"/>
      </w:pPr>
      <w:r w:rsidRPr="006222EA">
        <w:t xml:space="preserve">The </w:t>
      </w:r>
      <w:r w:rsidRPr="006222EA">
        <w:rPr>
          <w:b/>
        </w:rPr>
        <w:t>Pacific Agreement on Closer Economic Relations (PACER) Plus</w:t>
      </w:r>
      <w:r w:rsidRPr="006222EA">
        <w:t xml:space="preserve"> trade agreement with Australia and New Zealand is promoting economic growth in the Pacific through greater trade and economic integration. Key achievements include:</w:t>
      </w:r>
    </w:p>
    <w:p w14:paraId="420DC6D3" w14:textId="77777777" w:rsidR="00C249B4" w:rsidRPr="00923084" w:rsidRDefault="00765923" w:rsidP="005B66B3">
      <w:pPr>
        <w:pStyle w:val="ListBullet"/>
      </w:pPr>
      <w:r w:rsidRPr="006222EA">
        <w:t xml:space="preserve">Up to </w:t>
      </w:r>
      <w:r w:rsidRPr="006222EA">
        <w:rPr>
          <w:b/>
        </w:rPr>
        <w:t xml:space="preserve">14 </w:t>
      </w:r>
      <w:r w:rsidR="00373CEF" w:rsidRPr="006222EA">
        <w:rPr>
          <w:b/>
        </w:rPr>
        <w:t xml:space="preserve">PIC </w:t>
      </w:r>
      <w:r w:rsidRPr="006222EA">
        <w:rPr>
          <w:b/>
        </w:rPr>
        <w:t>trade officials</w:t>
      </w:r>
      <w:r w:rsidRPr="006222EA">
        <w:t xml:space="preserve"> </w:t>
      </w:r>
      <w:r w:rsidR="00AC2CD6">
        <w:t>were</w:t>
      </w:r>
      <w:r w:rsidR="00AC2CD6" w:rsidRPr="006222EA">
        <w:t xml:space="preserve"> </w:t>
      </w:r>
      <w:r w:rsidRPr="00923084">
        <w:t>train</w:t>
      </w:r>
      <w:r w:rsidR="00AC2CD6" w:rsidRPr="00923084">
        <w:t>ed</w:t>
      </w:r>
      <w:r w:rsidRPr="00923084">
        <w:t xml:space="preserve"> in trade policy through five modules delivered by the </w:t>
      </w:r>
      <w:r w:rsidR="005A48B6" w:rsidRPr="00923084">
        <w:t xml:space="preserve">University of Adelaide. </w:t>
      </w:r>
      <w:r w:rsidRPr="00923084">
        <w:t xml:space="preserve">Feedback </w:t>
      </w:r>
      <w:r w:rsidR="005A48B6" w:rsidRPr="00923084">
        <w:t xml:space="preserve">indicated </w:t>
      </w:r>
      <w:r w:rsidRPr="00923084">
        <w:t xml:space="preserve">that the training </w:t>
      </w:r>
      <w:r w:rsidR="005A48B6" w:rsidRPr="00923084">
        <w:t xml:space="preserve">enhanced </w:t>
      </w:r>
      <w:r w:rsidR="003C5641" w:rsidRPr="00923084">
        <w:t xml:space="preserve">PIC </w:t>
      </w:r>
      <w:r w:rsidRPr="00923084">
        <w:t>ca</w:t>
      </w:r>
      <w:r w:rsidR="00C249B4" w:rsidRPr="00923084">
        <w:t>pacity to negotiate PACER Plus.</w:t>
      </w:r>
    </w:p>
    <w:p w14:paraId="420DC6D4" w14:textId="77777777" w:rsidR="00765923" w:rsidRPr="006222EA" w:rsidRDefault="00C249B4" w:rsidP="005B66B3">
      <w:pPr>
        <w:pStyle w:val="ListBullet"/>
      </w:pPr>
      <w:r w:rsidRPr="00923084">
        <w:t xml:space="preserve">Support to </w:t>
      </w:r>
      <w:r w:rsidRPr="00923084">
        <w:rPr>
          <w:b/>
        </w:rPr>
        <w:t>the Office of the Chief Trade Adviser</w:t>
      </w:r>
      <w:r w:rsidRPr="00923084">
        <w:t xml:space="preserve"> h</w:t>
      </w:r>
      <w:r w:rsidR="00373CEF" w:rsidRPr="00923084">
        <w:t>as help</w:t>
      </w:r>
      <w:r w:rsidRPr="00923084">
        <w:t>ed</w:t>
      </w:r>
      <w:r w:rsidRPr="006222EA">
        <w:t xml:space="preserve"> PICs to</w:t>
      </w:r>
      <w:r w:rsidR="00373CEF" w:rsidRPr="006222EA">
        <w:t xml:space="preserve"> negotiate PACER Plus,</w:t>
      </w:r>
      <w:r w:rsidRPr="006222EA">
        <w:t xml:space="preserve"> by </w:t>
      </w:r>
      <w:r w:rsidR="00373CEF" w:rsidRPr="006222EA">
        <w:t xml:space="preserve">providing </w:t>
      </w:r>
      <w:r w:rsidRPr="006222EA">
        <w:t>high</w:t>
      </w:r>
      <w:r w:rsidR="00AC2CD6">
        <w:t>-</w:t>
      </w:r>
      <w:r w:rsidRPr="006222EA">
        <w:t>quality technical advice.</w:t>
      </w:r>
    </w:p>
    <w:p w14:paraId="420DC6D5" w14:textId="77777777" w:rsidR="00765923" w:rsidRPr="006222EA" w:rsidRDefault="00765923" w:rsidP="005B66B3">
      <w:pPr>
        <w:pStyle w:val="BodyText"/>
      </w:pPr>
      <w:r w:rsidRPr="006222EA">
        <w:t xml:space="preserve">The </w:t>
      </w:r>
      <w:r w:rsidRPr="006222EA">
        <w:rPr>
          <w:b/>
        </w:rPr>
        <w:t>Pacific Horticultural and Agricultural Market Access Program</w:t>
      </w:r>
      <w:r w:rsidRPr="006222EA">
        <w:t xml:space="preserve"> </w:t>
      </w:r>
      <w:proofErr w:type="gramStart"/>
      <w:r w:rsidRPr="006222EA">
        <w:t>is</w:t>
      </w:r>
      <w:proofErr w:type="gramEnd"/>
      <w:r w:rsidRPr="006222EA">
        <w:t xml:space="preserve"> helping primary producers to meet international export requirements. Key achievements include:</w:t>
      </w:r>
    </w:p>
    <w:p w14:paraId="420DC6D6" w14:textId="77777777" w:rsidR="00765923" w:rsidRPr="006222EA" w:rsidRDefault="00765923" w:rsidP="005B66B3">
      <w:pPr>
        <w:pStyle w:val="ListBullet"/>
      </w:pPr>
      <w:r w:rsidRPr="006222EA">
        <w:t xml:space="preserve">Helping Vanuatu retain its export accreditation for </w:t>
      </w:r>
      <w:r w:rsidRPr="006222EA">
        <w:rPr>
          <w:b/>
        </w:rPr>
        <w:t>beef exports</w:t>
      </w:r>
      <w:r w:rsidRPr="006222EA">
        <w:t xml:space="preserve"> to Australia and other markets. </w:t>
      </w:r>
      <w:r w:rsidR="00AC2CD6">
        <w:t>The program</w:t>
      </w:r>
      <w:r w:rsidRPr="006222EA">
        <w:t xml:space="preserve"> has increased the pool of meat inspectors in rural</w:t>
      </w:r>
      <w:r w:rsidR="003C5641" w:rsidRPr="006222EA">
        <w:t xml:space="preserve"> areas.</w:t>
      </w:r>
      <w:r w:rsidRPr="006222EA">
        <w:t xml:space="preserve"> </w:t>
      </w:r>
    </w:p>
    <w:p w14:paraId="420DC6D7" w14:textId="0C4F4420" w:rsidR="00765923" w:rsidRPr="006222EA" w:rsidRDefault="00C54224" w:rsidP="005B66B3">
      <w:pPr>
        <w:pStyle w:val="ListBullet"/>
      </w:pPr>
      <w:r>
        <w:t>Developing</w:t>
      </w:r>
      <w:r w:rsidR="00DC7B2F">
        <w:t xml:space="preserve"> and implementing</w:t>
      </w:r>
      <w:r>
        <w:t xml:space="preserve"> </w:t>
      </w:r>
      <w:r w:rsidRPr="00DA07F1">
        <w:rPr>
          <w:b/>
        </w:rPr>
        <w:t>n</w:t>
      </w:r>
      <w:r w:rsidR="003C5641" w:rsidRPr="00DA07F1">
        <w:rPr>
          <w:b/>
        </w:rPr>
        <w:t xml:space="preserve">ew </w:t>
      </w:r>
      <w:r w:rsidR="00765923" w:rsidRPr="00DA07F1">
        <w:rPr>
          <w:b/>
        </w:rPr>
        <w:t>product standards f</w:t>
      </w:r>
      <w:r w:rsidR="005A48B6" w:rsidRPr="00DA07F1">
        <w:rPr>
          <w:b/>
        </w:rPr>
        <w:t xml:space="preserve">or Fijian </w:t>
      </w:r>
      <w:r w:rsidR="005A48B6" w:rsidRPr="00BD0387">
        <w:rPr>
          <w:b/>
        </w:rPr>
        <w:t>taro</w:t>
      </w:r>
      <w:r w:rsidR="005A48B6" w:rsidRPr="006222EA">
        <w:t xml:space="preserve"> </w:t>
      </w:r>
      <w:r>
        <w:t>which has</w:t>
      </w:r>
      <w:r w:rsidR="005A48B6" w:rsidRPr="006222EA">
        <w:t xml:space="preserve"> </w:t>
      </w:r>
      <w:r w:rsidR="00765923" w:rsidRPr="006222EA">
        <w:t>reduce</w:t>
      </w:r>
      <w:r>
        <w:t>d</w:t>
      </w:r>
      <w:r w:rsidR="005A48B6" w:rsidRPr="006222EA">
        <w:t xml:space="preserve"> fumigation losses and improve</w:t>
      </w:r>
      <w:r>
        <w:t>d</w:t>
      </w:r>
      <w:r w:rsidR="00765923" w:rsidRPr="006222EA">
        <w:t xml:space="preserve"> prices for </w:t>
      </w:r>
      <w:r>
        <w:t>more than</w:t>
      </w:r>
      <w:r w:rsidRPr="006222EA">
        <w:t xml:space="preserve"> </w:t>
      </w:r>
      <w:r w:rsidR="00765923" w:rsidRPr="009C4DCB">
        <w:t>3</w:t>
      </w:r>
      <w:r w:rsidR="00803BDC">
        <w:t>,</w:t>
      </w:r>
      <w:r w:rsidR="00765923" w:rsidRPr="009C4DCB">
        <w:t>600 growers</w:t>
      </w:r>
      <w:r w:rsidR="003C5641" w:rsidRPr="009C4DCB">
        <w:t xml:space="preserve">, </w:t>
      </w:r>
      <w:r w:rsidR="003C5641" w:rsidRPr="006222EA">
        <w:t>underpinning a</w:t>
      </w:r>
      <w:r w:rsidR="003C5641" w:rsidRPr="006222EA">
        <w:rPr>
          <w:b/>
        </w:rPr>
        <w:t xml:space="preserve"> </w:t>
      </w:r>
      <w:r w:rsidR="003C5641" w:rsidRPr="006222EA">
        <w:t>$12</w:t>
      </w:r>
      <w:r w:rsidR="00803BDC">
        <w:t> </w:t>
      </w:r>
      <w:r w:rsidR="003C5641" w:rsidRPr="006222EA">
        <w:t xml:space="preserve">million export industry. </w:t>
      </w:r>
    </w:p>
    <w:p w14:paraId="420DC6D8" w14:textId="77777777" w:rsidR="00765923" w:rsidRPr="006222EA" w:rsidRDefault="005A48B6" w:rsidP="005B66B3">
      <w:pPr>
        <w:pStyle w:val="ListBullet"/>
      </w:pPr>
      <w:r w:rsidRPr="006222EA">
        <w:t>P</w:t>
      </w:r>
      <w:r w:rsidR="00765923" w:rsidRPr="006222EA">
        <w:t>rovi</w:t>
      </w:r>
      <w:r w:rsidR="00C54224">
        <w:t>ding</w:t>
      </w:r>
      <w:r w:rsidR="00765923" w:rsidRPr="006222EA">
        <w:t xml:space="preserve"> </w:t>
      </w:r>
      <w:r w:rsidRPr="006222EA">
        <w:t xml:space="preserve">quarantine assistance for Tonga </w:t>
      </w:r>
      <w:r w:rsidR="003C5641" w:rsidRPr="006222EA">
        <w:t xml:space="preserve">for </w:t>
      </w:r>
      <w:r w:rsidR="00765923" w:rsidRPr="006222EA">
        <w:rPr>
          <w:b/>
        </w:rPr>
        <w:t>wa</w:t>
      </w:r>
      <w:r w:rsidRPr="006222EA">
        <w:rPr>
          <w:b/>
        </w:rPr>
        <w:t>termelon exports</w:t>
      </w:r>
      <w:r w:rsidRPr="006222EA">
        <w:t xml:space="preserve"> to New</w:t>
      </w:r>
      <w:r w:rsidR="00923084">
        <w:t> </w:t>
      </w:r>
      <w:r w:rsidRPr="006222EA">
        <w:t>Zealand</w:t>
      </w:r>
      <w:r w:rsidR="003C5641" w:rsidRPr="006222EA">
        <w:t xml:space="preserve"> which may add another </w:t>
      </w:r>
      <w:r w:rsidRPr="006222EA">
        <w:t>$1.1 m</w:t>
      </w:r>
      <w:r w:rsidR="00AC2CD6">
        <w:t>illion</w:t>
      </w:r>
      <w:r w:rsidRPr="006222EA">
        <w:t xml:space="preserve"> per year</w:t>
      </w:r>
      <w:r w:rsidR="003C5641" w:rsidRPr="006222EA">
        <w:t xml:space="preserve"> in revenues</w:t>
      </w:r>
      <w:r w:rsidRPr="006222EA">
        <w:t>.</w:t>
      </w:r>
    </w:p>
    <w:p w14:paraId="420DC6D9" w14:textId="77777777" w:rsidR="00765923" w:rsidRPr="006222EA" w:rsidRDefault="005A48B6" w:rsidP="005B66B3">
      <w:pPr>
        <w:pStyle w:val="ListBullet"/>
      </w:pPr>
      <w:r w:rsidRPr="006222EA">
        <w:t>S</w:t>
      </w:r>
      <w:r w:rsidR="00765923" w:rsidRPr="006222EA">
        <w:t xml:space="preserve">trengthening </w:t>
      </w:r>
      <w:r w:rsidR="00765923" w:rsidRPr="009C4DCB">
        <w:rPr>
          <w:b/>
        </w:rPr>
        <w:t>Solomon Islands Competent Authority</w:t>
      </w:r>
      <w:r w:rsidR="00765923" w:rsidRPr="006222EA">
        <w:t xml:space="preserve"> </w:t>
      </w:r>
      <w:r w:rsidR="00765923" w:rsidRPr="006222EA">
        <w:rPr>
          <w:b/>
        </w:rPr>
        <w:t>fish inspection</w:t>
      </w:r>
      <w:r w:rsidR="00765923" w:rsidRPr="006222EA">
        <w:t xml:space="preserve"> capacity to comply with </w:t>
      </w:r>
      <w:r w:rsidR="003C5641" w:rsidRPr="006222EA">
        <w:t>E</w:t>
      </w:r>
      <w:r w:rsidR="00C54224">
        <w:t xml:space="preserve">uropean </w:t>
      </w:r>
      <w:r w:rsidR="003C5641" w:rsidRPr="006222EA">
        <w:t>U</w:t>
      </w:r>
      <w:r w:rsidR="00C54224">
        <w:t>nion</w:t>
      </w:r>
      <w:r w:rsidR="003C5641" w:rsidRPr="006222EA">
        <w:t xml:space="preserve"> </w:t>
      </w:r>
      <w:r w:rsidR="00765923" w:rsidRPr="006222EA">
        <w:t xml:space="preserve">market access requirements </w:t>
      </w:r>
      <w:r w:rsidR="003C5641" w:rsidRPr="006222EA">
        <w:t xml:space="preserve">for </w:t>
      </w:r>
      <w:r w:rsidR="00765923" w:rsidRPr="006222EA">
        <w:t xml:space="preserve">$46 million </w:t>
      </w:r>
      <w:r w:rsidR="003C5641" w:rsidRPr="006222EA">
        <w:t xml:space="preserve">exports </w:t>
      </w:r>
      <w:r w:rsidR="00C54224">
        <w:t>a</w:t>
      </w:r>
      <w:r w:rsidR="00C54224" w:rsidRPr="006222EA">
        <w:t xml:space="preserve"> </w:t>
      </w:r>
      <w:r w:rsidRPr="006222EA">
        <w:t>year.</w:t>
      </w:r>
    </w:p>
    <w:p w14:paraId="420DC6DA" w14:textId="77777777" w:rsidR="00765923" w:rsidRPr="006222EA" w:rsidRDefault="00765923" w:rsidP="005B66B3">
      <w:pPr>
        <w:pStyle w:val="BodyText"/>
      </w:pPr>
      <w:r w:rsidRPr="006222EA">
        <w:t xml:space="preserve">Australia’s </w:t>
      </w:r>
      <w:r w:rsidRPr="006222EA">
        <w:rPr>
          <w:b/>
        </w:rPr>
        <w:t>Seasonal Worker Program</w:t>
      </w:r>
      <w:r w:rsidR="009F5DB1" w:rsidRPr="006222EA">
        <w:rPr>
          <w:b/>
        </w:rPr>
        <w:t xml:space="preserve"> </w:t>
      </w:r>
      <w:r w:rsidRPr="006222EA">
        <w:t xml:space="preserve">is creating opportunities for Pacific islanders to </w:t>
      </w:r>
      <w:r w:rsidR="00C54224">
        <w:t>gain</w:t>
      </w:r>
      <w:r w:rsidR="00C54224" w:rsidRPr="006222EA">
        <w:t xml:space="preserve"> </w:t>
      </w:r>
      <w:r w:rsidRPr="006222EA">
        <w:t>seasonal employment in Australia. Key achievements include:</w:t>
      </w:r>
    </w:p>
    <w:p w14:paraId="420DC6DB" w14:textId="0F212D76" w:rsidR="00765923" w:rsidRPr="006222EA" w:rsidRDefault="00C54224" w:rsidP="005B66B3">
      <w:pPr>
        <w:pStyle w:val="ListBullet"/>
      </w:pPr>
      <w:r>
        <w:t>More than</w:t>
      </w:r>
      <w:r w:rsidRPr="006222EA">
        <w:t xml:space="preserve"> </w:t>
      </w:r>
      <w:r w:rsidR="00765923" w:rsidRPr="006222EA">
        <w:rPr>
          <w:b/>
        </w:rPr>
        <w:t>2</w:t>
      </w:r>
      <w:r w:rsidR="00803BDC">
        <w:rPr>
          <w:b/>
        </w:rPr>
        <w:t>,</w:t>
      </w:r>
      <w:r w:rsidR="00765923" w:rsidRPr="006222EA">
        <w:rPr>
          <w:b/>
        </w:rPr>
        <w:t>000 workers</w:t>
      </w:r>
      <w:r w:rsidR="00765923" w:rsidRPr="006222EA">
        <w:t xml:space="preserve"> </w:t>
      </w:r>
      <w:r w:rsidR="00765923" w:rsidRPr="009C4DCB">
        <w:rPr>
          <w:b/>
        </w:rPr>
        <w:t>from the Pacific and Timor-Leste have earned additional income</w:t>
      </w:r>
      <w:r w:rsidR="00765923" w:rsidRPr="006222EA">
        <w:t xml:space="preserve"> as seasonal workers in Australia. With the average worker remitting around $5</w:t>
      </w:r>
      <w:r w:rsidR="00803BDC">
        <w:t>,</w:t>
      </w:r>
      <w:r w:rsidR="00765923" w:rsidRPr="006222EA">
        <w:t xml:space="preserve">000 </w:t>
      </w:r>
      <w:r>
        <w:t>to</w:t>
      </w:r>
      <w:r w:rsidR="00765923" w:rsidRPr="006222EA">
        <w:t xml:space="preserve"> $6</w:t>
      </w:r>
      <w:r w:rsidR="00803BDC">
        <w:t>,</w:t>
      </w:r>
      <w:r w:rsidR="00765923" w:rsidRPr="006222EA">
        <w:t>000, an estimated $11.1 million has been remitted.</w:t>
      </w:r>
      <w:r w:rsidR="00765923" w:rsidRPr="006222EA">
        <w:rPr>
          <w:rStyle w:val="FootnoteReference"/>
        </w:rPr>
        <w:footnoteReference w:id="21"/>
      </w:r>
      <w:r w:rsidR="00765923" w:rsidRPr="006222EA">
        <w:t xml:space="preserve"> </w:t>
      </w:r>
    </w:p>
    <w:p w14:paraId="420DC6DC" w14:textId="57F53D71" w:rsidR="00765923" w:rsidRPr="006222EA" w:rsidRDefault="00765923" w:rsidP="005B66B3">
      <w:pPr>
        <w:pStyle w:val="BodyText"/>
      </w:pPr>
      <w:r w:rsidRPr="006222EA">
        <w:t xml:space="preserve">The </w:t>
      </w:r>
      <w:r w:rsidRPr="006222EA">
        <w:rPr>
          <w:b/>
        </w:rPr>
        <w:t>Pacific Microfinance Initiative</w:t>
      </w:r>
      <w:r w:rsidR="00C54224" w:rsidRPr="00125D33">
        <w:t>,</w:t>
      </w:r>
      <w:r w:rsidR="00FF0ED4">
        <w:t xml:space="preserve"> through partnership with the</w:t>
      </w:r>
      <w:r w:rsidR="00125D33">
        <w:t xml:space="preserve"> </w:t>
      </w:r>
      <w:r w:rsidRPr="006222EA">
        <w:t>International Finance Corporation</w:t>
      </w:r>
      <w:r w:rsidR="00C54224">
        <w:t xml:space="preserve"> and</w:t>
      </w:r>
      <w:r w:rsidR="000833F0" w:rsidRPr="006222EA">
        <w:t xml:space="preserve"> </w:t>
      </w:r>
      <w:r w:rsidRPr="006222EA">
        <w:rPr>
          <w:b/>
        </w:rPr>
        <w:t>Pacific Financial Inclusion Program</w:t>
      </w:r>
      <w:r w:rsidR="00C54224">
        <w:t>,</w:t>
      </w:r>
      <w:r w:rsidRPr="006222EA">
        <w:t xml:space="preserve"> </w:t>
      </w:r>
      <w:r w:rsidR="00FF0ED4">
        <w:t xml:space="preserve">created in conjunction </w:t>
      </w:r>
      <w:r w:rsidR="00125D33">
        <w:t>with</w:t>
      </w:r>
      <w:r w:rsidR="00DA07F1">
        <w:t xml:space="preserve"> the</w:t>
      </w:r>
      <w:r w:rsidR="00125D33">
        <w:t xml:space="preserve"> </w:t>
      </w:r>
      <w:r w:rsidRPr="006222EA">
        <w:t>U</w:t>
      </w:r>
      <w:r w:rsidR="00C54224">
        <w:t>N</w:t>
      </w:r>
      <w:r w:rsidRPr="006222EA">
        <w:t xml:space="preserve"> Capital Development Fund</w:t>
      </w:r>
      <w:r w:rsidR="00C54224">
        <w:t>,</w:t>
      </w:r>
      <w:r w:rsidRPr="006222EA">
        <w:t xml:space="preserve"> ha</w:t>
      </w:r>
      <w:r w:rsidR="00C54224">
        <w:t>ve</w:t>
      </w:r>
      <w:r w:rsidRPr="006222EA">
        <w:t xml:space="preserve"> improved access to financial services for microenterprises</w:t>
      </w:r>
      <w:r w:rsidR="000833F0" w:rsidRPr="006222EA">
        <w:t xml:space="preserve">, including for the poor and for women. This </w:t>
      </w:r>
      <w:r w:rsidRPr="006222EA">
        <w:t xml:space="preserve">partnership supported </w:t>
      </w:r>
      <w:r w:rsidR="00C54224">
        <w:t>more than</w:t>
      </w:r>
      <w:r w:rsidR="00C54224" w:rsidRPr="006222EA">
        <w:t xml:space="preserve"> </w:t>
      </w:r>
      <w:r w:rsidRPr="006222EA">
        <w:t>500</w:t>
      </w:r>
      <w:r w:rsidR="00803BDC">
        <w:t>,</w:t>
      </w:r>
      <w:r w:rsidRPr="006222EA">
        <w:t xml:space="preserve">000 </w:t>
      </w:r>
      <w:r w:rsidR="00C54224">
        <w:t>people</w:t>
      </w:r>
      <w:r w:rsidR="00C54224" w:rsidRPr="006222EA">
        <w:t xml:space="preserve"> </w:t>
      </w:r>
      <w:r w:rsidR="000833F0" w:rsidRPr="006222EA">
        <w:t>previo</w:t>
      </w:r>
      <w:r w:rsidR="00871FBE">
        <w:t>usly excluded from financial services</w:t>
      </w:r>
      <w:r w:rsidR="000833F0" w:rsidRPr="006222EA">
        <w:t>:</w:t>
      </w:r>
    </w:p>
    <w:p w14:paraId="420DC6DD" w14:textId="7642EC44" w:rsidR="00765923" w:rsidRPr="006222EA" w:rsidRDefault="00765923" w:rsidP="005B66B3">
      <w:pPr>
        <w:pStyle w:val="ListBullet"/>
      </w:pPr>
      <w:r w:rsidRPr="008B2858">
        <w:t>200</w:t>
      </w:r>
      <w:r w:rsidR="00803BDC">
        <w:t>,</w:t>
      </w:r>
      <w:r w:rsidRPr="008B2858">
        <w:t>000 women</w:t>
      </w:r>
      <w:r w:rsidRPr="006222EA">
        <w:t xml:space="preserve"> now have access to mobile banking across the Pacific</w:t>
      </w:r>
      <w:r w:rsidR="00EC57E9">
        <w:t>.</w:t>
      </w:r>
    </w:p>
    <w:p w14:paraId="420DC6DE" w14:textId="006EF334" w:rsidR="00765923" w:rsidRPr="006222EA" w:rsidRDefault="00EC57E9" w:rsidP="005B66B3">
      <w:pPr>
        <w:pStyle w:val="ListBullet"/>
      </w:pPr>
      <w:r>
        <w:t>I</w:t>
      </w:r>
      <w:r w:rsidR="00765923" w:rsidRPr="006222EA">
        <w:t xml:space="preserve">n PNG and the Pacific </w:t>
      </w:r>
      <w:r w:rsidR="00C54224">
        <w:t>more than</w:t>
      </w:r>
      <w:r w:rsidR="00C54224" w:rsidRPr="006222EA">
        <w:t xml:space="preserve"> </w:t>
      </w:r>
      <w:r w:rsidR="00765923" w:rsidRPr="008B2858">
        <w:t>130</w:t>
      </w:r>
      <w:r w:rsidR="00803BDC">
        <w:t>,</w:t>
      </w:r>
      <w:r w:rsidR="00765923" w:rsidRPr="008B2858">
        <w:t>000 people</w:t>
      </w:r>
      <w:r w:rsidR="00765923" w:rsidRPr="006222EA">
        <w:t xml:space="preserve"> have </w:t>
      </w:r>
      <w:r w:rsidR="00172238" w:rsidRPr="006222EA">
        <w:t>opened new</w:t>
      </w:r>
      <w:r w:rsidR="00765923" w:rsidRPr="006222EA">
        <w:t xml:space="preserve"> </w:t>
      </w:r>
      <w:r w:rsidR="0006325A" w:rsidRPr="006222EA">
        <w:t>savings account</w:t>
      </w:r>
      <w:r>
        <w:t>s</w:t>
      </w:r>
      <w:r w:rsidR="0006325A" w:rsidRPr="006222EA">
        <w:t>.</w:t>
      </w:r>
    </w:p>
    <w:p w14:paraId="420DC6DF" w14:textId="77777777" w:rsidR="000833F0" w:rsidRPr="006222EA" w:rsidRDefault="000833F0" w:rsidP="000833F0">
      <w:pPr>
        <w:pStyle w:val="Heading2"/>
      </w:pPr>
      <w:r w:rsidRPr="006222EA">
        <w:t>Factors affecting progress and future directions</w:t>
      </w:r>
    </w:p>
    <w:p w14:paraId="420DC6E0" w14:textId="27F5E285" w:rsidR="00130408" w:rsidRPr="006222EA" w:rsidRDefault="00765923" w:rsidP="005B66B3">
      <w:pPr>
        <w:pStyle w:val="BodyText"/>
      </w:pPr>
      <w:r w:rsidRPr="006222EA">
        <w:t>The business environment throughout the Pacific is generally characterised by poor infrastructure, limited access to skilled labour, burdensome regulatory and legal constraints, high transportation and communication costs</w:t>
      </w:r>
      <w:r w:rsidR="005E688E" w:rsidRPr="006222EA">
        <w:t>, and limited access to finance</w:t>
      </w:r>
      <w:r w:rsidRPr="006222EA">
        <w:t xml:space="preserve">. </w:t>
      </w:r>
      <w:r w:rsidR="00130408" w:rsidRPr="006222EA">
        <w:t xml:space="preserve">In late 2013, </w:t>
      </w:r>
      <w:r w:rsidR="00956EA4">
        <w:t>the department</w:t>
      </w:r>
      <w:r w:rsidR="00130408" w:rsidRPr="006222EA">
        <w:t xml:space="preserve"> will release</w:t>
      </w:r>
      <w:r w:rsidRPr="006222EA">
        <w:t xml:space="preserve"> the Pacific Private Sector Development Strategy </w:t>
      </w:r>
      <w:r w:rsidR="00C54224">
        <w:t>to</w:t>
      </w:r>
      <w:r w:rsidR="00C54224" w:rsidRPr="006222EA">
        <w:t xml:space="preserve"> </w:t>
      </w:r>
      <w:r w:rsidRPr="006222EA">
        <w:t xml:space="preserve">outline how </w:t>
      </w:r>
      <w:r w:rsidR="00C54224">
        <w:t xml:space="preserve">the </w:t>
      </w:r>
      <w:r w:rsidR="00686A80">
        <w:t xml:space="preserve">department </w:t>
      </w:r>
      <w:r w:rsidR="00130408" w:rsidRPr="006222EA">
        <w:t xml:space="preserve">will </w:t>
      </w:r>
      <w:r w:rsidR="005E688E" w:rsidRPr="006222EA">
        <w:t xml:space="preserve">help </w:t>
      </w:r>
      <w:r w:rsidR="00130408" w:rsidRPr="006222EA">
        <w:t>address these challenges</w:t>
      </w:r>
      <w:r w:rsidR="0006325A" w:rsidRPr="006222EA">
        <w:t xml:space="preserve"> in collaboration with the private sector</w:t>
      </w:r>
      <w:r w:rsidR="00FC1C39" w:rsidRPr="006222EA">
        <w:t xml:space="preserve"> in the region</w:t>
      </w:r>
      <w:r w:rsidR="004341F6" w:rsidRPr="006222EA">
        <w:t>.</w:t>
      </w:r>
    </w:p>
    <w:p w14:paraId="420DC6E1" w14:textId="57FBBC91" w:rsidR="00765923" w:rsidRPr="006222EA" w:rsidRDefault="00765923" w:rsidP="005B66B3">
      <w:pPr>
        <w:pStyle w:val="BodyText"/>
      </w:pPr>
      <w:r w:rsidRPr="006222EA">
        <w:lastRenderedPageBreak/>
        <w:t>Through negotiations for the proposed PACER Plus free trade agreement</w:t>
      </w:r>
      <w:r w:rsidR="00C54224">
        <w:t>,</w:t>
      </w:r>
      <w:r w:rsidRPr="006222EA">
        <w:t xml:space="preserve"> </w:t>
      </w:r>
      <w:r w:rsidR="00956EA4">
        <w:t>the department</w:t>
      </w:r>
      <w:r w:rsidRPr="006222EA">
        <w:t xml:space="preserve"> is </w:t>
      </w:r>
      <w:r w:rsidR="00C54224">
        <w:t>promoting</w:t>
      </w:r>
      <w:r w:rsidRPr="006222EA">
        <w:t xml:space="preserve"> greater regional economic integration</w:t>
      </w:r>
      <w:r w:rsidR="004341F6" w:rsidRPr="006222EA">
        <w:t xml:space="preserve"> includ</w:t>
      </w:r>
      <w:r w:rsidR="00C54224">
        <w:t>ing</w:t>
      </w:r>
      <w:r w:rsidR="004341F6" w:rsidRPr="006222EA">
        <w:t xml:space="preserve"> by </w:t>
      </w:r>
      <w:r w:rsidRPr="006222EA">
        <w:t>addressing barriers to trade such as pro</w:t>
      </w:r>
      <w:r w:rsidR="005E688E" w:rsidRPr="006222EA">
        <w:t xml:space="preserve">duct-specific rules of origin. </w:t>
      </w:r>
      <w:r w:rsidRPr="006222EA">
        <w:t>The Seasonal Worker Program continue</w:t>
      </w:r>
      <w:r w:rsidR="00C54224">
        <w:t>s</w:t>
      </w:r>
      <w:r w:rsidRPr="006222EA">
        <w:t xml:space="preserve"> to provide low-skilled labour with employment opportunities in Australia. </w:t>
      </w:r>
      <w:r w:rsidR="00956EA4">
        <w:t xml:space="preserve">The department </w:t>
      </w:r>
      <w:r w:rsidRPr="006222EA">
        <w:t>is working with Pacific governments and whole-of-government partners to improve</w:t>
      </w:r>
      <w:r w:rsidR="00C54224">
        <w:t xml:space="preserve"> program</w:t>
      </w:r>
      <w:r w:rsidRPr="006222EA">
        <w:t xml:space="preserve"> uptake. A new capacity building project for the Seasonal Worker Program will seek to maximise the development benefit of remittances through better re-integration</w:t>
      </w:r>
      <w:r w:rsidR="00DA07F1">
        <w:t xml:space="preserve"> of</w:t>
      </w:r>
      <w:r w:rsidRPr="006222EA">
        <w:t xml:space="preserve"> programs.</w:t>
      </w:r>
    </w:p>
    <w:p w14:paraId="420DC6E2" w14:textId="77777777" w:rsidR="00653E10" w:rsidRPr="006222EA" w:rsidRDefault="00653E10" w:rsidP="00765923">
      <w:pPr>
        <w:pStyle w:val="Heading1"/>
      </w:pPr>
      <w:r w:rsidRPr="006222EA">
        <w:t>Regional infrastructure</w:t>
      </w:r>
    </w:p>
    <w:p w14:paraId="420DC6E3" w14:textId="77777777" w:rsidR="00653E10" w:rsidRPr="006222EA" w:rsidRDefault="00653E10" w:rsidP="00653E10">
      <w:pPr>
        <w:pStyle w:val="Heading2"/>
      </w:pPr>
      <w:r w:rsidRPr="006222EA">
        <w:t>Program objectives</w:t>
      </w:r>
    </w:p>
    <w:p w14:paraId="420DC6E4" w14:textId="4C7F6997" w:rsidR="00653E10" w:rsidRPr="006222EA" w:rsidRDefault="00956EA4" w:rsidP="005B66B3">
      <w:pPr>
        <w:pStyle w:val="BodyText"/>
      </w:pPr>
      <w:r>
        <w:t xml:space="preserve">Australia </w:t>
      </w:r>
      <w:r w:rsidR="00653E10" w:rsidRPr="006222EA">
        <w:t xml:space="preserve">delivers </w:t>
      </w:r>
      <w:r w:rsidR="004341F6" w:rsidRPr="006222EA">
        <w:t xml:space="preserve">major </w:t>
      </w:r>
      <w:r w:rsidR="00653E10" w:rsidRPr="006222EA">
        <w:t xml:space="preserve">infrastructure investments through its bilateral programs </w:t>
      </w:r>
      <w:r w:rsidR="006A6233" w:rsidRPr="006222EA">
        <w:t xml:space="preserve">in </w:t>
      </w:r>
      <w:r w:rsidR="00C63986" w:rsidRPr="006222EA">
        <w:t>PICs</w:t>
      </w:r>
      <w:r w:rsidR="00653E10" w:rsidRPr="006222EA">
        <w:t xml:space="preserve">. Complementing these bilateral investments, </w:t>
      </w:r>
      <w:r w:rsidR="00ED22BA">
        <w:t xml:space="preserve">the department </w:t>
      </w:r>
      <w:r w:rsidR="00653E10" w:rsidRPr="006222EA">
        <w:t xml:space="preserve">has a small regional </w:t>
      </w:r>
      <w:r w:rsidR="00911F16" w:rsidRPr="006222EA">
        <w:t>prog</w:t>
      </w:r>
      <w:r w:rsidR="00653E10" w:rsidRPr="006222EA">
        <w:t>ram</w:t>
      </w:r>
      <w:r w:rsidR="00911F16" w:rsidRPr="006222EA">
        <w:t xml:space="preserve"> </w:t>
      </w:r>
      <w:r w:rsidR="00C54224">
        <w:t xml:space="preserve">that </w:t>
      </w:r>
      <w:r w:rsidR="00653E10" w:rsidRPr="006222EA">
        <w:t>support</w:t>
      </w:r>
      <w:r w:rsidR="00C54224">
        <w:t>s the</w:t>
      </w:r>
      <w:r w:rsidR="00653E10" w:rsidRPr="006222EA">
        <w:t xml:space="preserve"> World Bank-led </w:t>
      </w:r>
      <w:r w:rsidR="00653E10" w:rsidRPr="00767962">
        <w:t>Pacific Aviation Investment Program</w:t>
      </w:r>
      <w:r w:rsidR="00911F16" w:rsidRPr="006222EA">
        <w:rPr>
          <w:i/>
        </w:rPr>
        <w:t>.</w:t>
      </w:r>
      <w:r w:rsidR="00653E10" w:rsidRPr="006222EA">
        <w:t xml:space="preserve"> </w:t>
      </w:r>
      <w:r w:rsidR="00911F16" w:rsidRPr="006222EA">
        <w:t xml:space="preserve">This is </w:t>
      </w:r>
      <w:r w:rsidR="00653E10" w:rsidRPr="006222EA">
        <w:t>assisting several P</w:t>
      </w:r>
      <w:r w:rsidR="004341F6" w:rsidRPr="006222EA">
        <w:t>ICs</w:t>
      </w:r>
      <w:r w:rsidR="00653E10" w:rsidRPr="006222EA">
        <w:t xml:space="preserve"> to improve operational safety and oversight of international air transport infrastructure</w:t>
      </w:r>
      <w:r w:rsidR="006A6233" w:rsidRPr="006222EA">
        <w:t>.</w:t>
      </w:r>
    </w:p>
    <w:p w14:paraId="420DC6E5" w14:textId="4F02931B" w:rsidR="00653E10" w:rsidRPr="006222EA" w:rsidRDefault="00ED22BA" w:rsidP="005B66B3">
      <w:pPr>
        <w:pStyle w:val="BodyText"/>
      </w:pPr>
      <w:r>
        <w:t xml:space="preserve">Australia </w:t>
      </w:r>
      <w:r w:rsidR="00653E10" w:rsidRPr="006222EA">
        <w:t>is also helping to improve regional infrastructure through its support for the</w:t>
      </w:r>
      <w:r w:rsidR="00C54224">
        <w:t xml:space="preserve"> multi-donor</w:t>
      </w:r>
      <w:r w:rsidR="00653E10" w:rsidRPr="006222EA">
        <w:t xml:space="preserve"> </w:t>
      </w:r>
      <w:r w:rsidR="00653E10" w:rsidRPr="006222EA">
        <w:rPr>
          <w:b/>
        </w:rPr>
        <w:t>Pacific Region Infrastructure Facility (PRIF)</w:t>
      </w:r>
      <w:r w:rsidR="00653E10" w:rsidRPr="006222EA">
        <w:t>. Th</w:t>
      </w:r>
      <w:r w:rsidR="004F1C6C">
        <w:t xml:space="preserve">is </w:t>
      </w:r>
      <w:r w:rsidR="00653E10" w:rsidRPr="006222EA">
        <w:t>coordinati</w:t>
      </w:r>
      <w:r w:rsidR="007129D7" w:rsidRPr="006222EA">
        <w:t>on and technical assistance</w:t>
      </w:r>
      <w:r w:rsidR="00653E10" w:rsidRPr="006222EA">
        <w:t xml:space="preserve"> facility support</w:t>
      </w:r>
      <w:r w:rsidR="004F1C6C">
        <w:t>s</w:t>
      </w:r>
      <w:r w:rsidR="00653E10" w:rsidRPr="006222EA">
        <w:t xml:space="preserve"> infrastructure development a</w:t>
      </w:r>
      <w:r w:rsidR="005E688E" w:rsidRPr="006222EA">
        <w:t xml:space="preserve">nd maintenance in the Pacific. </w:t>
      </w:r>
      <w:r w:rsidR="00C63986" w:rsidRPr="006222EA">
        <w:t>The</w:t>
      </w:r>
      <w:r w:rsidR="00C54224">
        <w:t xml:space="preserve"> ADB and</w:t>
      </w:r>
      <w:r w:rsidR="00C63986" w:rsidRPr="006222EA">
        <w:t xml:space="preserve"> World Bank are key partners. </w:t>
      </w:r>
      <w:r w:rsidR="00653E10" w:rsidRPr="006222EA">
        <w:t>The PRIF is focus</w:t>
      </w:r>
      <w:r w:rsidR="004F1C6C">
        <w:t>ing</w:t>
      </w:r>
      <w:r w:rsidR="00653E10" w:rsidRPr="006222EA">
        <w:t xml:space="preserve"> development partner support on the highest priority infrastructure programs, eliminat</w:t>
      </w:r>
      <w:r w:rsidR="004F1C6C">
        <w:t>ing</w:t>
      </w:r>
      <w:r w:rsidR="00653E10" w:rsidRPr="006222EA">
        <w:t xml:space="preserve"> duplication between </w:t>
      </w:r>
      <w:r w:rsidR="004F1C6C">
        <w:t>donor</w:t>
      </w:r>
      <w:r w:rsidR="004F1C6C" w:rsidRPr="006222EA">
        <w:t xml:space="preserve"> </w:t>
      </w:r>
      <w:r w:rsidR="00653E10" w:rsidRPr="006222EA">
        <w:t>programs and promot</w:t>
      </w:r>
      <w:r w:rsidR="004F1C6C">
        <w:t>ing</w:t>
      </w:r>
      <w:r w:rsidR="00653E10" w:rsidRPr="006222EA">
        <w:t xml:space="preserve"> joint work to reduce the burden on Pacific island governments of dealing with multiple donor projects.</w:t>
      </w:r>
    </w:p>
    <w:p w14:paraId="420DC6E6" w14:textId="77777777" w:rsidR="00653E10" w:rsidRPr="006222EA" w:rsidRDefault="00653E10" w:rsidP="00653E10">
      <w:pPr>
        <w:pStyle w:val="Heading2"/>
      </w:pPr>
      <w:r w:rsidRPr="006222EA">
        <w:t>Key achievements</w:t>
      </w:r>
    </w:p>
    <w:p w14:paraId="420DC6E7" w14:textId="77777777" w:rsidR="00653E10" w:rsidRPr="006222EA" w:rsidRDefault="00767962" w:rsidP="005B66B3">
      <w:pPr>
        <w:pStyle w:val="BodyText"/>
      </w:pPr>
      <w:r>
        <w:t>From</w:t>
      </w:r>
      <w:r w:rsidR="00653E10" w:rsidRPr="006222EA">
        <w:t xml:space="preserve"> January 2012</w:t>
      </w:r>
      <w:r w:rsidR="00C54224">
        <w:t xml:space="preserve"> to </w:t>
      </w:r>
      <w:r w:rsidR="00653E10" w:rsidRPr="006222EA">
        <w:t>June 2013</w:t>
      </w:r>
      <w:r w:rsidR="00645C7A">
        <w:t>,</w:t>
      </w:r>
      <w:r w:rsidR="00653E10" w:rsidRPr="006222EA">
        <w:t xml:space="preserve"> the </w:t>
      </w:r>
      <w:r w:rsidR="00653E10" w:rsidRPr="006222EA">
        <w:rPr>
          <w:b/>
        </w:rPr>
        <w:t>Pacific Infrastructure Advisory Centre</w:t>
      </w:r>
      <w:r w:rsidR="00653E10" w:rsidRPr="006222EA">
        <w:t xml:space="preserve"> (the </w:t>
      </w:r>
      <w:r w:rsidR="00911F16" w:rsidRPr="006222EA">
        <w:t>technical a</w:t>
      </w:r>
      <w:r w:rsidR="00653E10" w:rsidRPr="006222EA">
        <w:t>rm of PRIF) delive</w:t>
      </w:r>
      <w:r w:rsidR="005E688E" w:rsidRPr="006222EA">
        <w:t xml:space="preserve">red a number of initiatives </w:t>
      </w:r>
      <w:r w:rsidR="004F1C6C">
        <w:t>to</w:t>
      </w:r>
      <w:r w:rsidR="00653E10" w:rsidRPr="006222EA">
        <w:t xml:space="preserve"> improv</w:t>
      </w:r>
      <w:r w:rsidR="004F1C6C">
        <w:t>e</w:t>
      </w:r>
      <w:r w:rsidR="00653E10" w:rsidRPr="006222EA">
        <w:t xml:space="preserve"> infrastructure service delivery, infrastructure planning and </w:t>
      </w:r>
      <w:r w:rsidR="00911F16" w:rsidRPr="006222EA">
        <w:t>a</w:t>
      </w:r>
      <w:r w:rsidR="00653E10" w:rsidRPr="006222EA">
        <w:t>pplied research and analytical outputs</w:t>
      </w:r>
      <w:r w:rsidR="00911F16" w:rsidRPr="006222EA">
        <w:t xml:space="preserve"> focusing on public goods.</w:t>
      </w:r>
      <w:r w:rsidR="00653E10" w:rsidRPr="006222EA">
        <w:t xml:space="preserve"> This included support for: </w:t>
      </w:r>
    </w:p>
    <w:p w14:paraId="420DC6E8" w14:textId="77777777" w:rsidR="00653E10" w:rsidRPr="006222EA" w:rsidRDefault="00653E10" w:rsidP="005B66B3">
      <w:pPr>
        <w:pStyle w:val="ListBullet"/>
      </w:pPr>
      <w:r w:rsidRPr="006222EA">
        <w:t>The</w:t>
      </w:r>
      <w:r w:rsidR="00645C7A">
        <w:t xml:space="preserve"> g</w:t>
      </w:r>
      <w:r w:rsidRPr="006222EA">
        <w:t>overnments of</w:t>
      </w:r>
      <w:r w:rsidR="00923084">
        <w:t xml:space="preserve"> </w:t>
      </w:r>
      <w:r w:rsidRPr="006222EA">
        <w:t xml:space="preserve">Nauru, Samoa, </w:t>
      </w:r>
      <w:r w:rsidR="00C54224">
        <w:t xml:space="preserve">Solomon Islands, Tonga, Tuvalu and </w:t>
      </w:r>
      <w:r w:rsidRPr="006222EA">
        <w:t xml:space="preserve">Vanuatu to produce </w:t>
      </w:r>
      <w:r w:rsidRPr="00EC57E9">
        <w:rPr>
          <w:b/>
        </w:rPr>
        <w:t>national infrastructure investment plans</w:t>
      </w:r>
      <w:r w:rsidRPr="006222EA">
        <w:t xml:space="preserve"> </w:t>
      </w:r>
      <w:r w:rsidR="004F1C6C">
        <w:t>to</w:t>
      </w:r>
      <w:r w:rsidR="00533824" w:rsidRPr="006222EA">
        <w:t xml:space="preserve"> </w:t>
      </w:r>
      <w:r w:rsidRPr="006222EA">
        <w:t xml:space="preserve">help countries prioritise planned investment goals and guide all development partner support (including governments, donors and the private sector). </w:t>
      </w:r>
    </w:p>
    <w:p w14:paraId="420DC6E9" w14:textId="77777777" w:rsidR="00653E10" w:rsidRPr="006222EA" w:rsidRDefault="00653E10" w:rsidP="005B66B3">
      <w:pPr>
        <w:pStyle w:val="ListBullet"/>
      </w:pPr>
      <w:r w:rsidRPr="006222EA">
        <w:t xml:space="preserve">Regional initiatives designed to </w:t>
      </w:r>
      <w:r w:rsidRPr="00EC57E9">
        <w:rPr>
          <w:b/>
        </w:rPr>
        <w:t>improve service levels of Pacifi</w:t>
      </w:r>
      <w:r w:rsidR="005E688E" w:rsidRPr="00EC57E9">
        <w:rPr>
          <w:b/>
        </w:rPr>
        <w:t>c power and water utilities</w:t>
      </w:r>
      <w:r w:rsidR="005E688E" w:rsidRPr="006222EA">
        <w:t>.</w:t>
      </w:r>
      <w:r w:rsidRPr="006222EA">
        <w:t xml:space="preserve"> </w:t>
      </w:r>
      <w:r w:rsidR="00C54224">
        <w:t>The Pacific Infrastructure Advisory Centre</w:t>
      </w:r>
      <w:r w:rsidR="00C54224" w:rsidRPr="006222EA">
        <w:t xml:space="preserve"> </w:t>
      </w:r>
      <w:r w:rsidR="005E688E" w:rsidRPr="006222EA">
        <w:t xml:space="preserve">is finalising </w:t>
      </w:r>
      <w:r w:rsidRPr="006222EA">
        <w:t>the findings of Pacific</w:t>
      </w:r>
      <w:r w:rsidR="004F1C6C">
        <w:t>-</w:t>
      </w:r>
      <w:r w:rsidRPr="006222EA">
        <w:t xml:space="preserve">wide benchmarking exercises in both sectors. This work has led to individually crafted performance improvement plans for many participating utilities. </w:t>
      </w:r>
    </w:p>
    <w:p w14:paraId="420DC6EA" w14:textId="77777777" w:rsidR="00653E10" w:rsidRPr="006222EA" w:rsidRDefault="00653E10" w:rsidP="00653E10">
      <w:pPr>
        <w:pStyle w:val="Heading2"/>
      </w:pPr>
      <w:r w:rsidRPr="006222EA">
        <w:t>Factors affecting progress and future directions</w:t>
      </w:r>
    </w:p>
    <w:p w14:paraId="420DC6EB" w14:textId="77777777" w:rsidR="00653E10" w:rsidRPr="006222EA" w:rsidRDefault="00653E10" w:rsidP="005B66B3">
      <w:pPr>
        <w:pStyle w:val="BodyText"/>
      </w:pPr>
      <w:r w:rsidRPr="006222EA">
        <w:t xml:space="preserve">After several years of interim management arrangements, PRIF partners agreed in December 2012 to consolidate the </w:t>
      </w:r>
      <w:r w:rsidR="004F1C6C">
        <w:t xml:space="preserve">facility’s </w:t>
      </w:r>
      <w:r w:rsidRPr="006222EA">
        <w:t xml:space="preserve">functions into </w:t>
      </w:r>
      <w:r w:rsidR="004F1C6C">
        <w:t>one</w:t>
      </w:r>
      <w:r w:rsidRPr="006222EA">
        <w:t xml:space="preserve"> PRIF Coordination Office to be hosted by the ADB from late May 2013. A key task of the new </w:t>
      </w:r>
      <w:r w:rsidR="004F1C6C">
        <w:t>o</w:t>
      </w:r>
      <w:r w:rsidRPr="006222EA">
        <w:t xml:space="preserve">ffice will be the development of a PRIF results framework to monitor and report on </w:t>
      </w:r>
      <w:r w:rsidR="004F1C6C">
        <w:t>its</w:t>
      </w:r>
      <w:r w:rsidR="004F1C6C" w:rsidRPr="006222EA">
        <w:t xml:space="preserve"> </w:t>
      </w:r>
      <w:r w:rsidRPr="006222EA">
        <w:t>achievements, including capturing the benefits of greater coordi</w:t>
      </w:r>
      <w:r w:rsidR="006A6233" w:rsidRPr="006222EA">
        <w:t>nation by donors in the sector.</w:t>
      </w:r>
    </w:p>
    <w:p w14:paraId="420DC6EC" w14:textId="77777777" w:rsidR="0033037D" w:rsidRPr="006222EA" w:rsidRDefault="0033037D" w:rsidP="0033037D">
      <w:pPr>
        <w:pStyle w:val="Heading1"/>
      </w:pPr>
      <w:r w:rsidRPr="006222EA">
        <w:lastRenderedPageBreak/>
        <w:t>Improving the quality of governance</w:t>
      </w:r>
    </w:p>
    <w:p w14:paraId="420DC6ED" w14:textId="77777777" w:rsidR="0033037D" w:rsidRPr="006222EA" w:rsidRDefault="0033037D" w:rsidP="0033037D">
      <w:pPr>
        <w:pStyle w:val="Heading2"/>
      </w:pPr>
      <w:r w:rsidRPr="006222EA">
        <w:t>Program objectives</w:t>
      </w:r>
    </w:p>
    <w:p w14:paraId="420DC6EE" w14:textId="77777777" w:rsidR="0033037D" w:rsidRPr="006222EA" w:rsidRDefault="0033037D" w:rsidP="005B66B3">
      <w:pPr>
        <w:pStyle w:val="BodyText"/>
      </w:pPr>
      <w:r w:rsidRPr="006222EA">
        <w:t>Effective governance is critical for P</w:t>
      </w:r>
      <w:r w:rsidR="004F1C6C">
        <w:t>ICs</w:t>
      </w:r>
      <w:r w:rsidRPr="006222EA">
        <w:t xml:space="preserve"> to achieve economic development and meet MDG targets. Effective governance underpins the rule of law and delivery of basic services in areas such as health and education. The </w:t>
      </w:r>
      <w:r w:rsidR="00871FBE">
        <w:t xml:space="preserve">regional </w:t>
      </w:r>
      <w:r w:rsidRPr="006222EA">
        <w:t>governance program is multi-faceted</w:t>
      </w:r>
      <w:r w:rsidR="0006325A" w:rsidRPr="006222EA">
        <w:t xml:space="preserve">, </w:t>
      </w:r>
      <w:r w:rsidR="004F1C6C">
        <w:t xml:space="preserve">covers </w:t>
      </w:r>
      <w:r w:rsidR="0006325A" w:rsidRPr="006222EA">
        <w:t>several sectors and</w:t>
      </w:r>
      <w:r w:rsidR="00871FBE">
        <w:t xml:space="preserve"> is</w:t>
      </w:r>
      <w:r w:rsidR="0006325A" w:rsidRPr="006222EA">
        <w:t xml:space="preserve"> delivered in partnership with several </w:t>
      </w:r>
      <w:r w:rsidR="00F66AD4" w:rsidRPr="006222EA">
        <w:t xml:space="preserve">Australian </w:t>
      </w:r>
      <w:r w:rsidR="00A90EC5">
        <w:t>G</w:t>
      </w:r>
      <w:r w:rsidR="0006325A" w:rsidRPr="006222EA">
        <w:t xml:space="preserve">overnment </w:t>
      </w:r>
      <w:r w:rsidR="00F66AD4" w:rsidRPr="006222EA">
        <w:t xml:space="preserve">agencies </w:t>
      </w:r>
      <w:r w:rsidR="0006325A" w:rsidRPr="006222EA">
        <w:t>and multilateral partners.</w:t>
      </w:r>
    </w:p>
    <w:p w14:paraId="420DC6EF" w14:textId="77777777" w:rsidR="0033037D" w:rsidRPr="006222EA" w:rsidRDefault="0033037D" w:rsidP="0033037D">
      <w:pPr>
        <w:pStyle w:val="Heading2"/>
      </w:pPr>
      <w:r w:rsidRPr="006222EA">
        <w:t>Key achievements</w:t>
      </w:r>
    </w:p>
    <w:p w14:paraId="420DC6F0" w14:textId="77777777" w:rsidR="0033037D" w:rsidRPr="005B66B3" w:rsidRDefault="0033037D" w:rsidP="005B66B3">
      <w:pPr>
        <w:pStyle w:val="Heading3"/>
      </w:pPr>
      <w:r w:rsidRPr="005B66B3">
        <w:t>Media</w:t>
      </w:r>
    </w:p>
    <w:p w14:paraId="420DC6F1" w14:textId="3B9EC803" w:rsidR="0033037D" w:rsidRPr="006222EA" w:rsidRDefault="0033037D" w:rsidP="005B66B3">
      <w:pPr>
        <w:pStyle w:val="BodyText"/>
      </w:pPr>
      <w:r w:rsidRPr="006222EA">
        <w:t xml:space="preserve">The </w:t>
      </w:r>
      <w:r w:rsidRPr="006222EA">
        <w:rPr>
          <w:b/>
        </w:rPr>
        <w:t>Pacific Media Assistance Program</w:t>
      </w:r>
      <w:r w:rsidRPr="006222EA">
        <w:t xml:space="preserve"> (PACMAS) is a 10-year (2007</w:t>
      </w:r>
      <w:r w:rsidR="004F1C6C">
        <w:t>–</w:t>
      </w:r>
      <w:r w:rsidRPr="006222EA">
        <w:t>08 to 2017</w:t>
      </w:r>
      <w:r w:rsidR="004F1C6C">
        <w:t>–</w:t>
      </w:r>
      <w:r w:rsidRPr="006222EA">
        <w:t xml:space="preserve">18) commitment by </w:t>
      </w:r>
      <w:r w:rsidR="00ED22BA">
        <w:t>Australia</w:t>
      </w:r>
      <w:r w:rsidRPr="006222EA">
        <w:t xml:space="preserve"> to contribute to the development of media in the region</w:t>
      </w:r>
      <w:r w:rsidR="00943BC9">
        <w:t>. It is</w:t>
      </w:r>
      <w:r w:rsidR="00923084">
        <w:t xml:space="preserve"> </w:t>
      </w:r>
      <w:r w:rsidR="0006325A" w:rsidRPr="006222EA">
        <w:t>delivered in partnership with the Australian Broadcasting Corporation</w:t>
      </w:r>
      <w:r w:rsidR="00946CF0">
        <w:t xml:space="preserve">. </w:t>
      </w:r>
      <w:r w:rsidRPr="006222EA">
        <w:t>PACMAS support</w:t>
      </w:r>
      <w:r w:rsidR="00943BC9">
        <w:t>s</w:t>
      </w:r>
      <w:r w:rsidRPr="006222EA">
        <w:t xml:space="preserve"> the development of diverse, independent, professional media that promotes informed and meaningful public </w:t>
      </w:r>
      <w:r w:rsidR="00943BC9">
        <w:t>discussion</w:t>
      </w:r>
      <w:r w:rsidRPr="006222EA">
        <w:t xml:space="preserve">. </w:t>
      </w:r>
      <w:r w:rsidR="00943BC9">
        <w:t>The program’s</w:t>
      </w:r>
      <w:r w:rsidR="00943BC9" w:rsidRPr="006222EA">
        <w:t xml:space="preserve"> </w:t>
      </w:r>
      <w:r w:rsidRPr="006222EA">
        <w:t>regional approach to the media sector enables m</w:t>
      </w:r>
      <w:r w:rsidR="00871FBE">
        <w:t>any smaller PIC</w:t>
      </w:r>
      <w:r w:rsidRPr="006222EA">
        <w:t xml:space="preserve">s and </w:t>
      </w:r>
      <w:r w:rsidR="00AB7772">
        <w:t>PROs</w:t>
      </w:r>
      <w:r w:rsidRPr="006222EA">
        <w:t xml:space="preserve"> to access media support. </w:t>
      </w:r>
    </w:p>
    <w:p w14:paraId="420DC6F2" w14:textId="77777777" w:rsidR="0033037D" w:rsidRPr="006222EA" w:rsidRDefault="0033037D" w:rsidP="005B66B3">
      <w:pPr>
        <w:pStyle w:val="BodyText"/>
      </w:pPr>
      <w:r w:rsidRPr="006222EA">
        <w:t>In 2012,</w:t>
      </w:r>
      <w:r w:rsidRPr="006222EA">
        <w:rPr>
          <w:color w:val="000000" w:themeColor="text1"/>
        </w:rPr>
        <w:t xml:space="preserve"> </w:t>
      </w:r>
      <w:r w:rsidRPr="006222EA">
        <w:t>PACMAS developed a number of strategic regional activities through regional partnerships with</w:t>
      </w:r>
      <w:r w:rsidR="004F1C6C">
        <w:t xml:space="preserve"> the</w:t>
      </w:r>
      <w:r w:rsidRPr="006222EA">
        <w:t xml:space="preserve">: </w:t>
      </w:r>
    </w:p>
    <w:p w14:paraId="420DC6F3" w14:textId="77777777" w:rsidR="0033037D" w:rsidRPr="006222EA" w:rsidRDefault="0033037D" w:rsidP="005B66B3">
      <w:pPr>
        <w:pStyle w:val="ListBullet"/>
      </w:pPr>
      <w:r w:rsidRPr="006222EA">
        <w:t>World Health Organi</w:t>
      </w:r>
      <w:r w:rsidR="00AB7772">
        <w:t>z</w:t>
      </w:r>
      <w:r w:rsidRPr="006222EA">
        <w:t>ation</w:t>
      </w:r>
      <w:r w:rsidR="00943BC9">
        <w:t>,</w:t>
      </w:r>
      <w:r w:rsidRPr="006222EA">
        <w:t xml:space="preserve"> to create effective and strategic content to combat the regional no</w:t>
      </w:r>
      <w:r w:rsidR="00871FBE">
        <w:t>n-communicable disease epidemic</w:t>
      </w:r>
      <w:r w:rsidR="00923084">
        <w:t>.</w:t>
      </w:r>
    </w:p>
    <w:p w14:paraId="420DC6F4" w14:textId="77777777" w:rsidR="0033037D" w:rsidRDefault="0033037D" w:rsidP="005B66B3">
      <w:pPr>
        <w:pStyle w:val="ListBullet"/>
      </w:pPr>
      <w:r w:rsidRPr="0068252A">
        <w:rPr>
          <w:rStyle w:val="st"/>
        </w:rPr>
        <w:t>Applied Geoscience and Technology Division of SPC</w:t>
      </w:r>
      <w:r w:rsidR="00943BC9">
        <w:rPr>
          <w:rStyle w:val="st"/>
          <w:color w:val="222222"/>
        </w:rPr>
        <w:t>,</w:t>
      </w:r>
      <w:r w:rsidRPr="006222EA">
        <w:t xml:space="preserve"> to support Pacific broadcasters to develop emergency broadcasting plans and establish links with National Disaster Management Offices.</w:t>
      </w:r>
    </w:p>
    <w:p w14:paraId="420DC6F5" w14:textId="77777777" w:rsidR="0033037D" w:rsidRPr="006222EA" w:rsidRDefault="0033037D" w:rsidP="005B66B3">
      <w:pPr>
        <w:pStyle w:val="BodyText"/>
        <w:rPr>
          <w:color w:val="000000" w:themeColor="text1"/>
        </w:rPr>
      </w:pPr>
      <w:r w:rsidRPr="006222EA">
        <w:t xml:space="preserve">The program has also developed activities to strengthen national media associations, and will work with </w:t>
      </w:r>
      <w:r w:rsidR="00800ACF">
        <w:t>Technical and Vocational Education and Training</w:t>
      </w:r>
      <w:r w:rsidRPr="006222EA">
        <w:t xml:space="preserve"> institutions across the region in 2013 to provide sustainable, accredited and accessible industry-oriented tertiary level training for new and existing media practitioners. </w:t>
      </w:r>
    </w:p>
    <w:p w14:paraId="420DC6F6" w14:textId="77777777" w:rsidR="0033037D" w:rsidRPr="006222EA" w:rsidRDefault="0033037D" w:rsidP="0033037D">
      <w:pPr>
        <w:pStyle w:val="Heading3"/>
      </w:pPr>
      <w:r w:rsidRPr="006222EA">
        <w:t xml:space="preserve">Public sector </w:t>
      </w:r>
    </w:p>
    <w:p w14:paraId="420DC6F7" w14:textId="77777777" w:rsidR="0033037D" w:rsidRPr="006222EA" w:rsidRDefault="0033037D" w:rsidP="005B66B3">
      <w:pPr>
        <w:pStyle w:val="BodyText"/>
      </w:pPr>
      <w:r w:rsidRPr="006222EA">
        <w:t xml:space="preserve">The </w:t>
      </w:r>
      <w:r w:rsidRPr="006222EA">
        <w:rPr>
          <w:b/>
        </w:rPr>
        <w:t>Pacific Islands Centre for Public Administration (</w:t>
      </w:r>
      <w:r w:rsidRPr="006222EA">
        <w:rPr>
          <w:b/>
          <w:lang w:eastAsia="en-US"/>
        </w:rPr>
        <w:t>PICPA)</w:t>
      </w:r>
      <w:r w:rsidRPr="006222EA">
        <w:rPr>
          <w:lang w:eastAsia="en-US"/>
        </w:rPr>
        <w:t xml:space="preserve"> is hosted by</w:t>
      </w:r>
      <w:r w:rsidR="00224AD0">
        <w:rPr>
          <w:lang w:eastAsia="en-US"/>
        </w:rPr>
        <w:t xml:space="preserve"> the</w:t>
      </w:r>
      <w:r w:rsidRPr="006222EA">
        <w:rPr>
          <w:lang w:eastAsia="en-US"/>
        </w:rPr>
        <w:t xml:space="preserve"> USP and assists Pacific </w:t>
      </w:r>
      <w:r w:rsidR="00E35959">
        <w:rPr>
          <w:lang w:eastAsia="en-US"/>
        </w:rPr>
        <w:t>i</w:t>
      </w:r>
      <w:r w:rsidRPr="006222EA">
        <w:rPr>
          <w:lang w:eastAsia="en-US"/>
        </w:rPr>
        <w:t xml:space="preserve">sland </w:t>
      </w:r>
      <w:r w:rsidR="00943BC9">
        <w:rPr>
          <w:lang w:eastAsia="en-US"/>
        </w:rPr>
        <w:t>g</w:t>
      </w:r>
      <w:r w:rsidRPr="006222EA">
        <w:rPr>
          <w:lang w:eastAsia="en-US"/>
        </w:rPr>
        <w:t>overnments to improve the performance of their public sector institutions</w:t>
      </w:r>
      <w:r w:rsidRPr="006222EA">
        <w:t xml:space="preserve">. The inaugural PICPA </w:t>
      </w:r>
      <w:r w:rsidR="00F51A9A">
        <w:t>c</w:t>
      </w:r>
      <w:r w:rsidRPr="006222EA">
        <w:t xml:space="preserve">onference in November 2012 brought together representatives </w:t>
      </w:r>
      <w:r w:rsidR="0011370A" w:rsidRPr="006222EA">
        <w:t>from 14</w:t>
      </w:r>
      <w:r w:rsidRPr="006222EA">
        <w:t xml:space="preserve"> P</w:t>
      </w:r>
      <w:r w:rsidR="004F1C6C">
        <w:t>ICs</w:t>
      </w:r>
      <w:r w:rsidRPr="006222EA">
        <w:t xml:space="preserve"> to identify priorities for public sector capacity development. The current schedule of PICPA training activities includ</w:t>
      </w:r>
      <w:r w:rsidR="00614F88" w:rsidRPr="006222EA">
        <w:t>es</w:t>
      </w:r>
      <w:r w:rsidRPr="006222EA">
        <w:t xml:space="preserve"> </w:t>
      </w:r>
      <w:r w:rsidR="00943BC9">
        <w:t>p</w:t>
      </w:r>
      <w:r w:rsidRPr="006222EA">
        <w:t xml:space="preserve">ublic </w:t>
      </w:r>
      <w:r w:rsidR="00943BC9">
        <w:t>f</w:t>
      </w:r>
      <w:r w:rsidRPr="006222EA">
        <w:t xml:space="preserve">inancial </w:t>
      </w:r>
      <w:r w:rsidR="00943BC9">
        <w:t>m</w:t>
      </w:r>
      <w:r w:rsidRPr="006222EA">
        <w:t xml:space="preserve">anagement, </w:t>
      </w:r>
      <w:r w:rsidR="00943BC9">
        <w:t>b</w:t>
      </w:r>
      <w:r w:rsidRPr="006222EA">
        <w:t xml:space="preserve">udget </w:t>
      </w:r>
      <w:r w:rsidR="00943BC9">
        <w:t>p</w:t>
      </w:r>
      <w:r w:rsidRPr="006222EA">
        <w:t xml:space="preserve">olicy, </w:t>
      </w:r>
      <w:r w:rsidR="00943BC9">
        <w:t>p</w:t>
      </w:r>
      <w:r w:rsidRPr="006222EA">
        <w:t xml:space="preserve">rivate </w:t>
      </w:r>
      <w:r w:rsidR="00943BC9">
        <w:t>s</w:t>
      </w:r>
      <w:r w:rsidRPr="006222EA">
        <w:t xml:space="preserve">ector </w:t>
      </w:r>
      <w:r w:rsidR="00943BC9">
        <w:t>p</w:t>
      </w:r>
      <w:r w:rsidR="00614F88" w:rsidRPr="006222EA">
        <w:t xml:space="preserve">olicy </w:t>
      </w:r>
      <w:r w:rsidRPr="006222EA">
        <w:t xml:space="preserve">as well as </w:t>
      </w:r>
      <w:r w:rsidR="00943BC9">
        <w:t>o</w:t>
      </w:r>
      <w:r w:rsidRPr="006222EA">
        <w:t xml:space="preserve">rganisational and </w:t>
      </w:r>
      <w:r w:rsidR="00943BC9">
        <w:t>h</w:t>
      </w:r>
      <w:r w:rsidRPr="006222EA">
        <w:t xml:space="preserve">uman </w:t>
      </w:r>
      <w:r w:rsidR="00943BC9">
        <w:t>r</w:t>
      </w:r>
      <w:r w:rsidRPr="006222EA">
        <w:t xml:space="preserve">esource </w:t>
      </w:r>
      <w:r w:rsidR="00943BC9">
        <w:t>m</w:t>
      </w:r>
      <w:r w:rsidRPr="006222EA">
        <w:t xml:space="preserve">anagement. </w:t>
      </w:r>
    </w:p>
    <w:p w14:paraId="420DC6F8" w14:textId="77777777" w:rsidR="0033037D" w:rsidRPr="006222EA" w:rsidRDefault="0033037D" w:rsidP="005B66B3">
      <w:pPr>
        <w:pStyle w:val="BodyText"/>
        <w:rPr>
          <w:lang w:eastAsia="en-US"/>
        </w:rPr>
      </w:pPr>
      <w:r w:rsidRPr="006222EA">
        <w:t>The</w:t>
      </w:r>
      <w:r w:rsidRPr="006222EA">
        <w:rPr>
          <w:b/>
        </w:rPr>
        <w:t xml:space="preserve"> Pacific Public Sector Linkages Program</w:t>
      </w:r>
      <w:r w:rsidRPr="006222EA">
        <w:t xml:space="preserve"> (Pacific PSLP) provides funds to Australian </w:t>
      </w:r>
      <w:r w:rsidR="00A90EC5">
        <w:t>G</w:t>
      </w:r>
      <w:r w:rsidRPr="006222EA">
        <w:t xml:space="preserve">overnment agencies and public universities to undertake work with Pacific counterparts. No new </w:t>
      </w:r>
      <w:r w:rsidR="00943BC9">
        <w:t>funding</w:t>
      </w:r>
      <w:r w:rsidR="00943BC9" w:rsidRPr="006222EA">
        <w:t xml:space="preserve"> </w:t>
      </w:r>
      <w:r w:rsidRPr="006222EA">
        <w:t xml:space="preserve">rounds will be offered following the decision to replace </w:t>
      </w:r>
      <w:r w:rsidR="00943BC9">
        <w:t>PSLP</w:t>
      </w:r>
      <w:r w:rsidR="00943BC9" w:rsidRPr="006222EA">
        <w:t xml:space="preserve"> </w:t>
      </w:r>
      <w:r w:rsidRPr="006222EA">
        <w:t>with the Government Part</w:t>
      </w:r>
      <w:r w:rsidR="00871FBE">
        <w:t xml:space="preserve">nerships for Development </w:t>
      </w:r>
      <w:r w:rsidRPr="006222EA">
        <w:t xml:space="preserve">program. </w:t>
      </w:r>
      <w:r w:rsidR="00943BC9">
        <w:t>Fifty</w:t>
      </w:r>
      <w:r w:rsidRPr="006222EA">
        <w:t xml:space="preserve"> Pacific PSLP projects </w:t>
      </w:r>
      <w:r w:rsidR="00614F88" w:rsidRPr="006222EA">
        <w:t xml:space="preserve">continued across </w:t>
      </w:r>
      <w:r w:rsidRPr="006222EA">
        <w:t xml:space="preserve">the region </w:t>
      </w:r>
      <w:r w:rsidR="00943BC9">
        <w:t>in</w:t>
      </w:r>
      <w:r w:rsidR="00943BC9" w:rsidRPr="006222EA">
        <w:t xml:space="preserve"> </w:t>
      </w:r>
      <w:r w:rsidRPr="006222EA">
        <w:t xml:space="preserve">2012 </w:t>
      </w:r>
      <w:r w:rsidR="00614F88" w:rsidRPr="006222EA">
        <w:t xml:space="preserve">with </w:t>
      </w:r>
      <w:r w:rsidRPr="006222EA">
        <w:t>up to 575 Pacific public servants participating in training, work placements and conferences.</w:t>
      </w:r>
    </w:p>
    <w:p w14:paraId="420DC6F9" w14:textId="556BF707" w:rsidR="0033037D" w:rsidRPr="006222EA" w:rsidRDefault="00ED22BA" w:rsidP="005B66B3">
      <w:pPr>
        <w:pStyle w:val="BodyText"/>
        <w:rPr>
          <w:rFonts w:ascii="Arial" w:hAnsi="Arial" w:cs="Arial"/>
          <w:bCs/>
        </w:rPr>
      </w:pPr>
      <w:r>
        <w:rPr>
          <w:lang w:eastAsia="en-US"/>
        </w:rPr>
        <w:t>The department</w:t>
      </w:r>
      <w:r w:rsidR="0033037D" w:rsidRPr="006222EA">
        <w:rPr>
          <w:lang w:eastAsia="en-US"/>
        </w:rPr>
        <w:t xml:space="preserve"> supports the Australian Electoral Commission to provide secretariat and general support to the </w:t>
      </w:r>
      <w:r w:rsidR="0033037D" w:rsidRPr="006222EA">
        <w:rPr>
          <w:b/>
          <w:lang w:eastAsia="en-US"/>
        </w:rPr>
        <w:t>Pacific Islands, Australia &amp; New Zealand Electoral Administration Network.</w:t>
      </w:r>
      <w:r w:rsidR="0033037D" w:rsidRPr="006222EA">
        <w:rPr>
          <w:lang w:eastAsia="en-US"/>
        </w:rPr>
        <w:t xml:space="preserve"> </w:t>
      </w:r>
      <w:r w:rsidR="0033037D" w:rsidRPr="006222EA">
        <w:t xml:space="preserve">A recent achievement was the delivery of a Building Resources in Democracy, Governance and Election (BRIDGE) workshop in Alofi, Niue in February 2013. A </w:t>
      </w:r>
      <w:r w:rsidR="00943BC9">
        <w:t>10</w:t>
      </w:r>
      <w:r w:rsidR="0033037D" w:rsidRPr="006222EA">
        <w:t xml:space="preserve">-day </w:t>
      </w:r>
      <w:r w:rsidR="0033037D" w:rsidRPr="006222EA">
        <w:lastRenderedPageBreak/>
        <w:t>‘train</w:t>
      </w:r>
      <w:r w:rsidR="0033037D" w:rsidRPr="006222EA">
        <w:rPr>
          <w:bCs/>
          <w:lang w:val="en-US"/>
        </w:rPr>
        <w:t xml:space="preserve"> the trainer’ program was delivered aimed at accrediting a core group of local trainers to become BRIDGE facilitators. </w:t>
      </w:r>
    </w:p>
    <w:p w14:paraId="420DC6FA" w14:textId="77777777" w:rsidR="0033037D" w:rsidRPr="006222EA" w:rsidRDefault="0033037D" w:rsidP="005B66B3">
      <w:pPr>
        <w:pStyle w:val="BodyText"/>
      </w:pPr>
      <w:r w:rsidRPr="006222EA">
        <w:t xml:space="preserve">The </w:t>
      </w:r>
      <w:r w:rsidRPr="006222EA">
        <w:rPr>
          <w:b/>
        </w:rPr>
        <w:t>Pacific Ombudsman Alliance</w:t>
      </w:r>
      <w:r w:rsidRPr="006222EA">
        <w:t xml:space="preserve"> support</w:t>
      </w:r>
      <w:r w:rsidR="00943BC9">
        <w:t>s</w:t>
      </w:r>
      <w:r w:rsidRPr="006222EA">
        <w:t xml:space="preserve"> the right of citizens to transparent and accountable government services. </w:t>
      </w:r>
      <w:r w:rsidR="00614F88" w:rsidRPr="006222EA">
        <w:t xml:space="preserve">The </w:t>
      </w:r>
      <w:r w:rsidR="00943BC9">
        <w:t>alliance</w:t>
      </w:r>
      <w:r w:rsidR="00943BC9" w:rsidRPr="006222EA">
        <w:t xml:space="preserve"> </w:t>
      </w:r>
      <w:r w:rsidRPr="006222EA">
        <w:t>assisted the</w:t>
      </w:r>
      <w:r w:rsidR="003159EA">
        <w:t xml:space="preserve"> </w:t>
      </w:r>
      <w:r w:rsidR="003159EA" w:rsidRPr="006222EA">
        <w:t>Auditor-General’s Office</w:t>
      </w:r>
      <w:r w:rsidR="003159EA">
        <w:t xml:space="preserve"> in the</w:t>
      </w:r>
      <w:r w:rsidRPr="006222EA">
        <w:t xml:space="preserve"> Republic of Marshall Islands to establish a specialist investigation unit for addressing complaints made by the public. </w:t>
      </w:r>
    </w:p>
    <w:p w14:paraId="420DC6FB" w14:textId="77777777" w:rsidR="0033037D" w:rsidRPr="006222EA" w:rsidRDefault="0033037D" w:rsidP="0033037D">
      <w:pPr>
        <w:pStyle w:val="Heading3"/>
      </w:pPr>
      <w:r w:rsidRPr="006222EA">
        <w:rPr>
          <w:rFonts w:eastAsia="SimSun"/>
        </w:rPr>
        <w:t>Statistics</w:t>
      </w:r>
    </w:p>
    <w:p w14:paraId="420DC6FC" w14:textId="77777777" w:rsidR="0033037D" w:rsidRPr="006222EA" w:rsidRDefault="0033037D" w:rsidP="005B66B3">
      <w:pPr>
        <w:pStyle w:val="BodyText"/>
      </w:pPr>
      <w:r w:rsidRPr="006222EA">
        <w:t xml:space="preserve">The </w:t>
      </w:r>
      <w:r w:rsidRPr="006222EA">
        <w:rPr>
          <w:b/>
        </w:rPr>
        <w:t>Ten Year Pacific Statistics Strategy</w:t>
      </w:r>
      <w:r w:rsidRPr="006222EA">
        <w:t xml:space="preserve"> strengthen</w:t>
      </w:r>
      <w:r w:rsidR="00943BC9">
        <w:t>s</w:t>
      </w:r>
      <w:r w:rsidRPr="006222EA">
        <w:t xml:space="preserve"> statistical services and data collection in the Pacific. </w:t>
      </w:r>
      <w:r w:rsidR="007129D7" w:rsidRPr="006222EA">
        <w:t>Australia</w:t>
      </w:r>
      <w:r w:rsidRPr="006222EA">
        <w:t xml:space="preserve"> seeks to generate better evidence-based decision</w:t>
      </w:r>
      <w:r w:rsidR="00943BC9">
        <w:t xml:space="preserve"> </w:t>
      </w:r>
      <w:r w:rsidRPr="006222EA">
        <w:t>making a</w:t>
      </w:r>
      <w:r w:rsidR="00943BC9">
        <w:t>nd</w:t>
      </w:r>
      <w:r w:rsidRPr="006222EA">
        <w:t xml:space="preserve"> better tracking of development and aid effectiveness strategies. A key </w:t>
      </w:r>
      <w:r w:rsidR="00614F88" w:rsidRPr="006222EA">
        <w:t xml:space="preserve">outcome </w:t>
      </w:r>
      <w:r w:rsidRPr="006222EA">
        <w:t xml:space="preserve">is that </w:t>
      </w:r>
      <w:r w:rsidR="00943BC9">
        <w:t>most</w:t>
      </w:r>
      <w:r w:rsidRPr="006222EA">
        <w:t xml:space="preserve"> </w:t>
      </w:r>
      <w:r w:rsidR="00614F88" w:rsidRPr="006222EA">
        <w:t xml:space="preserve">regional </w:t>
      </w:r>
      <w:r w:rsidRPr="006222EA">
        <w:t xml:space="preserve">countries have completed a census. </w:t>
      </w:r>
      <w:r w:rsidR="002F2755">
        <w:t>S</w:t>
      </w:r>
      <w:r w:rsidRPr="006222EA">
        <w:t>tatistical standards across the Pacific</w:t>
      </w:r>
      <w:r w:rsidR="002F2755">
        <w:t xml:space="preserve"> are better harmonised</w:t>
      </w:r>
      <w:r w:rsidRPr="006222EA">
        <w:t xml:space="preserve"> through the </w:t>
      </w:r>
      <w:r w:rsidR="002F2755">
        <w:t>use</w:t>
      </w:r>
      <w:r w:rsidR="002F2755" w:rsidRPr="006222EA">
        <w:t xml:space="preserve"> </w:t>
      </w:r>
      <w:r w:rsidRPr="006222EA">
        <w:t>of common tools and systems</w:t>
      </w:r>
      <w:r w:rsidR="002F2755">
        <w:t>,</w:t>
      </w:r>
      <w:r w:rsidRPr="006222EA">
        <w:t xml:space="preserve"> including the Pacific Household Income and Expenditure Survey, allowing easier comparison across the region.</w:t>
      </w:r>
    </w:p>
    <w:p w14:paraId="420DC6FD" w14:textId="77777777" w:rsidR="0033037D" w:rsidRPr="006222EA" w:rsidRDefault="0033037D" w:rsidP="0033037D">
      <w:pPr>
        <w:pStyle w:val="Heading3"/>
      </w:pPr>
      <w:r w:rsidRPr="006222EA">
        <w:t>Audit and finance</w:t>
      </w:r>
    </w:p>
    <w:p w14:paraId="420DC6FE" w14:textId="77777777" w:rsidR="0033037D" w:rsidRPr="006222EA" w:rsidRDefault="0033037D" w:rsidP="005B66B3">
      <w:pPr>
        <w:pStyle w:val="BodyText"/>
      </w:pPr>
      <w:r w:rsidRPr="006222EA">
        <w:t xml:space="preserve">The </w:t>
      </w:r>
      <w:r w:rsidRPr="006222EA">
        <w:rPr>
          <w:b/>
        </w:rPr>
        <w:t>Regional Public Financial Management Pacific</w:t>
      </w:r>
      <w:r w:rsidR="00943BC9">
        <w:rPr>
          <w:b/>
        </w:rPr>
        <w:t>,</w:t>
      </w:r>
      <w:r w:rsidR="00012E3B">
        <w:t xml:space="preserve"> managed by the Department of Finance and Deregulation</w:t>
      </w:r>
      <w:r w:rsidR="00943BC9">
        <w:t>,</w:t>
      </w:r>
      <w:r w:rsidRPr="006222EA">
        <w:t xml:space="preserve"> improve</w:t>
      </w:r>
      <w:r w:rsidR="00943BC9">
        <w:t>s</w:t>
      </w:r>
      <w:r w:rsidRPr="006222EA">
        <w:t xml:space="preserve"> the quality of </w:t>
      </w:r>
      <w:r w:rsidR="00943BC9">
        <w:t>p</w:t>
      </w:r>
      <w:r w:rsidRPr="006222EA">
        <w:t xml:space="preserve">ublic </w:t>
      </w:r>
      <w:r w:rsidR="00943BC9">
        <w:t>f</w:t>
      </w:r>
      <w:r w:rsidRPr="006222EA">
        <w:t xml:space="preserve">inancial </w:t>
      </w:r>
      <w:r w:rsidR="00943BC9">
        <w:t>m</w:t>
      </w:r>
      <w:r w:rsidRPr="006222EA">
        <w:t>anagement of P</w:t>
      </w:r>
      <w:r w:rsidR="004F1C6C">
        <w:t>ICs</w:t>
      </w:r>
      <w:r w:rsidRPr="006222EA">
        <w:t>. One project is improv</w:t>
      </w:r>
      <w:r w:rsidR="00943BC9">
        <w:t>ing</w:t>
      </w:r>
      <w:r w:rsidRPr="006222EA">
        <w:t xml:space="preserve"> the non-tax revenue in Samoa</w:t>
      </w:r>
      <w:r w:rsidR="00884D34" w:rsidRPr="006222EA">
        <w:t xml:space="preserve"> and may </w:t>
      </w:r>
      <w:r w:rsidRPr="006222EA">
        <w:t xml:space="preserve">increase government revenue by up to 1 per cent of </w:t>
      </w:r>
      <w:r w:rsidR="00943BC9">
        <w:t>gross domestic product</w:t>
      </w:r>
      <w:r w:rsidRPr="006222EA">
        <w:t>.</w:t>
      </w:r>
    </w:p>
    <w:p w14:paraId="420DC6FF" w14:textId="29F09C83" w:rsidR="0033037D" w:rsidRPr="006222EA" w:rsidRDefault="00ED22BA" w:rsidP="005B66B3">
      <w:pPr>
        <w:pStyle w:val="BodyText"/>
      </w:pPr>
      <w:r>
        <w:t xml:space="preserve">Australia </w:t>
      </w:r>
      <w:r w:rsidR="0033037D" w:rsidRPr="006222EA">
        <w:t xml:space="preserve">contributes to the </w:t>
      </w:r>
      <w:r w:rsidR="0033037D" w:rsidRPr="006222EA">
        <w:rPr>
          <w:b/>
        </w:rPr>
        <w:t>Pacific Financial Technical Assistance Centre</w:t>
      </w:r>
      <w:r w:rsidR="0033037D" w:rsidRPr="006222EA">
        <w:t xml:space="preserve"> which provides technical advice and training on public financial management, tax administration, banking supervision and statistics.</w:t>
      </w:r>
      <w:r w:rsidR="0033037D" w:rsidRPr="006222EA">
        <w:rPr>
          <w:color w:val="000000"/>
        </w:rPr>
        <w:t xml:space="preserve"> </w:t>
      </w:r>
      <w:r w:rsidR="002F2755">
        <w:rPr>
          <w:color w:val="000000"/>
        </w:rPr>
        <w:t>The centre</w:t>
      </w:r>
      <w:r w:rsidR="0033037D" w:rsidRPr="006222EA">
        <w:t xml:space="preserve"> assisted </w:t>
      </w:r>
      <w:r w:rsidR="00884D34" w:rsidRPr="006222EA">
        <w:t xml:space="preserve">four </w:t>
      </w:r>
      <w:r w:rsidR="0033037D" w:rsidRPr="006222EA">
        <w:t xml:space="preserve">professional associations in the Pacific that encourage </w:t>
      </w:r>
      <w:r w:rsidR="002F2755">
        <w:t xml:space="preserve">information and </w:t>
      </w:r>
      <w:r w:rsidR="0033037D" w:rsidRPr="006222EA">
        <w:t>experience</w:t>
      </w:r>
      <w:r w:rsidR="002F2755">
        <w:t xml:space="preserve"> </w:t>
      </w:r>
      <w:r w:rsidR="0033037D" w:rsidRPr="006222EA">
        <w:t>s</w:t>
      </w:r>
      <w:r w:rsidR="002F2755">
        <w:t>haring</w:t>
      </w:r>
      <w:r w:rsidR="0033037D" w:rsidRPr="006222EA">
        <w:t>. In 2012</w:t>
      </w:r>
      <w:r w:rsidR="002F2755">
        <w:t>–</w:t>
      </w:r>
      <w:r w:rsidR="0033037D" w:rsidRPr="006222EA">
        <w:t xml:space="preserve">13, </w:t>
      </w:r>
      <w:r w:rsidR="002F2755">
        <w:t>the centre</w:t>
      </w:r>
      <w:r w:rsidR="0033037D" w:rsidRPr="006222EA">
        <w:t>, in partnership with</w:t>
      </w:r>
      <w:r w:rsidR="002F2755">
        <w:t xml:space="preserve"> the </w:t>
      </w:r>
      <w:r w:rsidR="0033037D" w:rsidRPr="006222EA">
        <w:t xml:space="preserve">ADB, </w:t>
      </w:r>
      <w:r w:rsidR="002F2755">
        <w:t>worked on</w:t>
      </w:r>
      <w:r w:rsidR="002F2755" w:rsidRPr="006222EA">
        <w:t xml:space="preserve"> </w:t>
      </w:r>
      <w:r w:rsidR="0033037D" w:rsidRPr="006222EA">
        <w:t xml:space="preserve">developing </w:t>
      </w:r>
      <w:r w:rsidR="002F2755">
        <w:t xml:space="preserve">a </w:t>
      </w:r>
      <w:r w:rsidR="0033037D" w:rsidRPr="006222EA">
        <w:t>regional best practice</w:t>
      </w:r>
      <w:r w:rsidR="002F2755">
        <w:t xml:space="preserve"> guide for</w:t>
      </w:r>
      <w:r w:rsidR="0033037D" w:rsidRPr="006222EA">
        <w:t xml:space="preserve"> medium</w:t>
      </w:r>
      <w:r w:rsidR="002F2755">
        <w:t>-</w:t>
      </w:r>
      <w:r w:rsidR="0033037D" w:rsidRPr="006222EA">
        <w:t>term budgeting</w:t>
      </w:r>
      <w:r w:rsidR="002F2755">
        <w:t xml:space="preserve"> and </w:t>
      </w:r>
      <w:r w:rsidR="0033037D" w:rsidRPr="006222EA">
        <w:t xml:space="preserve">citizen guides on understanding the annual budget. </w:t>
      </w:r>
    </w:p>
    <w:p w14:paraId="420DC700" w14:textId="77777777" w:rsidR="0033037D" w:rsidRPr="006222EA" w:rsidRDefault="0033037D" w:rsidP="005B66B3">
      <w:pPr>
        <w:pStyle w:val="BodyText"/>
      </w:pPr>
      <w:r w:rsidRPr="006222EA">
        <w:t xml:space="preserve">The </w:t>
      </w:r>
      <w:r w:rsidRPr="006222EA">
        <w:rPr>
          <w:b/>
        </w:rPr>
        <w:t>Pac</w:t>
      </w:r>
      <w:r w:rsidR="00871FBE">
        <w:rPr>
          <w:b/>
        </w:rPr>
        <w:t>ific Regional Audit Initiative</w:t>
      </w:r>
      <w:r w:rsidRPr="006222EA">
        <w:t xml:space="preserve"> enables the public accounts of participating countries to be audited to uniformly</w:t>
      </w:r>
      <w:r w:rsidR="002F2755">
        <w:t xml:space="preserve"> </w:t>
      </w:r>
      <w:r w:rsidRPr="006222EA">
        <w:t>high standards</w:t>
      </w:r>
      <w:r w:rsidR="00884D34" w:rsidRPr="006222EA">
        <w:t xml:space="preserve">, </w:t>
      </w:r>
      <w:r w:rsidRPr="006222EA">
        <w:t>improv</w:t>
      </w:r>
      <w:r w:rsidR="00884D34" w:rsidRPr="006222EA">
        <w:t xml:space="preserve">ing </w:t>
      </w:r>
      <w:r w:rsidRPr="006222EA">
        <w:t>accountability</w:t>
      </w:r>
      <w:r w:rsidR="00884D34" w:rsidRPr="006222EA">
        <w:t>. In 2012</w:t>
      </w:r>
      <w:r w:rsidR="002735C8" w:rsidRPr="006222EA">
        <w:t>, 15</w:t>
      </w:r>
      <w:r w:rsidRPr="006222EA">
        <w:t xml:space="preserve"> P</w:t>
      </w:r>
      <w:r w:rsidR="004F1C6C">
        <w:t>ICs</w:t>
      </w:r>
      <w:r w:rsidRPr="006222EA">
        <w:t xml:space="preserve"> completed between one and three audits in the areas of solid waste, access to safe drinking water and management of sustainable fisheries. </w:t>
      </w:r>
    </w:p>
    <w:p w14:paraId="420DC701" w14:textId="77777777" w:rsidR="0033037D" w:rsidRPr="006222EA" w:rsidRDefault="0033037D" w:rsidP="0033037D">
      <w:pPr>
        <w:pStyle w:val="Heading3"/>
      </w:pPr>
      <w:r w:rsidRPr="006222EA">
        <w:t>Technical assistance</w:t>
      </w:r>
    </w:p>
    <w:p w14:paraId="420DC702" w14:textId="77777777" w:rsidR="0033037D" w:rsidRPr="006222EA" w:rsidRDefault="0033037D" w:rsidP="005B66B3">
      <w:pPr>
        <w:pStyle w:val="BodyText"/>
      </w:pPr>
      <w:r w:rsidRPr="0068252A">
        <w:t>The</w:t>
      </w:r>
      <w:r w:rsidRPr="006222EA">
        <w:rPr>
          <w:b/>
        </w:rPr>
        <w:t xml:space="preserve"> Pacific Technical Assistance Mission</w:t>
      </w:r>
      <w:r w:rsidRPr="006222EA">
        <w:t xml:space="preserve"> (PACTAM) was established in 2006 to respond to urgent or emerging development needs in Pacific countries</w:t>
      </w:r>
      <w:r w:rsidR="00884D34" w:rsidRPr="006222EA">
        <w:t xml:space="preserve">. </w:t>
      </w:r>
      <w:r w:rsidRPr="006222EA">
        <w:t xml:space="preserve">PACTAM advisers often </w:t>
      </w:r>
      <w:r w:rsidR="002F2755">
        <w:t>play</w:t>
      </w:r>
      <w:r w:rsidR="002F2755" w:rsidRPr="006222EA">
        <w:t xml:space="preserve"> </w:t>
      </w:r>
      <w:r w:rsidRPr="006222EA">
        <w:t xml:space="preserve">a vital </w:t>
      </w:r>
      <w:r w:rsidR="002F2755">
        <w:t>role in</w:t>
      </w:r>
      <w:r w:rsidRPr="006222EA">
        <w:t xml:space="preserve"> sector programs, substituting or</w:t>
      </w:r>
      <w:r w:rsidR="00884D34" w:rsidRPr="006222EA">
        <w:t xml:space="preserve"> </w:t>
      </w:r>
      <w:r w:rsidRPr="006222EA">
        <w:t xml:space="preserve">supplementing capacity in partner governments to help achieve outcomes </w:t>
      </w:r>
      <w:r w:rsidR="002F2755">
        <w:t>under p</w:t>
      </w:r>
      <w:r w:rsidRPr="006222EA">
        <w:t xml:space="preserve">artnerships for </w:t>
      </w:r>
      <w:r w:rsidR="002F2755">
        <w:t>d</w:t>
      </w:r>
      <w:r w:rsidRPr="006222EA">
        <w:t xml:space="preserve">evelopment. In 2012, 72 PACTAM </w:t>
      </w:r>
      <w:proofErr w:type="spellStart"/>
      <w:r w:rsidRPr="006222EA">
        <w:t>deployees</w:t>
      </w:r>
      <w:proofErr w:type="spellEnd"/>
      <w:r w:rsidRPr="006222EA">
        <w:t xml:space="preserve"> were on assignment a</w:t>
      </w:r>
      <w:r w:rsidR="0023610E" w:rsidRPr="006222EA">
        <w:t>cross 11 PIC</w:t>
      </w:r>
      <w:r w:rsidRPr="006222EA">
        <w:t>s, with assignments lasting on average for two years</w:t>
      </w:r>
      <w:r w:rsidR="002F2755">
        <w:t>, including</w:t>
      </w:r>
      <w:r w:rsidR="00884D34" w:rsidRPr="006222EA">
        <w:t xml:space="preserve"> in </w:t>
      </w:r>
      <w:r w:rsidR="0068252A" w:rsidRPr="006222EA">
        <w:t>climate change</w:t>
      </w:r>
      <w:r w:rsidR="0068252A">
        <w:t>,</w:t>
      </w:r>
      <w:r w:rsidR="0068252A" w:rsidRPr="006222EA">
        <w:t xml:space="preserve"> education, finance</w:t>
      </w:r>
      <w:r w:rsidR="0068252A">
        <w:t>,</w:t>
      </w:r>
      <w:r w:rsidR="0068252A" w:rsidRPr="006222EA">
        <w:t xml:space="preserve"> </w:t>
      </w:r>
      <w:r w:rsidRPr="006222EA">
        <w:t xml:space="preserve">governance, </w:t>
      </w:r>
      <w:r w:rsidR="0068252A" w:rsidRPr="006222EA">
        <w:t xml:space="preserve">health, </w:t>
      </w:r>
      <w:r w:rsidRPr="006222EA">
        <w:t>infrastructure</w:t>
      </w:r>
      <w:r w:rsidR="0068252A">
        <w:t xml:space="preserve"> and tax</w:t>
      </w:r>
      <w:r w:rsidRPr="006222EA">
        <w:t>.</w:t>
      </w:r>
    </w:p>
    <w:p w14:paraId="420DC703" w14:textId="3D25B9ED" w:rsidR="0033037D" w:rsidRPr="006222EA" w:rsidRDefault="0033037D" w:rsidP="005B66B3">
      <w:pPr>
        <w:pStyle w:val="BodyText"/>
      </w:pPr>
      <w:r w:rsidRPr="006222EA">
        <w:t>Managed by a single managing contractor, PACTAM reduces administrative burden and represents good value for money</w:t>
      </w:r>
      <w:r w:rsidR="00884D34" w:rsidRPr="006222EA">
        <w:t>. M</w:t>
      </w:r>
      <w:r w:rsidRPr="006222EA">
        <w:t>anagement costs are kept low through economies of scale and cross-subsidisation (</w:t>
      </w:r>
      <w:r w:rsidR="002F2755">
        <w:t>for example,</w:t>
      </w:r>
      <w:r w:rsidRPr="006222EA">
        <w:t xml:space="preserve"> smaller, more remote programs benefit from the same level of service as larger, better resourced programs).</w:t>
      </w:r>
      <w:r w:rsidR="00884D34" w:rsidRPr="006222EA">
        <w:t xml:space="preserve"> </w:t>
      </w:r>
      <w:r w:rsidR="00F331F0">
        <w:t xml:space="preserve">Based on the findings of </w:t>
      </w:r>
      <w:r w:rsidRPr="006222EA">
        <w:t>an independent review</w:t>
      </w:r>
      <w:r w:rsidR="00893E5F">
        <w:t xml:space="preserve"> completed in February 2012 by </w:t>
      </w:r>
      <w:r w:rsidR="008B2858">
        <w:t>a monitoring and evaluation</w:t>
      </w:r>
      <w:r w:rsidR="00893E5F">
        <w:t xml:space="preserve"> </w:t>
      </w:r>
      <w:proofErr w:type="gramStart"/>
      <w:r w:rsidR="00893E5F">
        <w:t xml:space="preserve">specialist </w:t>
      </w:r>
      <w:r w:rsidR="00884D34" w:rsidRPr="006222EA">
        <w:t>,</w:t>
      </w:r>
      <w:proofErr w:type="gramEnd"/>
      <w:r w:rsidR="00884D34" w:rsidRPr="006222EA">
        <w:t xml:space="preserve"> </w:t>
      </w:r>
      <w:r w:rsidR="00F331F0">
        <w:t xml:space="preserve">the design of the next phase of PACTAM </w:t>
      </w:r>
      <w:r w:rsidRPr="006222EA">
        <w:t xml:space="preserve">is </w:t>
      </w:r>
      <w:r w:rsidR="00884D34" w:rsidRPr="006222EA">
        <w:t>nearing completion</w:t>
      </w:r>
      <w:r w:rsidR="002F2755">
        <w:t xml:space="preserve"> and</w:t>
      </w:r>
      <w:r w:rsidRPr="006222EA">
        <w:t xml:space="preserve"> will place stronger emphasis on priority outcomes identified in </w:t>
      </w:r>
      <w:r w:rsidR="00884D34" w:rsidRPr="006222EA">
        <w:t xml:space="preserve">bilateral </w:t>
      </w:r>
      <w:r w:rsidR="002F2755">
        <w:t>p</w:t>
      </w:r>
      <w:r w:rsidRPr="006222EA">
        <w:t>artnership agreements.</w:t>
      </w:r>
      <w:r w:rsidR="00893E5F">
        <w:t xml:space="preserve"> </w:t>
      </w:r>
    </w:p>
    <w:p w14:paraId="420DC704" w14:textId="77777777" w:rsidR="0033037D" w:rsidRPr="006222EA" w:rsidRDefault="0033037D" w:rsidP="0033037D">
      <w:pPr>
        <w:pStyle w:val="Heading3"/>
      </w:pPr>
      <w:r w:rsidRPr="006222EA">
        <w:lastRenderedPageBreak/>
        <w:t>Law and justice</w:t>
      </w:r>
    </w:p>
    <w:p w14:paraId="420DC705" w14:textId="77777777" w:rsidR="0033037D" w:rsidRPr="006222EA" w:rsidRDefault="0033037D" w:rsidP="005B66B3">
      <w:pPr>
        <w:pStyle w:val="BodyText"/>
      </w:pPr>
      <w:r w:rsidRPr="006222EA">
        <w:t xml:space="preserve">The SPC </w:t>
      </w:r>
      <w:r w:rsidRPr="006222EA">
        <w:rPr>
          <w:b/>
        </w:rPr>
        <w:t>Regional Rights Resource Team</w:t>
      </w:r>
      <w:r w:rsidRPr="006222EA">
        <w:t xml:space="preserve"> provides policy advice, technical support and training on human rights, governance, democracy and the rule of law. </w:t>
      </w:r>
      <w:r w:rsidR="002F2755">
        <w:t>The team has, for</w:t>
      </w:r>
      <w:r w:rsidR="002F2755" w:rsidRPr="006222EA">
        <w:t xml:space="preserve"> </w:t>
      </w:r>
      <w:r w:rsidRPr="006222EA">
        <w:t xml:space="preserve">example, </w:t>
      </w:r>
      <w:r w:rsidR="002F2755">
        <w:t>drafted p</w:t>
      </w:r>
      <w:r w:rsidRPr="006222EA">
        <w:t xml:space="preserve">revention of </w:t>
      </w:r>
      <w:r w:rsidR="002F2755">
        <w:t>v</w:t>
      </w:r>
      <w:r w:rsidRPr="006222EA">
        <w:t xml:space="preserve">iolence </w:t>
      </w:r>
      <w:r w:rsidR="002F2755">
        <w:t>a</w:t>
      </w:r>
      <w:r w:rsidRPr="006222EA">
        <w:t xml:space="preserve">gainst </w:t>
      </w:r>
      <w:r w:rsidR="002F2755">
        <w:t>w</w:t>
      </w:r>
      <w:r w:rsidRPr="006222EA">
        <w:t>omen Bills for Kiribati</w:t>
      </w:r>
      <w:r w:rsidR="002F2755">
        <w:t>,</w:t>
      </w:r>
      <w:r w:rsidRPr="006222EA">
        <w:t xml:space="preserve"> Tonga</w:t>
      </w:r>
      <w:r w:rsidR="002F2755">
        <w:t xml:space="preserve"> and Tuvalu</w:t>
      </w:r>
      <w:r w:rsidRPr="006222EA">
        <w:t>.</w:t>
      </w:r>
    </w:p>
    <w:p w14:paraId="420DC706" w14:textId="77777777" w:rsidR="0033037D" w:rsidRPr="006222EA" w:rsidRDefault="0033037D" w:rsidP="005B66B3">
      <w:pPr>
        <w:pStyle w:val="BodyText"/>
      </w:pPr>
      <w:r w:rsidRPr="006222EA">
        <w:t xml:space="preserve">The </w:t>
      </w:r>
      <w:r w:rsidRPr="006222EA">
        <w:rPr>
          <w:b/>
        </w:rPr>
        <w:t>Pacific Legal Information Institute</w:t>
      </w:r>
      <w:r w:rsidRPr="006222EA">
        <w:t xml:space="preserve"> (PACLII) is a regional legal resource that promotes justice and access to the law </w:t>
      </w:r>
      <w:r w:rsidR="002F2755">
        <w:t>by</w:t>
      </w:r>
      <w:r w:rsidR="002F2755" w:rsidRPr="006222EA">
        <w:t xml:space="preserve"> </w:t>
      </w:r>
      <w:r w:rsidRPr="006222EA">
        <w:t>providing access to legal materials. PACLII is assisting in digitalising legal documents and uploaded 5005 new court documents and legislations in 2012</w:t>
      </w:r>
      <w:r w:rsidR="003159EA">
        <w:t>,</w:t>
      </w:r>
      <w:r w:rsidRPr="006222EA">
        <w:t xml:space="preserve"> contributing to jurisprudence in the Pacific. </w:t>
      </w:r>
    </w:p>
    <w:p w14:paraId="420DC707" w14:textId="77777777" w:rsidR="0033037D" w:rsidRPr="006222EA" w:rsidRDefault="0033037D" w:rsidP="005B66B3">
      <w:pPr>
        <w:pStyle w:val="BodyText"/>
      </w:pPr>
      <w:r w:rsidRPr="006222EA">
        <w:rPr>
          <w:b/>
        </w:rPr>
        <w:t>UNICEF Child Protection</w:t>
      </w:r>
      <w:r w:rsidRPr="006222EA">
        <w:t xml:space="preserve"> </w:t>
      </w:r>
      <w:r w:rsidR="00884D34" w:rsidRPr="006222EA">
        <w:t xml:space="preserve">assists with </w:t>
      </w:r>
      <w:r w:rsidRPr="006222EA">
        <w:t>new legislation and policies such as the recently passed Child, Young Persons and Family Welf</w:t>
      </w:r>
      <w:r w:rsidR="00871FBE">
        <w:t>are Bill in Kiribati and finalis</w:t>
      </w:r>
      <w:r w:rsidRPr="006222EA">
        <w:t xml:space="preserve">ation of </w:t>
      </w:r>
      <w:r w:rsidR="00E35959">
        <w:t>c</w:t>
      </w:r>
      <w:r w:rsidRPr="006222EA">
        <w:t xml:space="preserve">hild and </w:t>
      </w:r>
      <w:r w:rsidR="00E35959">
        <w:t>f</w:t>
      </w:r>
      <w:r w:rsidRPr="006222EA">
        <w:t xml:space="preserve">amily </w:t>
      </w:r>
      <w:r w:rsidR="00E35959">
        <w:t>w</w:t>
      </w:r>
      <w:r w:rsidRPr="006222EA">
        <w:t xml:space="preserve">elfare and </w:t>
      </w:r>
      <w:r w:rsidR="00E35959">
        <w:t>s</w:t>
      </w:r>
      <w:r w:rsidRPr="006222EA">
        <w:t xml:space="preserve">upport </w:t>
      </w:r>
      <w:r w:rsidR="00E35959">
        <w:t>s</w:t>
      </w:r>
      <w:r w:rsidR="00E35959" w:rsidRPr="006222EA">
        <w:t xml:space="preserve">ystem </w:t>
      </w:r>
      <w:r w:rsidR="00E35959">
        <w:t>p</w:t>
      </w:r>
      <w:r w:rsidRPr="006222EA">
        <w:t>olicies in Solomon Islands.</w:t>
      </w:r>
    </w:p>
    <w:p w14:paraId="420DC708" w14:textId="77777777" w:rsidR="00680B7C" w:rsidRPr="006222EA" w:rsidRDefault="00680B7C" w:rsidP="00680B7C">
      <w:pPr>
        <w:pStyle w:val="Heading3"/>
      </w:pPr>
      <w:r w:rsidRPr="006222EA">
        <w:t>L</w:t>
      </w:r>
      <w:r w:rsidR="00D8178B" w:rsidRPr="006222EA">
        <w:t>eadership</w:t>
      </w:r>
    </w:p>
    <w:p w14:paraId="420DC709" w14:textId="77777777" w:rsidR="00680B7C" w:rsidRPr="006222EA" w:rsidRDefault="00680B7C" w:rsidP="005B66B3">
      <w:pPr>
        <w:pStyle w:val="BodyText"/>
      </w:pPr>
      <w:r w:rsidRPr="006222EA">
        <w:t xml:space="preserve">The </w:t>
      </w:r>
      <w:r w:rsidRPr="006222EA">
        <w:rPr>
          <w:b/>
          <w:bCs/>
        </w:rPr>
        <w:t>Pacific Leadership Program</w:t>
      </w:r>
      <w:r w:rsidRPr="006222EA">
        <w:t xml:space="preserve"> works with selected Pacific island leaders to identify and lead developmental change. It works regionally to support leadership within and between priority organisations such as </w:t>
      </w:r>
      <w:r w:rsidR="00FC1F5A" w:rsidRPr="006222EA">
        <w:t>the Pacific Conference of Churches</w:t>
      </w:r>
      <w:r w:rsidR="00FC1F5A">
        <w:t>,</w:t>
      </w:r>
      <w:r w:rsidR="00FC1F5A" w:rsidRPr="006222EA">
        <w:t xml:space="preserve"> </w:t>
      </w:r>
      <w:r w:rsidR="00FC1F5A">
        <w:t xml:space="preserve">the </w:t>
      </w:r>
      <w:r w:rsidR="00FC1F5A" w:rsidRPr="006222EA">
        <w:t>Pacific Islands Private Sector Organisation</w:t>
      </w:r>
      <w:r w:rsidR="00FC1F5A">
        <w:t xml:space="preserve">, </w:t>
      </w:r>
      <w:r w:rsidR="00FC1F5A" w:rsidRPr="006222EA">
        <w:t>Pacific Youth Council</w:t>
      </w:r>
      <w:r w:rsidR="00FC1F5A">
        <w:t>,</w:t>
      </w:r>
      <w:r w:rsidR="00FC1F5A" w:rsidRPr="006222EA">
        <w:t xml:space="preserve"> </w:t>
      </w:r>
      <w:r w:rsidRPr="006222EA">
        <w:t>S</w:t>
      </w:r>
      <w:r w:rsidR="00FC1F5A">
        <w:t xml:space="preserve">PC, USP </w:t>
      </w:r>
      <w:r w:rsidRPr="006222EA">
        <w:t xml:space="preserve">and UN Women. The </w:t>
      </w:r>
      <w:r w:rsidRPr="006222EA">
        <w:rPr>
          <w:b/>
          <w:bCs/>
        </w:rPr>
        <w:t>Workforce Development for Public Sector Officers</w:t>
      </w:r>
      <w:r w:rsidRPr="006222EA">
        <w:t xml:space="preserve"> initiative aims to improve the leadership capacity of senior Pacific public sector officers through executive training under the Pacific Executive Program.</w:t>
      </w:r>
    </w:p>
    <w:p w14:paraId="420DC70A" w14:textId="77777777" w:rsidR="00F66AD4" w:rsidRPr="006222EA" w:rsidRDefault="00680B7C" w:rsidP="005B66B3">
      <w:pPr>
        <w:pStyle w:val="BodyText"/>
      </w:pPr>
      <w:r w:rsidRPr="006222EA">
        <w:t xml:space="preserve">Key </w:t>
      </w:r>
      <w:r w:rsidR="00D0122D">
        <w:t xml:space="preserve">Pacific Leadership Program </w:t>
      </w:r>
      <w:r w:rsidRPr="006222EA">
        <w:t>achievements include</w:t>
      </w:r>
      <w:r w:rsidR="00D8178B" w:rsidRPr="006222EA">
        <w:t xml:space="preserve"> </w:t>
      </w:r>
      <w:r w:rsidRPr="006222EA">
        <w:t xml:space="preserve">executive coaching and mentoring support for </w:t>
      </w:r>
      <w:r w:rsidRPr="006222EA">
        <w:rPr>
          <w:b/>
        </w:rPr>
        <w:t>26 senior PRO executives</w:t>
      </w:r>
      <w:r w:rsidRPr="006222EA">
        <w:t xml:space="preserve"> to promote priority regional policies and advance developmental issues</w:t>
      </w:r>
      <w:r w:rsidR="00B972A9" w:rsidRPr="006222EA">
        <w:t xml:space="preserve">. </w:t>
      </w:r>
      <w:r w:rsidR="00EC57E9">
        <w:t>T</w:t>
      </w:r>
      <w:r w:rsidR="00E35959">
        <w:t xml:space="preserve">he </w:t>
      </w:r>
      <w:r w:rsidR="00E35959" w:rsidRPr="006222EA">
        <w:t xml:space="preserve">Pacific Islands Private Sector Organisation </w:t>
      </w:r>
      <w:r w:rsidRPr="006222EA">
        <w:t xml:space="preserve">has strengthened its role as the </w:t>
      </w:r>
      <w:r w:rsidRPr="006222EA">
        <w:rPr>
          <w:b/>
        </w:rPr>
        <w:t>representative body</w:t>
      </w:r>
      <w:r w:rsidRPr="006222EA">
        <w:t xml:space="preserve"> for the private sector in the Pacific and in </w:t>
      </w:r>
      <w:r w:rsidR="00D0122D">
        <w:t>acting as the voice of</w:t>
      </w:r>
      <w:r w:rsidR="00D0122D" w:rsidRPr="006222EA">
        <w:t xml:space="preserve"> </w:t>
      </w:r>
      <w:r w:rsidR="00D0122D">
        <w:t>the</w:t>
      </w:r>
      <w:r w:rsidR="00B972A9" w:rsidRPr="006222EA">
        <w:t xml:space="preserve"> </w:t>
      </w:r>
      <w:r w:rsidRPr="006222EA">
        <w:t xml:space="preserve">private </w:t>
      </w:r>
      <w:r w:rsidR="0011370A" w:rsidRPr="006222EA">
        <w:t>sector in</w:t>
      </w:r>
      <w:r w:rsidRPr="006222EA">
        <w:t xml:space="preserve"> regional and international forums. </w:t>
      </w:r>
      <w:r w:rsidR="00E35959">
        <w:t>The Pacific Executive Program</w:t>
      </w:r>
      <w:r w:rsidRPr="006222EA">
        <w:t xml:space="preserve">, from 2008 to 2013, has provided </w:t>
      </w:r>
      <w:r w:rsidRPr="00EC57E9">
        <w:rPr>
          <w:b/>
        </w:rPr>
        <w:t xml:space="preserve">intensive executive development training to </w:t>
      </w:r>
      <w:r w:rsidRPr="006222EA">
        <w:rPr>
          <w:b/>
        </w:rPr>
        <w:t>186 senior Pacific officials</w:t>
      </w:r>
      <w:r w:rsidRPr="006222EA">
        <w:t xml:space="preserve"> (92 female and 94</w:t>
      </w:r>
      <w:r w:rsidR="00E35959">
        <w:t> </w:t>
      </w:r>
      <w:r w:rsidRPr="006222EA">
        <w:t>male).</w:t>
      </w:r>
      <w:r w:rsidR="00F66AD4" w:rsidRPr="006222EA">
        <w:t xml:space="preserve"> </w:t>
      </w:r>
    </w:p>
    <w:p w14:paraId="420DC70B" w14:textId="77777777" w:rsidR="00F66AD4" w:rsidRPr="006222EA" w:rsidRDefault="00D0122D" w:rsidP="005B66B3">
      <w:pPr>
        <w:pStyle w:val="BodyText"/>
      </w:pPr>
      <w:r>
        <w:t>The Pacific Leadership Program</w:t>
      </w:r>
      <w:r w:rsidR="00F66AD4" w:rsidRPr="006222EA">
        <w:t xml:space="preserve"> Phase 3 will strengthen its focus on better knowledge on Pacific leadership and on facilitating developmental leadership. It will reduce its emphasis on building leadership capacity within </w:t>
      </w:r>
      <w:proofErr w:type="spellStart"/>
      <w:r w:rsidR="008C61D6">
        <w:t>PROs</w:t>
      </w:r>
      <w:r w:rsidR="00F66AD4" w:rsidRPr="006222EA">
        <w:t>.</w:t>
      </w:r>
      <w:proofErr w:type="spellEnd"/>
      <w:r w:rsidR="00F66AD4" w:rsidRPr="006222EA">
        <w:t xml:space="preserve"> The P</w:t>
      </w:r>
      <w:r>
        <w:t>acific Executive Program</w:t>
      </w:r>
      <w:r w:rsidR="00C40272">
        <w:t xml:space="preserve"> </w:t>
      </w:r>
      <w:r w:rsidR="00F66AD4" w:rsidRPr="006222EA">
        <w:t>will end in 2013.</w:t>
      </w:r>
    </w:p>
    <w:p w14:paraId="420DC70C" w14:textId="77777777" w:rsidR="0033037D" w:rsidRPr="006222EA" w:rsidRDefault="0033037D" w:rsidP="0033037D">
      <w:pPr>
        <w:pStyle w:val="Heading2"/>
      </w:pPr>
      <w:r w:rsidRPr="006222EA">
        <w:t>Factors affecting progress and future directions</w:t>
      </w:r>
    </w:p>
    <w:p w14:paraId="420DC70D" w14:textId="0D1FCEB9" w:rsidR="00EF750B" w:rsidRPr="00EF750B" w:rsidRDefault="00EF750B" w:rsidP="005B66B3">
      <w:pPr>
        <w:pStyle w:val="BodyText"/>
      </w:pPr>
      <w:r w:rsidRPr="00EF750B">
        <w:t xml:space="preserve">Current programs and activities </w:t>
      </w:r>
      <w:r w:rsidR="00C40272">
        <w:t xml:space="preserve">designed </w:t>
      </w:r>
      <w:r w:rsidRPr="00EF750B">
        <w:t xml:space="preserve">to strengthen </w:t>
      </w:r>
      <w:r w:rsidR="00C40272">
        <w:t>P</w:t>
      </w:r>
      <w:r w:rsidRPr="00EF750B">
        <w:t xml:space="preserve">acific governance through regional programs have been implemented with a range of regional and Australian partners over the last </w:t>
      </w:r>
      <w:r w:rsidR="00ED7003">
        <w:t>10</w:t>
      </w:r>
      <w:r w:rsidR="00ED7003" w:rsidRPr="00EF750B">
        <w:t xml:space="preserve"> </w:t>
      </w:r>
      <w:r w:rsidRPr="00EF750B">
        <w:t xml:space="preserve">years. Their performance has been assessed </w:t>
      </w:r>
      <w:r w:rsidR="00C40272">
        <w:t>individually</w:t>
      </w:r>
      <w:r>
        <w:t xml:space="preserve"> as stand-alone investments. </w:t>
      </w:r>
      <w:r w:rsidRPr="00EF750B">
        <w:t>This has led to</w:t>
      </w:r>
      <w:r w:rsidR="00FC1F5A">
        <w:t xml:space="preserve"> </w:t>
      </w:r>
      <w:r w:rsidRPr="00EF750B">
        <w:t>concern about fragmentation</w:t>
      </w:r>
      <w:r w:rsidR="00C40272">
        <w:t>,</w:t>
      </w:r>
      <w:r w:rsidRPr="00EF750B">
        <w:t xml:space="preserve"> lack of coherence at regional level</w:t>
      </w:r>
      <w:r w:rsidR="00C40272">
        <w:t xml:space="preserve"> and </w:t>
      </w:r>
      <w:r w:rsidRPr="00EF750B">
        <w:t>potential for duplicating bilateral program investments. As a result of these concerns, Pacific regional governance programs will be reviewed and a delivery strategy prepared. This will consolidate regional program investments in public sector management as a priority</w:t>
      </w:r>
      <w:r w:rsidR="00C40272">
        <w:t>. Consolidation will be</w:t>
      </w:r>
      <w:r w:rsidRPr="00EF750B">
        <w:t xml:space="preserve"> based on analysis of benefits, political will and opportunities to strengthen elements of public sector manag</w:t>
      </w:r>
      <w:r>
        <w:t>ement as regional public goods.</w:t>
      </w:r>
      <w:r w:rsidRPr="00EF750B">
        <w:t xml:space="preserve"> A key consideration will be assessing </w:t>
      </w:r>
      <w:r w:rsidR="00C40272">
        <w:t>where it is best to invest through</w:t>
      </w:r>
      <w:r w:rsidRPr="00EF750B">
        <w:t xml:space="preserve"> a regional or sub-regional approach</w:t>
      </w:r>
      <w:r w:rsidR="00C40272">
        <w:t xml:space="preserve"> and where it is best to invest through</w:t>
      </w:r>
      <w:r w:rsidRPr="00EF750B">
        <w:t xml:space="preserve"> a bilateral </w:t>
      </w:r>
      <w:r w:rsidR="00C40272">
        <w:t>approach.</w:t>
      </w:r>
    </w:p>
    <w:p w14:paraId="420DC70E" w14:textId="77777777" w:rsidR="006C751D" w:rsidRPr="006222EA" w:rsidRDefault="006C751D" w:rsidP="006C751D">
      <w:pPr>
        <w:pStyle w:val="Heading1"/>
      </w:pPr>
      <w:r w:rsidRPr="006222EA">
        <w:lastRenderedPageBreak/>
        <w:t>Multila</w:t>
      </w:r>
      <w:r w:rsidRPr="00ED31A5">
        <w:t>tera</w:t>
      </w:r>
      <w:r w:rsidRPr="006222EA">
        <w:t>l</w:t>
      </w:r>
      <w:r w:rsidR="004F1C6C">
        <w:t xml:space="preserve"> organisation</w:t>
      </w:r>
      <w:r w:rsidRPr="006222EA">
        <w:t>s</w:t>
      </w:r>
    </w:p>
    <w:p w14:paraId="420DC70F" w14:textId="77777777" w:rsidR="006C751D" w:rsidRPr="006222EA" w:rsidRDefault="006C751D" w:rsidP="006C751D">
      <w:pPr>
        <w:pStyle w:val="Heading2"/>
        <w:rPr>
          <w:lang w:val="en-GB" w:eastAsia="ja-JP"/>
        </w:rPr>
      </w:pPr>
      <w:r w:rsidRPr="006222EA">
        <w:rPr>
          <w:lang w:val="en-GB" w:eastAsia="ja-JP"/>
        </w:rPr>
        <w:t>Program objectives</w:t>
      </w:r>
    </w:p>
    <w:p w14:paraId="420DC710" w14:textId="26145C23" w:rsidR="00EA50FC" w:rsidRPr="006222EA" w:rsidRDefault="006C751D" w:rsidP="005B66B3">
      <w:pPr>
        <w:pStyle w:val="BodyText"/>
      </w:pPr>
      <w:r w:rsidRPr="006222EA">
        <w:t xml:space="preserve">The UN, World Bank and ADB are key development partners for </w:t>
      </w:r>
      <w:r w:rsidR="00ED22BA">
        <w:t>Australia</w:t>
      </w:r>
      <w:r w:rsidRPr="006222EA">
        <w:t xml:space="preserve"> in the Pacific. </w:t>
      </w:r>
      <w:r w:rsidR="00ED22BA">
        <w:t>Australia</w:t>
      </w:r>
      <w:r w:rsidR="00EA50FC" w:rsidRPr="006222EA">
        <w:t xml:space="preserve"> funds these organisations to work in the Pacific through core contributions at </w:t>
      </w:r>
      <w:r w:rsidR="00FC1F5A">
        <w:t xml:space="preserve">the </w:t>
      </w:r>
      <w:r w:rsidR="00EA50FC" w:rsidRPr="006222EA">
        <w:t>global level and earmarked contributions for the region. Without additional earmarked funds, the</w:t>
      </w:r>
      <w:r w:rsidR="00ED31A5">
        <w:t>se</w:t>
      </w:r>
      <w:r w:rsidR="00EA50FC" w:rsidRPr="006222EA">
        <w:t xml:space="preserve"> multilateral</w:t>
      </w:r>
      <w:r w:rsidR="0023610E" w:rsidRPr="006222EA">
        <w:t xml:space="preserve"> organisations would have a</w:t>
      </w:r>
      <w:r w:rsidR="00EA50FC" w:rsidRPr="006222EA">
        <w:t xml:space="preserve"> limited presence in the Pacific.</w:t>
      </w:r>
    </w:p>
    <w:p w14:paraId="420DC711" w14:textId="3D0C943A" w:rsidR="006C751D" w:rsidRPr="006222EA" w:rsidRDefault="006C751D" w:rsidP="005B66B3">
      <w:pPr>
        <w:pStyle w:val="BodyText"/>
      </w:pPr>
      <w:r w:rsidRPr="006222EA">
        <w:t>Working in par</w:t>
      </w:r>
      <w:r w:rsidR="006C15A5" w:rsidRPr="006222EA">
        <w:t>tnership with multilateral</w:t>
      </w:r>
      <w:r w:rsidR="00ED44FA">
        <w:t xml:space="preserve"> organisation</w:t>
      </w:r>
      <w:r w:rsidR="006C15A5" w:rsidRPr="006222EA">
        <w:t>s</w:t>
      </w:r>
      <w:r w:rsidRPr="006222EA">
        <w:t xml:space="preserve"> extends the reach and impact of Australia’s development assistance. It allows </w:t>
      </w:r>
      <w:r w:rsidR="00ED22BA">
        <w:t>DFAT</w:t>
      </w:r>
      <w:r w:rsidRPr="006222EA">
        <w:t xml:space="preserve"> to leverage </w:t>
      </w:r>
      <w:r w:rsidR="00ED31A5">
        <w:t>its</w:t>
      </w:r>
      <w:r w:rsidR="00ED31A5" w:rsidRPr="006222EA">
        <w:t xml:space="preserve"> </w:t>
      </w:r>
      <w:r w:rsidRPr="006222EA">
        <w:t xml:space="preserve">deep technical and sectoral development expertise, and global leadership on development economics </w:t>
      </w:r>
      <w:r w:rsidR="00ED31A5">
        <w:t>in</w:t>
      </w:r>
      <w:r w:rsidR="00ED31A5" w:rsidRPr="006222EA">
        <w:t xml:space="preserve"> </w:t>
      </w:r>
      <w:r w:rsidRPr="006222EA">
        <w:t xml:space="preserve">the Pacific. </w:t>
      </w:r>
      <w:r w:rsidR="00820BEE" w:rsidRPr="006222EA">
        <w:t xml:space="preserve">The support given to </w:t>
      </w:r>
      <w:r w:rsidR="00ED31A5">
        <w:t>the ADB and World Bank, for example,</w:t>
      </w:r>
      <w:r w:rsidR="00820BEE" w:rsidRPr="006222EA">
        <w:t xml:space="preserve"> has resulted in a s</w:t>
      </w:r>
      <w:r w:rsidR="0023610E" w:rsidRPr="006222EA">
        <w:t>caling up of their</w:t>
      </w:r>
      <w:r w:rsidR="00820BEE" w:rsidRPr="006222EA">
        <w:t xml:space="preserve"> presence in the Pacific and helped create an environment conducive to generating growth and creating employment opportunities. </w:t>
      </w:r>
      <w:r w:rsidR="00ED31A5">
        <w:t>In the Pacific, t</w:t>
      </w:r>
      <w:r w:rsidR="00820BEE" w:rsidRPr="006222EA">
        <w:t xml:space="preserve">he World Bank </w:t>
      </w:r>
      <w:r w:rsidR="00ED31A5">
        <w:t>continues to play</w:t>
      </w:r>
      <w:r w:rsidR="00820BEE" w:rsidRPr="006222EA">
        <w:t xml:space="preserve"> an increasing role in economic </w:t>
      </w:r>
      <w:r w:rsidR="00ED31A5">
        <w:t>discussion</w:t>
      </w:r>
      <w:r w:rsidR="00ED31A5" w:rsidRPr="006222EA">
        <w:t xml:space="preserve"> </w:t>
      </w:r>
      <w:r w:rsidR="00820BEE" w:rsidRPr="006222EA">
        <w:t>and donor coordination around budget support</w:t>
      </w:r>
      <w:r w:rsidR="00ED31A5">
        <w:t xml:space="preserve"> and</w:t>
      </w:r>
      <w:r w:rsidR="00820BEE" w:rsidRPr="006222EA">
        <w:t xml:space="preserve"> the ADB</w:t>
      </w:r>
      <w:r w:rsidR="00ED31A5">
        <w:t xml:space="preserve"> continues to</w:t>
      </w:r>
      <w:r w:rsidR="00820BEE" w:rsidRPr="006222EA">
        <w:t xml:space="preserve"> focus on infrastructure and private sector development.</w:t>
      </w:r>
    </w:p>
    <w:p w14:paraId="420DC712" w14:textId="153B39AD" w:rsidR="006C751D" w:rsidRPr="006222EA" w:rsidRDefault="006C751D" w:rsidP="005B66B3">
      <w:pPr>
        <w:pStyle w:val="BodyText"/>
      </w:pPr>
      <w:r w:rsidRPr="006222EA">
        <w:t xml:space="preserve">In 2012, </w:t>
      </w:r>
      <w:r w:rsidR="006633C3">
        <w:t>Australia</w:t>
      </w:r>
      <w:r w:rsidR="009B2488">
        <w:t>’s</w:t>
      </w:r>
      <w:r w:rsidRPr="006222EA">
        <w:t xml:space="preserve"> engagement with the </w:t>
      </w:r>
      <w:proofErr w:type="gramStart"/>
      <w:r w:rsidR="00EC1862" w:rsidRPr="006222EA">
        <w:t>ADB</w:t>
      </w:r>
      <w:r w:rsidRPr="006222EA">
        <w:t>,</w:t>
      </w:r>
      <w:proofErr w:type="gramEnd"/>
      <w:r w:rsidRPr="006222EA">
        <w:t xml:space="preserve"> funded under the Pacific regional program</w:t>
      </w:r>
      <w:r w:rsidR="00E35959">
        <w:t>,</w:t>
      </w:r>
      <w:r w:rsidRPr="006222EA">
        <w:t xml:space="preserve"> supported ADB </w:t>
      </w:r>
      <w:r w:rsidR="00ED31A5">
        <w:t>d</w:t>
      </w:r>
      <w:r w:rsidRPr="006222EA">
        <w:t xml:space="preserve">evelopment </w:t>
      </w:r>
      <w:r w:rsidR="00ED31A5">
        <w:t>c</w:t>
      </w:r>
      <w:r w:rsidRPr="006222EA">
        <w:t xml:space="preserve">oordination </w:t>
      </w:r>
      <w:r w:rsidR="00ED31A5">
        <w:t>o</w:t>
      </w:r>
      <w:r w:rsidRPr="006222EA">
        <w:t xml:space="preserve">ffices to </w:t>
      </w:r>
      <w:r w:rsidR="0011370A">
        <w:t>implement</w:t>
      </w:r>
      <w:r w:rsidRPr="006222EA">
        <w:t xml:space="preserve"> programs in six Pacific countries. The program also </w:t>
      </w:r>
      <w:r w:rsidR="00ED31A5">
        <w:t>funded</w:t>
      </w:r>
      <w:r w:rsidR="00ED31A5" w:rsidRPr="006222EA">
        <w:t xml:space="preserve"> </w:t>
      </w:r>
      <w:r w:rsidRPr="006222EA">
        <w:t xml:space="preserve">an ADB infrastructure specialist based in Honiara and an ADB climate change specialist based in Suva. </w:t>
      </w:r>
      <w:r w:rsidR="006633C3">
        <w:t>The Australian aid program</w:t>
      </w:r>
      <w:r w:rsidRPr="006222EA">
        <w:t xml:space="preserve"> </w:t>
      </w:r>
      <w:r w:rsidR="00ED31A5">
        <w:t xml:space="preserve">also funded one of its </w:t>
      </w:r>
      <w:r w:rsidR="00E35959">
        <w:t xml:space="preserve">own </w:t>
      </w:r>
      <w:r w:rsidRPr="006222EA">
        <w:t>officer</w:t>
      </w:r>
      <w:r w:rsidR="009243B2">
        <w:t>s</w:t>
      </w:r>
      <w:r w:rsidRPr="006222EA">
        <w:t xml:space="preserve"> </w:t>
      </w:r>
      <w:r w:rsidR="00ED31A5">
        <w:t>on a secondment</w:t>
      </w:r>
      <w:r w:rsidRPr="006222EA">
        <w:t xml:space="preserve"> to the ADB Pacific Department to support joint projects.</w:t>
      </w:r>
    </w:p>
    <w:p w14:paraId="420DC713" w14:textId="77777777" w:rsidR="006C751D" w:rsidRPr="006222EA" w:rsidRDefault="006C751D" w:rsidP="005B66B3">
      <w:pPr>
        <w:pStyle w:val="BodyText"/>
      </w:pPr>
      <w:r w:rsidRPr="006222EA">
        <w:t xml:space="preserve">The regional program provided core funding to the World Bank Pacific program through the Pacific Facility III </w:t>
      </w:r>
      <w:r w:rsidRPr="00ED31A5">
        <w:t>Trust Fund. The</w:t>
      </w:r>
      <w:r w:rsidR="00ED31A5">
        <w:t xml:space="preserve"> fund’s</w:t>
      </w:r>
      <w:r w:rsidRPr="00ED31A5">
        <w:t xml:space="preserve"> development objectives</w:t>
      </w:r>
      <w:r w:rsidR="00ED31A5">
        <w:t>,</w:t>
      </w:r>
      <w:r w:rsidRPr="00ED31A5">
        <w:t xml:space="preserve"> supported by the regional program</w:t>
      </w:r>
      <w:r w:rsidR="00ED31A5">
        <w:t>,</w:t>
      </w:r>
      <w:r w:rsidRPr="00ED31A5">
        <w:t xml:space="preserve"> include</w:t>
      </w:r>
      <w:r w:rsidRPr="006222EA">
        <w:t xml:space="preserve">: </w:t>
      </w:r>
    </w:p>
    <w:p w14:paraId="420DC714" w14:textId="77777777" w:rsidR="006C751D" w:rsidRPr="006222EA" w:rsidRDefault="00ED31A5" w:rsidP="005B66B3">
      <w:pPr>
        <w:pStyle w:val="ListBullet"/>
      </w:pPr>
      <w:r>
        <w:t>h</w:t>
      </w:r>
      <w:r w:rsidR="006C751D" w:rsidRPr="006222EA">
        <w:t>elping to create an environment conducive to growth and employment opportunities for P</w:t>
      </w:r>
      <w:r w:rsidR="004F1C6C">
        <w:t>ICs</w:t>
      </w:r>
      <w:r w:rsidR="006C751D" w:rsidRPr="006222EA">
        <w:t xml:space="preserve"> </w:t>
      </w:r>
    </w:p>
    <w:p w14:paraId="420DC715" w14:textId="77777777" w:rsidR="006C751D" w:rsidRPr="006222EA" w:rsidRDefault="00ED31A5" w:rsidP="005B66B3">
      <w:pPr>
        <w:pStyle w:val="ListBullet"/>
      </w:pPr>
      <w:proofErr w:type="gramStart"/>
      <w:r>
        <w:t>b</w:t>
      </w:r>
      <w:r w:rsidR="006C751D" w:rsidRPr="006222EA">
        <w:t>ringing</w:t>
      </w:r>
      <w:proofErr w:type="gramEnd"/>
      <w:r w:rsidR="006C751D" w:rsidRPr="006222EA">
        <w:t xml:space="preserve"> global</w:t>
      </w:r>
      <w:r w:rsidR="006C15A5" w:rsidRPr="006222EA">
        <w:t xml:space="preserve"> best practice</w:t>
      </w:r>
      <w:r w:rsidR="006C751D" w:rsidRPr="006222EA">
        <w:t xml:space="preserve"> to the Pacific </w:t>
      </w:r>
      <w:r>
        <w:t>r</w:t>
      </w:r>
      <w:r w:rsidR="006C751D" w:rsidRPr="006222EA">
        <w:t xml:space="preserve">egion. </w:t>
      </w:r>
    </w:p>
    <w:p w14:paraId="420DC716" w14:textId="77777777" w:rsidR="006C751D" w:rsidRPr="006222EA" w:rsidRDefault="003D3303" w:rsidP="005B66B3">
      <w:pPr>
        <w:pStyle w:val="BodyText"/>
      </w:pPr>
      <w:r w:rsidRPr="006222EA">
        <w:t xml:space="preserve">The </w:t>
      </w:r>
      <w:r w:rsidR="006C751D" w:rsidRPr="006222EA">
        <w:t xml:space="preserve">regional program </w:t>
      </w:r>
      <w:r w:rsidRPr="006222EA">
        <w:t xml:space="preserve">supports the </w:t>
      </w:r>
      <w:r w:rsidR="006C751D" w:rsidRPr="006222EA">
        <w:t>UNDP Centre</w:t>
      </w:r>
      <w:r w:rsidRPr="006222EA">
        <w:t xml:space="preserve"> in Suva</w:t>
      </w:r>
      <w:r w:rsidR="006C751D" w:rsidRPr="006222EA">
        <w:t xml:space="preserve"> which provides policy and technical advice to 15 P</w:t>
      </w:r>
      <w:r w:rsidRPr="006222EA">
        <w:t xml:space="preserve">ICs </w:t>
      </w:r>
      <w:r w:rsidR="006C751D" w:rsidRPr="006222EA">
        <w:t xml:space="preserve">in partnership with governments, intergovernmental and non-governmental agencies. The four key pillars of the Centre’s work are: MDG </w:t>
      </w:r>
      <w:r w:rsidR="00ED31A5">
        <w:t>a</w:t>
      </w:r>
      <w:r w:rsidR="006C751D" w:rsidRPr="006222EA">
        <w:t xml:space="preserve">chievement and </w:t>
      </w:r>
      <w:r w:rsidR="00ED31A5">
        <w:t>p</w:t>
      </w:r>
      <w:r w:rsidR="006C751D" w:rsidRPr="006222EA">
        <w:t xml:space="preserve">overty </w:t>
      </w:r>
      <w:r w:rsidR="00ED31A5">
        <w:t>r</w:t>
      </w:r>
      <w:r w:rsidR="006C751D" w:rsidRPr="006222EA">
        <w:t xml:space="preserve">eduction </w:t>
      </w:r>
      <w:r w:rsidR="00E35959">
        <w:t>(including</w:t>
      </w:r>
      <w:r w:rsidRPr="006222EA">
        <w:t xml:space="preserve"> </w:t>
      </w:r>
      <w:r w:rsidR="006C751D" w:rsidRPr="006222EA">
        <w:t>HIV/AIDS</w:t>
      </w:r>
      <w:r w:rsidR="000A1812">
        <w:t>,</w:t>
      </w:r>
      <w:r w:rsidR="00ED31A5">
        <w:t xml:space="preserve"> e</w:t>
      </w:r>
      <w:r w:rsidR="006C751D" w:rsidRPr="006222EA">
        <w:t xml:space="preserve">nvironment, </w:t>
      </w:r>
      <w:r w:rsidR="00ED31A5">
        <w:t>e</w:t>
      </w:r>
      <w:r w:rsidR="006C751D" w:rsidRPr="006222EA">
        <w:t xml:space="preserve">nergy and </w:t>
      </w:r>
      <w:r w:rsidR="00ED31A5">
        <w:t>c</w:t>
      </w:r>
      <w:r w:rsidR="006C751D" w:rsidRPr="006222EA">
        <w:t xml:space="preserve">limate </w:t>
      </w:r>
      <w:r w:rsidR="00ED31A5">
        <w:t>c</w:t>
      </w:r>
      <w:r w:rsidR="006C751D" w:rsidRPr="006222EA">
        <w:t>hange</w:t>
      </w:r>
      <w:r w:rsidR="00E35959">
        <w:t>)</w:t>
      </w:r>
      <w:r w:rsidR="006C751D" w:rsidRPr="006222EA">
        <w:t xml:space="preserve">; </w:t>
      </w:r>
      <w:r w:rsidR="00ED31A5">
        <w:t>d</w:t>
      </w:r>
      <w:r w:rsidR="006C751D" w:rsidRPr="006222EA">
        <w:t xml:space="preserve">emocratic </w:t>
      </w:r>
      <w:r w:rsidR="00ED31A5">
        <w:t>g</w:t>
      </w:r>
      <w:r w:rsidR="006C751D" w:rsidRPr="006222EA">
        <w:t xml:space="preserve">overnance; </w:t>
      </w:r>
      <w:r w:rsidR="00ED31A5">
        <w:t>c</w:t>
      </w:r>
      <w:r w:rsidR="006C751D" w:rsidRPr="006222EA">
        <w:t xml:space="preserve">risis </w:t>
      </w:r>
      <w:r w:rsidR="00ED31A5">
        <w:t>p</w:t>
      </w:r>
      <w:r w:rsidR="006C751D" w:rsidRPr="006222EA">
        <w:t xml:space="preserve">revention and </w:t>
      </w:r>
      <w:r w:rsidR="00ED31A5">
        <w:t>r</w:t>
      </w:r>
      <w:r w:rsidR="006C751D" w:rsidRPr="006222EA">
        <w:t xml:space="preserve">ecovery; and </w:t>
      </w:r>
      <w:r w:rsidR="00ED31A5">
        <w:t>f</w:t>
      </w:r>
      <w:r w:rsidR="006C751D" w:rsidRPr="006222EA">
        <w:t xml:space="preserve">inancial </w:t>
      </w:r>
      <w:r w:rsidR="00ED31A5">
        <w:t>i</w:t>
      </w:r>
      <w:r w:rsidR="006C751D" w:rsidRPr="006222EA">
        <w:t xml:space="preserve">nclusion. </w:t>
      </w:r>
    </w:p>
    <w:p w14:paraId="420DC717" w14:textId="087E3768" w:rsidR="006C751D" w:rsidRPr="006222EA" w:rsidRDefault="00F63992" w:rsidP="005B66B3">
      <w:pPr>
        <w:pStyle w:val="BodyText"/>
      </w:pPr>
      <w:r>
        <w:t xml:space="preserve">Australian </w:t>
      </w:r>
      <w:r w:rsidR="006C751D" w:rsidRPr="006222EA">
        <w:t xml:space="preserve">support to the Centre provides a platform for the advocacy of sensitive issues which </w:t>
      </w:r>
      <w:r w:rsidR="003D3303" w:rsidRPr="006222EA">
        <w:t xml:space="preserve">may not </w:t>
      </w:r>
      <w:r w:rsidR="006C751D" w:rsidRPr="006222EA">
        <w:t>yet be fully adopted at national level</w:t>
      </w:r>
      <w:r w:rsidR="00ED31A5">
        <w:t>,</w:t>
      </w:r>
      <w:r w:rsidR="006C751D" w:rsidRPr="006222EA">
        <w:t xml:space="preserve"> such as anti-corruption, gender, HIV/AIDS, human rights, and </w:t>
      </w:r>
      <w:r w:rsidR="003D3303" w:rsidRPr="006222EA">
        <w:t xml:space="preserve">other </w:t>
      </w:r>
      <w:r w:rsidR="006C751D" w:rsidRPr="006222EA">
        <w:t xml:space="preserve">special and temporary measures. </w:t>
      </w:r>
    </w:p>
    <w:p w14:paraId="420DC718" w14:textId="77777777" w:rsidR="006C751D" w:rsidRPr="006222EA" w:rsidRDefault="006C751D" w:rsidP="006C751D">
      <w:pPr>
        <w:pStyle w:val="Heading2"/>
      </w:pPr>
      <w:r w:rsidRPr="006222EA">
        <w:t xml:space="preserve">Key achievements </w:t>
      </w:r>
    </w:p>
    <w:p w14:paraId="420DC719" w14:textId="77777777" w:rsidR="006C751D" w:rsidRPr="006222EA" w:rsidRDefault="00ED31A5" w:rsidP="005B66B3">
      <w:pPr>
        <w:pStyle w:val="BodyText"/>
      </w:pPr>
      <w:r>
        <w:t>O</w:t>
      </w:r>
      <w:r w:rsidR="006C751D" w:rsidRPr="006222EA">
        <w:t xml:space="preserve">utcomes supported by </w:t>
      </w:r>
      <w:r w:rsidR="00F95597" w:rsidRPr="006222EA">
        <w:t>the W</w:t>
      </w:r>
      <w:r w:rsidR="007A123B">
        <w:t xml:space="preserve">orld </w:t>
      </w:r>
      <w:r w:rsidR="00F95597" w:rsidRPr="006222EA">
        <w:t>B</w:t>
      </w:r>
      <w:r w:rsidR="007A123B">
        <w:t>ank</w:t>
      </w:r>
      <w:r w:rsidR="00F95597" w:rsidRPr="006222EA">
        <w:t xml:space="preserve"> Pacific Program through the </w:t>
      </w:r>
      <w:r w:rsidRPr="006222EA">
        <w:t xml:space="preserve">Pacific Facility III </w:t>
      </w:r>
      <w:r w:rsidRPr="00ED31A5">
        <w:t>Trust Fund</w:t>
      </w:r>
      <w:r w:rsidRPr="006222EA">
        <w:t xml:space="preserve"> </w:t>
      </w:r>
      <w:r w:rsidR="006C751D" w:rsidRPr="006222EA">
        <w:t xml:space="preserve">include: </w:t>
      </w:r>
    </w:p>
    <w:p w14:paraId="420DC71A" w14:textId="77777777" w:rsidR="006C751D" w:rsidRPr="006222EA" w:rsidRDefault="00ED31A5" w:rsidP="005B66B3">
      <w:pPr>
        <w:pStyle w:val="ListBullet"/>
      </w:pPr>
      <w:r>
        <w:rPr>
          <w:b/>
        </w:rPr>
        <w:t>T</w:t>
      </w:r>
      <w:r w:rsidR="003D3303" w:rsidRPr="006222EA">
        <w:rPr>
          <w:b/>
        </w:rPr>
        <w:t>wo</w:t>
      </w:r>
      <w:r w:rsidR="006C751D" w:rsidRPr="006222EA">
        <w:rPr>
          <w:b/>
        </w:rPr>
        <w:t xml:space="preserve"> million people</w:t>
      </w:r>
      <w:r w:rsidR="006C751D" w:rsidRPr="006222EA">
        <w:t xml:space="preserve"> in the Pacific </w:t>
      </w:r>
      <w:r w:rsidR="006C751D" w:rsidRPr="00EC57E9">
        <w:rPr>
          <w:b/>
        </w:rPr>
        <w:t>access</w:t>
      </w:r>
      <w:r w:rsidR="003D3303" w:rsidRPr="00EC57E9">
        <w:rPr>
          <w:b/>
        </w:rPr>
        <w:t>ed</w:t>
      </w:r>
      <w:r w:rsidR="006C751D" w:rsidRPr="006222EA">
        <w:t xml:space="preserve"> </w:t>
      </w:r>
      <w:r w:rsidR="006C751D" w:rsidRPr="006222EA">
        <w:rPr>
          <w:b/>
        </w:rPr>
        <w:t>affordable modern communications</w:t>
      </w:r>
      <w:r w:rsidR="006C751D" w:rsidRPr="006222EA">
        <w:t xml:space="preserve"> networks</w:t>
      </w:r>
      <w:r>
        <w:t xml:space="preserve"> in the past five years</w:t>
      </w:r>
      <w:r w:rsidR="006C751D" w:rsidRPr="006222EA">
        <w:t xml:space="preserve"> through investments in technology and market reforms. A second generation of reforms providing access to high</w:t>
      </w:r>
      <w:r>
        <w:t>-</w:t>
      </w:r>
      <w:r w:rsidR="006C751D" w:rsidRPr="006222EA">
        <w:t xml:space="preserve">speed </w:t>
      </w:r>
      <w:r>
        <w:t>I</w:t>
      </w:r>
      <w:r w:rsidR="006C751D" w:rsidRPr="006222EA">
        <w:t xml:space="preserve">nternet </w:t>
      </w:r>
      <w:r w:rsidR="003D3303" w:rsidRPr="006222EA">
        <w:t xml:space="preserve">is </w:t>
      </w:r>
      <w:r w:rsidR="006C751D" w:rsidRPr="006222EA">
        <w:t>underway.</w:t>
      </w:r>
    </w:p>
    <w:p w14:paraId="420DC71B" w14:textId="77777777" w:rsidR="006C751D" w:rsidRPr="006222EA" w:rsidRDefault="006C751D" w:rsidP="005B66B3">
      <w:pPr>
        <w:pStyle w:val="ListBullet"/>
      </w:pPr>
      <w:r w:rsidRPr="00717F28">
        <w:rPr>
          <w:b/>
        </w:rPr>
        <w:t>Improved</w:t>
      </w:r>
      <w:r w:rsidRPr="006222EA">
        <w:t xml:space="preserve"> </w:t>
      </w:r>
      <w:r w:rsidRPr="006222EA">
        <w:rPr>
          <w:b/>
        </w:rPr>
        <w:t>transport and road links</w:t>
      </w:r>
      <w:r w:rsidR="00ED31A5">
        <w:t xml:space="preserve"> have been established</w:t>
      </w:r>
      <w:r w:rsidRPr="006222EA">
        <w:t xml:space="preserve"> in </w:t>
      </w:r>
      <w:r w:rsidR="00942F46" w:rsidRPr="006222EA">
        <w:t>PNG and Samoa</w:t>
      </w:r>
      <w:r w:rsidR="00ED31A5">
        <w:t>—more than</w:t>
      </w:r>
      <w:r w:rsidR="00942F46" w:rsidRPr="006222EA">
        <w:t xml:space="preserve"> 900</w:t>
      </w:r>
      <w:r w:rsidR="007A123B">
        <w:t xml:space="preserve"> </w:t>
      </w:r>
      <w:r w:rsidR="00942F46" w:rsidRPr="006222EA">
        <w:t>km roads and 70</w:t>
      </w:r>
      <w:r w:rsidR="007A123B">
        <w:t> </w:t>
      </w:r>
      <w:r w:rsidR="00942F46" w:rsidRPr="006222EA">
        <w:t xml:space="preserve">bridges have been restored and </w:t>
      </w:r>
      <w:r w:rsidRPr="006222EA">
        <w:t>local maintenance capacity</w:t>
      </w:r>
      <w:r w:rsidR="003D3303" w:rsidRPr="006222EA">
        <w:t xml:space="preserve"> </w:t>
      </w:r>
      <w:r w:rsidR="00942F46" w:rsidRPr="006222EA">
        <w:t>improved</w:t>
      </w:r>
      <w:r w:rsidRPr="006222EA">
        <w:t>.</w:t>
      </w:r>
    </w:p>
    <w:p w14:paraId="420DC71C" w14:textId="77777777" w:rsidR="006C751D" w:rsidRPr="006222EA" w:rsidRDefault="006C751D" w:rsidP="005B66B3">
      <w:pPr>
        <w:pStyle w:val="ListBullet"/>
      </w:pPr>
      <w:r w:rsidRPr="006222EA">
        <w:lastRenderedPageBreak/>
        <w:t xml:space="preserve">Improved </w:t>
      </w:r>
      <w:r w:rsidR="002C3376">
        <w:t>p</w:t>
      </w:r>
      <w:r w:rsidRPr="006222EA">
        <w:t xml:space="preserve">ublic </w:t>
      </w:r>
      <w:r w:rsidR="002C3376">
        <w:t>f</w:t>
      </w:r>
      <w:r w:rsidRPr="006222EA">
        <w:t xml:space="preserve">inancial </w:t>
      </w:r>
      <w:r w:rsidR="002C3376">
        <w:t>m</w:t>
      </w:r>
      <w:r w:rsidRPr="006222EA">
        <w:t>anagement in</w:t>
      </w:r>
      <w:r w:rsidR="002C3376">
        <w:t xml:space="preserve"> Samoa,</w:t>
      </w:r>
      <w:r w:rsidRPr="006222EA">
        <w:t xml:space="preserve"> Solomon Islands</w:t>
      </w:r>
      <w:r w:rsidR="002C3376">
        <w:t xml:space="preserve"> and</w:t>
      </w:r>
      <w:r w:rsidRPr="006222EA">
        <w:t xml:space="preserve"> Tonga, leading to more </w:t>
      </w:r>
      <w:r w:rsidRPr="006222EA">
        <w:rPr>
          <w:b/>
        </w:rPr>
        <w:t>efficient and transparent government systems</w:t>
      </w:r>
      <w:r w:rsidRPr="006222EA">
        <w:t xml:space="preserve"> that provide better basic services to </w:t>
      </w:r>
      <w:r w:rsidR="003D3303" w:rsidRPr="006222EA">
        <w:t xml:space="preserve">all </w:t>
      </w:r>
      <w:r w:rsidRPr="006222EA">
        <w:t>citizens</w:t>
      </w:r>
      <w:r w:rsidR="003D3303" w:rsidRPr="006222EA">
        <w:t>.</w:t>
      </w:r>
    </w:p>
    <w:p w14:paraId="420DC71D" w14:textId="77777777" w:rsidR="006C751D" w:rsidRPr="006222EA" w:rsidRDefault="006C751D" w:rsidP="005B66B3">
      <w:pPr>
        <w:pStyle w:val="BodyText"/>
      </w:pPr>
      <w:r w:rsidRPr="006222EA">
        <w:t xml:space="preserve">ADB achievements under the Pacific </w:t>
      </w:r>
      <w:r w:rsidR="008C7874">
        <w:t>r</w:t>
      </w:r>
      <w:r w:rsidRPr="006222EA">
        <w:t xml:space="preserve">egional </w:t>
      </w:r>
      <w:r w:rsidR="008C7874">
        <w:t>p</w:t>
      </w:r>
      <w:r w:rsidRPr="006222EA">
        <w:t>rogram include</w:t>
      </w:r>
      <w:r w:rsidR="002C3376">
        <w:t xml:space="preserve"> funding for</w:t>
      </w:r>
      <w:r w:rsidRPr="006222EA">
        <w:t>:</w:t>
      </w:r>
    </w:p>
    <w:p w14:paraId="420DC71E" w14:textId="77777777" w:rsidR="006C751D" w:rsidRPr="006222EA" w:rsidRDefault="006C751D" w:rsidP="005B66B3">
      <w:pPr>
        <w:pStyle w:val="ListBullet"/>
      </w:pPr>
      <w:r w:rsidRPr="006222EA">
        <w:t xml:space="preserve">ADB </w:t>
      </w:r>
      <w:r w:rsidR="002C3376">
        <w:t>d</w:t>
      </w:r>
      <w:r w:rsidRPr="006222EA">
        <w:t xml:space="preserve">evelopment </w:t>
      </w:r>
      <w:r w:rsidR="002C3376">
        <w:t>c</w:t>
      </w:r>
      <w:r w:rsidRPr="006222EA">
        <w:t xml:space="preserve">oordination </w:t>
      </w:r>
      <w:r w:rsidR="002C3376">
        <w:t>o</w:t>
      </w:r>
      <w:r w:rsidRPr="006222EA">
        <w:t>ffices</w:t>
      </w:r>
      <w:r w:rsidR="002C3376">
        <w:t>, which</w:t>
      </w:r>
      <w:r w:rsidRPr="006222EA">
        <w:rPr>
          <w:rFonts w:eastAsiaTheme="minorHAnsi"/>
        </w:rPr>
        <w:t xml:space="preserve"> </w:t>
      </w:r>
      <w:r w:rsidR="003D3303" w:rsidRPr="006222EA">
        <w:rPr>
          <w:rFonts w:eastAsiaTheme="minorHAnsi"/>
        </w:rPr>
        <w:t xml:space="preserve">help </w:t>
      </w:r>
      <w:r w:rsidRPr="006222EA">
        <w:rPr>
          <w:rFonts w:eastAsiaTheme="minorHAnsi"/>
        </w:rPr>
        <w:t xml:space="preserve">improve development effectiveness, including </w:t>
      </w:r>
      <w:r w:rsidR="003D3303" w:rsidRPr="006222EA">
        <w:rPr>
          <w:rFonts w:eastAsiaTheme="minorHAnsi"/>
        </w:rPr>
        <w:t xml:space="preserve">through </w:t>
      </w:r>
      <w:r w:rsidR="00B972A9" w:rsidRPr="006222EA">
        <w:rPr>
          <w:rFonts w:eastAsiaTheme="minorHAnsi"/>
        </w:rPr>
        <w:t xml:space="preserve">more timely and effective </w:t>
      </w:r>
      <w:r w:rsidRPr="006222EA">
        <w:rPr>
          <w:rFonts w:eastAsiaTheme="minorHAnsi"/>
          <w:b/>
        </w:rPr>
        <w:t>donor coordination and harmonisation</w:t>
      </w:r>
      <w:r w:rsidRPr="006222EA">
        <w:rPr>
          <w:rFonts w:eastAsiaTheme="minorHAnsi"/>
        </w:rPr>
        <w:t xml:space="preserve"> with </w:t>
      </w:r>
      <w:r w:rsidR="00942F46" w:rsidRPr="006222EA">
        <w:rPr>
          <w:rFonts w:eastAsiaTheme="minorHAnsi"/>
        </w:rPr>
        <w:t>partner government priorities.</w:t>
      </w:r>
    </w:p>
    <w:p w14:paraId="420DC71F" w14:textId="77777777" w:rsidR="006C751D" w:rsidRPr="006222EA" w:rsidRDefault="00D056F2" w:rsidP="005B66B3">
      <w:pPr>
        <w:pStyle w:val="ListBullet"/>
      </w:pPr>
      <w:r>
        <w:rPr>
          <w:b/>
        </w:rPr>
        <w:t>ADB provision of a</w:t>
      </w:r>
      <w:r w:rsidR="006C751D" w:rsidRPr="006222EA">
        <w:rPr>
          <w:b/>
        </w:rPr>
        <w:t>nalytical and policy development</w:t>
      </w:r>
      <w:r w:rsidR="006C751D" w:rsidRPr="006222EA">
        <w:t xml:space="preserve"> </w:t>
      </w:r>
      <w:r w:rsidR="00B972A9" w:rsidRPr="006222EA">
        <w:t>inputs</w:t>
      </w:r>
      <w:r w:rsidR="00CA3C5D">
        <w:t>,</w:t>
      </w:r>
      <w:r w:rsidR="00B972A9" w:rsidRPr="006222EA">
        <w:t xml:space="preserve"> </w:t>
      </w:r>
      <w:r w:rsidR="003D3303" w:rsidRPr="006222EA">
        <w:t xml:space="preserve">such as </w:t>
      </w:r>
      <w:r w:rsidR="006C751D" w:rsidRPr="006222EA">
        <w:t xml:space="preserve">2012 </w:t>
      </w:r>
      <w:r w:rsidR="002C3376">
        <w:t>c</w:t>
      </w:r>
      <w:r w:rsidR="006C751D" w:rsidRPr="006222EA">
        <w:t xml:space="preserve">limate and </w:t>
      </w:r>
      <w:r w:rsidR="002C3376">
        <w:t>d</w:t>
      </w:r>
      <w:r w:rsidR="006C751D" w:rsidRPr="006222EA">
        <w:t xml:space="preserve">isaster </w:t>
      </w:r>
      <w:r w:rsidR="002C3376">
        <w:t>r</w:t>
      </w:r>
      <w:r w:rsidR="006C751D" w:rsidRPr="006222EA">
        <w:t xml:space="preserve">isk </w:t>
      </w:r>
      <w:r w:rsidR="002C3376">
        <w:t>c</w:t>
      </w:r>
      <w:r w:rsidR="006C751D" w:rsidRPr="006222EA">
        <w:t xml:space="preserve">ountry </w:t>
      </w:r>
      <w:r w:rsidR="002C3376">
        <w:t>p</w:t>
      </w:r>
      <w:r w:rsidR="006C751D" w:rsidRPr="006222EA">
        <w:t xml:space="preserve">rofiles for Cook Islands, Fiji, Kiribati, Samoa, Tonga and Tuvalu. </w:t>
      </w:r>
    </w:p>
    <w:p w14:paraId="420DC720" w14:textId="77777777" w:rsidR="00B972A9" w:rsidRPr="006222EA" w:rsidRDefault="005B442C" w:rsidP="005B66B3">
      <w:pPr>
        <w:pStyle w:val="ListBullet"/>
      </w:pPr>
      <w:r w:rsidRPr="006222EA">
        <w:t xml:space="preserve">ADB’s work on the </w:t>
      </w:r>
      <w:r w:rsidRPr="006222EA">
        <w:rPr>
          <w:b/>
        </w:rPr>
        <w:t>Pacific Private Sector Development Initiative</w:t>
      </w:r>
      <w:r w:rsidR="002C3376">
        <w:t>, which</w:t>
      </w:r>
      <w:r w:rsidRPr="006222EA">
        <w:t xml:space="preserve"> is helping to make it easier to do business in the Pacific</w:t>
      </w:r>
      <w:r w:rsidR="002C3376" w:rsidRPr="006222EA">
        <w:t>.</w:t>
      </w:r>
      <w:r w:rsidR="002C3376">
        <w:t xml:space="preserve"> The initiative</w:t>
      </w:r>
      <w:r w:rsidRPr="006222EA">
        <w:t xml:space="preserve"> works in the areas of business law reform, access to finance and </w:t>
      </w:r>
      <w:r w:rsidR="007A123B">
        <w:t>state-owned enterprise</w:t>
      </w:r>
      <w:r w:rsidRPr="006222EA">
        <w:t xml:space="preserve"> reform</w:t>
      </w:r>
      <w:r w:rsidR="002C3376">
        <w:t>, including, for example,</w:t>
      </w:r>
      <w:r w:rsidRPr="006222EA">
        <w:t xml:space="preserve"> new </w:t>
      </w:r>
      <w:r w:rsidR="007A123B">
        <w:t>state-owned enterprise</w:t>
      </w:r>
      <w:r w:rsidRPr="006222EA">
        <w:t xml:space="preserve"> laws in</w:t>
      </w:r>
      <w:r w:rsidR="00923084">
        <w:t xml:space="preserve"> </w:t>
      </w:r>
      <w:r w:rsidRPr="006222EA">
        <w:t>Marshall Islands,</w:t>
      </w:r>
      <w:r w:rsidR="002C3376">
        <w:t xml:space="preserve"> PNG, </w:t>
      </w:r>
      <w:r w:rsidRPr="006222EA">
        <w:t>Samoa</w:t>
      </w:r>
      <w:r w:rsidR="00B972A9" w:rsidRPr="006222EA">
        <w:t xml:space="preserve"> and </w:t>
      </w:r>
      <w:r w:rsidRPr="006222EA">
        <w:t>Tonga</w:t>
      </w:r>
      <w:r w:rsidR="00B972A9" w:rsidRPr="006222EA">
        <w:t xml:space="preserve">. In </w:t>
      </w:r>
      <w:r w:rsidRPr="006222EA">
        <w:t>Solomon Islands</w:t>
      </w:r>
      <w:r w:rsidR="002C3376">
        <w:t>, the Pacific Private Sector Development Initiative</w:t>
      </w:r>
      <w:r w:rsidRPr="006222EA">
        <w:t xml:space="preserve"> support resulted in the privatisation of </w:t>
      </w:r>
      <w:proofErr w:type="spellStart"/>
      <w:r w:rsidRPr="006222EA">
        <w:t>Sasape</w:t>
      </w:r>
      <w:proofErr w:type="spellEnd"/>
      <w:r w:rsidRPr="006222EA">
        <w:t xml:space="preserve"> marina</w:t>
      </w:r>
      <w:r w:rsidR="002C3376">
        <w:t>,</w:t>
      </w:r>
      <w:r w:rsidRPr="006222EA">
        <w:t xml:space="preserve"> sav</w:t>
      </w:r>
      <w:r w:rsidR="00B972A9" w:rsidRPr="006222EA">
        <w:t xml:space="preserve">ing </w:t>
      </w:r>
      <w:r w:rsidRPr="006222EA">
        <w:t>an industry under threat</w:t>
      </w:r>
      <w:r w:rsidR="00942F46" w:rsidRPr="006222EA">
        <w:t>.</w:t>
      </w:r>
    </w:p>
    <w:p w14:paraId="420DC721" w14:textId="77777777" w:rsidR="006C751D" w:rsidRPr="006222EA" w:rsidRDefault="006C751D" w:rsidP="005B66B3">
      <w:pPr>
        <w:pStyle w:val="BodyText"/>
      </w:pPr>
      <w:r w:rsidRPr="006222EA">
        <w:t xml:space="preserve">UNDP Centre </w:t>
      </w:r>
      <w:r w:rsidR="002C3376">
        <w:t>achievements under the Pacific regional program include funding for</w:t>
      </w:r>
      <w:r w:rsidRPr="006222EA">
        <w:t>:</w:t>
      </w:r>
    </w:p>
    <w:p w14:paraId="420DC722" w14:textId="6D20544A" w:rsidR="006C751D" w:rsidRPr="006222EA" w:rsidRDefault="00AC3864" w:rsidP="005B66B3">
      <w:pPr>
        <w:pStyle w:val="ListBullet"/>
      </w:pPr>
      <w:r w:rsidRPr="006222EA">
        <w:t>W</w:t>
      </w:r>
      <w:r w:rsidR="006C751D" w:rsidRPr="006222EA">
        <w:t>ork with mobile technology providers</w:t>
      </w:r>
      <w:r w:rsidR="002C3376">
        <w:t>, which</w:t>
      </w:r>
      <w:r w:rsidR="006C751D" w:rsidRPr="006222EA">
        <w:t xml:space="preserve"> has resulted in </w:t>
      </w:r>
      <w:r w:rsidR="007A123B">
        <w:t>more than</w:t>
      </w:r>
      <w:r w:rsidR="007A123B" w:rsidRPr="006222EA">
        <w:t xml:space="preserve"> </w:t>
      </w:r>
      <w:r w:rsidR="006C751D" w:rsidRPr="006222EA">
        <w:rPr>
          <w:b/>
        </w:rPr>
        <w:t>500</w:t>
      </w:r>
      <w:r w:rsidR="00803BDC">
        <w:rPr>
          <w:b/>
        </w:rPr>
        <w:t>,</w:t>
      </w:r>
      <w:r w:rsidR="006C751D" w:rsidRPr="006222EA">
        <w:rPr>
          <w:b/>
        </w:rPr>
        <w:t>000 mobile money subscribers</w:t>
      </w:r>
      <w:r w:rsidR="006C751D" w:rsidRPr="006222EA">
        <w:t xml:space="preserve"> in Fiji, </w:t>
      </w:r>
      <w:r w:rsidR="002C3376">
        <w:t xml:space="preserve">Samoa, </w:t>
      </w:r>
      <w:r w:rsidR="006C751D" w:rsidRPr="006222EA">
        <w:t>Tonga</w:t>
      </w:r>
      <w:r w:rsidR="00EC1862" w:rsidRPr="006222EA">
        <w:t xml:space="preserve"> and Vanuatu</w:t>
      </w:r>
      <w:r w:rsidRPr="006222EA">
        <w:t xml:space="preserve"> (</w:t>
      </w:r>
      <w:r w:rsidR="006C751D" w:rsidRPr="006222EA">
        <w:t>52 per cent are women</w:t>
      </w:r>
      <w:r w:rsidRPr="006222EA">
        <w:t>)</w:t>
      </w:r>
      <w:r w:rsidR="00EC1862" w:rsidRPr="006222EA">
        <w:t>.</w:t>
      </w:r>
    </w:p>
    <w:p w14:paraId="420DC723" w14:textId="0C4E8DFA" w:rsidR="006C751D" w:rsidRPr="006222EA" w:rsidRDefault="002C3376" w:rsidP="005B66B3">
      <w:pPr>
        <w:pStyle w:val="ListBullet"/>
      </w:pPr>
      <w:r>
        <w:t>Integration of</w:t>
      </w:r>
      <w:r w:rsidR="006C751D" w:rsidRPr="006222EA">
        <w:t xml:space="preserve"> financial education into the core curricula of schools in</w:t>
      </w:r>
      <w:r>
        <w:t xml:space="preserve"> Fiji and</w:t>
      </w:r>
      <w:r w:rsidR="006C751D" w:rsidRPr="006222EA">
        <w:t xml:space="preserve"> Samoa. </w:t>
      </w:r>
      <w:r w:rsidR="00AC3864" w:rsidRPr="006222EA">
        <w:t xml:space="preserve">In Fiji, </w:t>
      </w:r>
      <w:r w:rsidR="006C751D" w:rsidRPr="006222EA">
        <w:rPr>
          <w:b/>
        </w:rPr>
        <w:t>197</w:t>
      </w:r>
      <w:r w:rsidR="00803BDC">
        <w:rPr>
          <w:b/>
        </w:rPr>
        <w:t>,</w:t>
      </w:r>
      <w:r w:rsidR="006C751D" w:rsidRPr="006222EA">
        <w:rPr>
          <w:b/>
        </w:rPr>
        <w:t>000 students</w:t>
      </w:r>
      <w:r w:rsidR="006C751D" w:rsidRPr="006222EA">
        <w:t xml:space="preserve"> </w:t>
      </w:r>
      <w:r w:rsidR="00AC3864" w:rsidRPr="006222EA">
        <w:t xml:space="preserve">per </w:t>
      </w:r>
      <w:r>
        <w:t>year</w:t>
      </w:r>
      <w:r w:rsidRPr="006222EA">
        <w:t xml:space="preserve"> </w:t>
      </w:r>
      <w:r w:rsidR="006C751D" w:rsidRPr="006222EA">
        <w:t xml:space="preserve">will </w:t>
      </w:r>
      <w:r w:rsidR="00AC3864" w:rsidRPr="006222EA">
        <w:t xml:space="preserve">receive this education and by </w:t>
      </w:r>
      <w:r w:rsidR="006C751D" w:rsidRPr="006222EA">
        <w:t>2013, financial education will be integrated into the curricula in primary and secondary levels throughout the</w:t>
      </w:r>
      <w:r>
        <w:t xml:space="preserve"> country’s</w:t>
      </w:r>
      <w:r w:rsidR="006C751D" w:rsidRPr="006222EA">
        <w:t xml:space="preserve"> </w:t>
      </w:r>
      <w:r w:rsidR="006C751D" w:rsidRPr="006222EA">
        <w:rPr>
          <w:b/>
        </w:rPr>
        <w:t>910 school</w:t>
      </w:r>
      <w:r>
        <w:rPr>
          <w:b/>
        </w:rPr>
        <w:t>s</w:t>
      </w:r>
      <w:r w:rsidR="006C751D" w:rsidRPr="006222EA">
        <w:t>.</w:t>
      </w:r>
    </w:p>
    <w:p w14:paraId="420DC724" w14:textId="77777777" w:rsidR="006C751D" w:rsidRPr="006222EA" w:rsidRDefault="002C3376" w:rsidP="005B66B3">
      <w:pPr>
        <w:pStyle w:val="ListBullet"/>
      </w:pPr>
      <w:r>
        <w:t>P</w:t>
      </w:r>
      <w:r w:rsidR="006C751D" w:rsidRPr="006222EA">
        <w:t xml:space="preserve">romotion of </w:t>
      </w:r>
      <w:r w:rsidR="006C751D" w:rsidRPr="00800ACF">
        <w:rPr>
          <w:b/>
        </w:rPr>
        <w:t>UN</w:t>
      </w:r>
      <w:r w:rsidRPr="00800ACF">
        <w:rPr>
          <w:b/>
        </w:rPr>
        <w:t xml:space="preserve"> </w:t>
      </w:r>
      <w:r w:rsidR="006C751D" w:rsidRPr="00800ACF">
        <w:rPr>
          <w:b/>
        </w:rPr>
        <w:t>C</w:t>
      </w:r>
      <w:r w:rsidRPr="00800ACF">
        <w:rPr>
          <w:b/>
        </w:rPr>
        <w:t xml:space="preserve">onvention against Corruption </w:t>
      </w:r>
      <w:r w:rsidR="006C751D" w:rsidRPr="00800ACF">
        <w:rPr>
          <w:b/>
        </w:rPr>
        <w:t>ratification</w:t>
      </w:r>
      <w:r>
        <w:t>, which</w:t>
      </w:r>
      <w:r w:rsidR="006C751D" w:rsidRPr="006222EA">
        <w:t xml:space="preserve"> saw </w:t>
      </w:r>
      <w:r w:rsidR="00717F28">
        <w:t xml:space="preserve">FSM, </w:t>
      </w:r>
      <w:r>
        <w:t>Marshall Islands, Nauru and</w:t>
      </w:r>
      <w:r w:rsidR="006C751D" w:rsidRPr="006222EA">
        <w:t xml:space="preserve"> Solomon Islands accede to the Convention in 2012 and join others </w:t>
      </w:r>
      <w:r w:rsidR="00242F2D" w:rsidRPr="006222EA">
        <w:t>arising from previous advocacy</w:t>
      </w:r>
      <w:r w:rsidR="00EC1862" w:rsidRPr="006222EA">
        <w:t>.</w:t>
      </w:r>
    </w:p>
    <w:p w14:paraId="420DC725" w14:textId="77777777" w:rsidR="006C751D" w:rsidRPr="006222EA" w:rsidRDefault="002C3376" w:rsidP="005B66B3">
      <w:pPr>
        <w:pStyle w:val="ListBullet"/>
      </w:pPr>
      <w:r>
        <w:t>Development of</w:t>
      </w:r>
      <w:r w:rsidR="006C751D" w:rsidRPr="006222EA">
        <w:t xml:space="preserve"> the </w:t>
      </w:r>
      <w:r w:rsidR="006C751D" w:rsidRPr="00EC57E9">
        <w:rPr>
          <w:b/>
        </w:rPr>
        <w:t>Millennium Markets: One Market One Country</w:t>
      </w:r>
      <w:r w:rsidR="006C751D" w:rsidRPr="006222EA">
        <w:rPr>
          <w:i/>
        </w:rPr>
        <w:t xml:space="preserve"> </w:t>
      </w:r>
      <w:r w:rsidR="00242F2D" w:rsidRPr="006222EA">
        <w:t>p</w:t>
      </w:r>
      <w:r w:rsidR="006C751D" w:rsidRPr="006222EA">
        <w:t>roject</w:t>
      </w:r>
      <w:r>
        <w:t>, in collaboration with UN Women, in</w:t>
      </w:r>
      <w:r w:rsidR="006C751D" w:rsidRPr="006222EA">
        <w:t xml:space="preserve"> Fiji, PNG, Solomon Islands and Vanuatu</w:t>
      </w:r>
      <w:r w:rsidR="00242F2D" w:rsidRPr="006222EA">
        <w:t xml:space="preserve">. This </w:t>
      </w:r>
      <w:r w:rsidR="006C751D" w:rsidRPr="006222EA">
        <w:t xml:space="preserve">assisted </w:t>
      </w:r>
      <w:r>
        <w:t>developing</w:t>
      </w:r>
      <w:r w:rsidR="006C751D" w:rsidRPr="006222EA">
        <w:t xml:space="preserve"> social protection mechanisms and strengthening local </w:t>
      </w:r>
      <w:r w:rsidR="00242F2D" w:rsidRPr="006222EA">
        <w:t xml:space="preserve">administrations </w:t>
      </w:r>
      <w:r w:rsidR="006C751D" w:rsidRPr="006222EA">
        <w:t>to respon</w:t>
      </w:r>
      <w:r w:rsidR="0011370A">
        <w:t>d</w:t>
      </w:r>
      <w:r w:rsidR="006C751D" w:rsidRPr="006222EA">
        <w:t xml:space="preserve"> to the needs of women vendors.</w:t>
      </w:r>
    </w:p>
    <w:p w14:paraId="420DC726" w14:textId="77777777" w:rsidR="006C751D" w:rsidRPr="006222EA" w:rsidRDefault="002C3376" w:rsidP="005B66B3">
      <w:pPr>
        <w:pStyle w:val="ListBullet"/>
      </w:pPr>
      <w:r>
        <w:t>Conducted pilots, i</w:t>
      </w:r>
      <w:r w:rsidR="006C751D" w:rsidRPr="006222EA">
        <w:t>n collaboration with</w:t>
      </w:r>
      <w:r w:rsidR="00AB7772">
        <w:t xml:space="preserve"> the Pacific Island Forum Secretariat</w:t>
      </w:r>
      <w:r>
        <w:t>,</w:t>
      </w:r>
      <w:r w:rsidR="006C751D" w:rsidRPr="006222EA">
        <w:t xml:space="preserve"> of the first ever </w:t>
      </w:r>
      <w:r w:rsidR="006C751D" w:rsidRPr="006222EA">
        <w:rPr>
          <w:b/>
        </w:rPr>
        <w:t xml:space="preserve">Mock </w:t>
      </w:r>
      <w:r w:rsidR="006C751D" w:rsidRPr="00717F28">
        <w:rPr>
          <w:b/>
        </w:rPr>
        <w:t>Parliament for Women</w:t>
      </w:r>
      <w:r w:rsidR="006C751D" w:rsidRPr="006222EA">
        <w:t xml:space="preserve"> in Kiribati, Marshall Islands, Palau</w:t>
      </w:r>
      <w:r>
        <w:t xml:space="preserve"> and PNG</w:t>
      </w:r>
      <w:r w:rsidR="006C751D" w:rsidRPr="006222EA">
        <w:t>. A video of the Kiribati Mock Parliament was produced as an advocacy tool (www.youtube.com/pacwip).</w:t>
      </w:r>
    </w:p>
    <w:p w14:paraId="420DC727" w14:textId="77777777" w:rsidR="006C751D" w:rsidRPr="006222EA" w:rsidRDefault="006C751D" w:rsidP="006C751D">
      <w:pPr>
        <w:pStyle w:val="Heading2"/>
      </w:pPr>
      <w:r w:rsidRPr="006222EA">
        <w:t>Factors affecting progress and future directions</w:t>
      </w:r>
    </w:p>
    <w:p w14:paraId="420DC728" w14:textId="3CA9634C" w:rsidR="006C751D" w:rsidRDefault="006C751D" w:rsidP="005B66B3">
      <w:pPr>
        <w:pStyle w:val="BodyText"/>
        <w:rPr>
          <w:rFonts w:ascii="Times" w:hAnsi="Times" w:cs="TimesNewRomanPSMT"/>
          <w:color w:val="000000"/>
          <w:lang w:val="en-GB" w:eastAsia="ja-JP"/>
        </w:rPr>
      </w:pPr>
      <w:r w:rsidRPr="006222EA">
        <w:t>In March 2012, the effectiveness of each multilateral organisation and its alignment with Australia’s national and development interests w</w:t>
      </w:r>
      <w:r w:rsidR="002C3376">
        <w:t>as</w:t>
      </w:r>
      <w:r w:rsidRPr="006222EA">
        <w:t xml:space="preserve"> examined in detail as part of the</w:t>
      </w:r>
      <w:r w:rsidRPr="006222EA">
        <w:rPr>
          <w:rFonts w:ascii="Times" w:hAnsi="Times" w:cs="TimesNewRomanPSMT"/>
          <w:color w:val="000000"/>
          <w:lang w:val="en-GB" w:eastAsia="ja-JP"/>
        </w:rPr>
        <w:t xml:space="preserve"> </w:t>
      </w:r>
      <w:r w:rsidRPr="00717F28">
        <w:rPr>
          <w:rFonts w:ascii="Times" w:hAnsi="Times"/>
        </w:rPr>
        <w:t>Australian Multilateral Assessment</w:t>
      </w:r>
      <w:r w:rsidR="00AB7772">
        <w:rPr>
          <w:rFonts w:ascii="Times" w:hAnsi="Times" w:cs="TimesNewRomanPSMT"/>
          <w:color w:val="000000"/>
          <w:lang w:val="en-GB" w:eastAsia="ja-JP"/>
        </w:rPr>
        <w:t>.</w:t>
      </w:r>
      <w:r w:rsidRPr="006222EA">
        <w:rPr>
          <w:rStyle w:val="FootnoteReference"/>
          <w:rFonts w:ascii="Times" w:hAnsi="Times" w:cs="TimesNewRomanPSMT"/>
          <w:color w:val="000000"/>
          <w:szCs w:val="16"/>
          <w:lang w:val="en-GB" w:eastAsia="ja-JP"/>
        </w:rPr>
        <w:footnoteReference w:id="22"/>
      </w:r>
      <w:r w:rsidRPr="006222EA">
        <w:rPr>
          <w:rFonts w:ascii="Times" w:hAnsi="Times" w:cs="TimesNewRomanPSMT"/>
          <w:color w:val="000000"/>
          <w:lang w:val="en-GB" w:eastAsia="ja-JP"/>
        </w:rPr>
        <w:t xml:space="preserve"> </w:t>
      </w:r>
      <w:r w:rsidR="000F21DD">
        <w:rPr>
          <w:rFonts w:ascii="Times" w:hAnsi="Times" w:cs="TimesNewRomanPSMT"/>
          <w:color w:val="000000"/>
          <w:lang w:val="en-GB" w:eastAsia="ja-JP"/>
        </w:rPr>
        <w:t xml:space="preserve">The </w:t>
      </w:r>
      <w:r w:rsidR="00F731ED">
        <w:rPr>
          <w:rFonts w:ascii="Times" w:hAnsi="Times" w:cs="TimesNewRomanPSMT"/>
          <w:color w:val="000000"/>
          <w:lang w:val="en-GB" w:eastAsia="ja-JP"/>
        </w:rPr>
        <w:t>Pacific Division will participate more actively in this assessment in 2013.</w:t>
      </w:r>
    </w:p>
    <w:p w14:paraId="420DC729" w14:textId="16D69F8C" w:rsidR="00871FBE" w:rsidRPr="006222EA" w:rsidRDefault="00F63992" w:rsidP="005B66B3">
      <w:pPr>
        <w:pStyle w:val="BodyText"/>
      </w:pPr>
      <w:r>
        <w:rPr>
          <w:color w:val="000000"/>
        </w:rPr>
        <w:t>The department</w:t>
      </w:r>
      <w:r w:rsidR="00871FBE" w:rsidRPr="006222EA">
        <w:rPr>
          <w:color w:val="000000"/>
        </w:rPr>
        <w:t xml:space="preserve"> is investigating options for future support to the</w:t>
      </w:r>
      <w:r w:rsidR="002C3376">
        <w:rPr>
          <w:color w:val="000000"/>
        </w:rPr>
        <w:t xml:space="preserve"> ADB and</w:t>
      </w:r>
      <w:r w:rsidR="00871FBE" w:rsidRPr="006222EA">
        <w:rPr>
          <w:color w:val="000000"/>
        </w:rPr>
        <w:t xml:space="preserve"> World</w:t>
      </w:r>
      <w:r w:rsidR="00871FBE" w:rsidRPr="006222EA">
        <w:t xml:space="preserve"> Bank operations in the Pacific through new, more effective and efficient trust funds. </w:t>
      </w:r>
      <w:r>
        <w:t>The department’s</w:t>
      </w:r>
      <w:r w:rsidR="00871FBE" w:rsidRPr="006222EA">
        <w:t xml:space="preserve"> engagement with the</w:t>
      </w:r>
      <w:r w:rsidR="002C3376">
        <w:t>se banks</w:t>
      </w:r>
      <w:r w:rsidR="00871FBE" w:rsidRPr="006222EA">
        <w:t xml:space="preserve"> will align with the strategic direction of the forthcoming regional strategy. There is an ongoing challenge to ensure multilateral support </w:t>
      </w:r>
      <w:r w:rsidR="00871FBE" w:rsidRPr="006222EA">
        <w:lastRenderedPageBreak/>
        <w:t>delivers timely outcomes and value</w:t>
      </w:r>
      <w:r w:rsidR="0094163A">
        <w:t>-</w:t>
      </w:r>
      <w:r w:rsidR="00871FBE" w:rsidRPr="006222EA">
        <w:t>for</w:t>
      </w:r>
      <w:r w:rsidR="0094163A">
        <w:t>-</w:t>
      </w:r>
      <w:r w:rsidR="00871FBE" w:rsidRPr="006222EA">
        <w:t xml:space="preserve">money outcomes at country level and </w:t>
      </w:r>
      <w:r w:rsidR="00871FBE">
        <w:t>across the region.</w:t>
      </w:r>
    </w:p>
    <w:p w14:paraId="420DC72A" w14:textId="77777777" w:rsidR="006C751D" w:rsidRPr="006222EA" w:rsidRDefault="006C751D" w:rsidP="005B66B3">
      <w:pPr>
        <w:pStyle w:val="BodyText"/>
      </w:pPr>
      <w:r w:rsidRPr="006222EA">
        <w:t xml:space="preserve">Performance of UN organisations in the Pacific has been variable. </w:t>
      </w:r>
      <w:r w:rsidR="00FF00EA" w:rsidRPr="006222EA">
        <w:t xml:space="preserve">A key challenge </w:t>
      </w:r>
      <w:r w:rsidRPr="006222EA">
        <w:t>continue</w:t>
      </w:r>
      <w:r w:rsidR="00FF00EA" w:rsidRPr="006222EA">
        <w:t>s</w:t>
      </w:r>
      <w:r w:rsidRPr="006222EA">
        <w:t xml:space="preserve"> to be ensur</w:t>
      </w:r>
      <w:r w:rsidR="00FF00EA" w:rsidRPr="006222EA">
        <w:t>ing that PIC</w:t>
      </w:r>
      <w:r w:rsidRPr="006222EA">
        <w:t xml:space="preserve">s have access to international expertise </w:t>
      </w:r>
      <w:r w:rsidR="00820BEE" w:rsidRPr="006222EA">
        <w:t>a</w:t>
      </w:r>
      <w:r w:rsidRPr="006222EA">
        <w:t>ssisted by increased country</w:t>
      </w:r>
      <w:r w:rsidR="0094163A">
        <w:t>-</w:t>
      </w:r>
      <w:r w:rsidRPr="006222EA">
        <w:t>level presence</w:t>
      </w:r>
      <w:r w:rsidR="00820BEE" w:rsidRPr="006222EA">
        <w:t>.</w:t>
      </w:r>
      <w:r w:rsidRPr="006222EA">
        <w:t xml:space="preserve"> </w:t>
      </w:r>
      <w:r w:rsidR="00820BEE" w:rsidRPr="006222EA">
        <w:t xml:space="preserve">Modest </w:t>
      </w:r>
      <w:r w:rsidRPr="006222EA">
        <w:t>improvements have been made in monitoring and evaluation capabilities, a</w:t>
      </w:r>
      <w:r w:rsidR="00CA3C5D">
        <w:t>s well as</w:t>
      </w:r>
      <w:r w:rsidRPr="006222EA">
        <w:t xml:space="preserve"> coordination between agencies</w:t>
      </w:r>
      <w:r w:rsidR="00CA3C5D">
        <w:t>,</w:t>
      </w:r>
      <w:r w:rsidRPr="006222EA">
        <w:t xml:space="preserve"> through the U</w:t>
      </w:r>
      <w:r w:rsidR="00ED44FA">
        <w:t>N</w:t>
      </w:r>
      <w:r w:rsidRPr="006222EA">
        <w:t xml:space="preserve"> Development Action Framework and development partners. This work </w:t>
      </w:r>
      <w:r w:rsidR="00820BEE" w:rsidRPr="006222EA">
        <w:t xml:space="preserve">can </w:t>
      </w:r>
      <w:r w:rsidRPr="006222EA">
        <w:t xml:space="preserve">be strengthened. </w:t>
      </w:r>
      <w:r w:rsidR="00FC1C39" w:rsidRPr="006222EA">
        <w:t xml:space="preserve">High transaction costs for countries also </w:t>
      </w:r>
      <w:r w:rsidR="0094163A">
        <w:t>remain challenging</w:t>
      </w:r>
      <w:r w:rsidRPr="006222EA">
        <w:t xml:space="preserve">. </w:t>
      </w:r>
    </w:p>
    <w:p w14:paraId="420DC72B" w14:textId="77777777" w:rsidR="006C751D" w:rsidRPr="006222EA" w:rsidRDefault="006C751D" w:rsidP="006C751D">
      <w:pPr>
        <w:pStyle w:val="Heading1"/>
      </w:pPr>
      <w:r w:rsidRPr="006222EA">
        <w:t>Development through sport</w:t>
      </w:r>
    </w:p>
    <w:p w14:paraId="420DC72C" w14:textId="77777777" w:rsidR="006C751D" w:rsidRPr="006222EA" w:rsidRDefault="006C751D" w:rsidP="006C751D">
      <w:pPr>
        <w:pStyle w:val="Heading2"/>
      </w:pPr>
      <w:r w:rsidRPr="006222EA">
        <w:t>Program objectives</w:t>
      </w:r>
    </w:p>
    <w:p w14:paraId="420DC72D" w14:textId="77777777" w:rsidR="006C751D" w:rsidRPr="006222EA" w:rsidRDefault="006C751D" w:rsidP="005B66B3">
      <w:pPr>
        <w:pStyle w:val="BodyText"/>
      </w:pPr>
      <w:r w:rsidRPr="006222EA">
        <w:t xml:space="preserve">Australia </w:t>
      </w:r>
      <w:r w:rsidR="00F66AD4" w:rsidRPr="006222EA">
        <w:t xml:space="preserve">supports </w:t>
      </w:r>
      <w:r w:rsidRPr="006222EA">
        <w:t xml:space="preserve">sport </w:t>
      </w:r>
      <w:r w:rsidR="00F66AD4" w:rsidRPr="006222EA">
        <w:t xml:space="preserve">activities in the Pacific </w:t>
      </w:r>
      <w:r w:rsidR="0028652A" w:rsidRPr="006222EA">
        <w:t xml:space="preserve">to </w:t>
      </w:r>
      <w:r w:rsidR="00F66AD4" w:rsidRPr="006222EA">
        <w:t xml:space="preserve">help </w:t>
      </w:r>
      <w:r w:rsidRPr="006222EA">
        <w:t>address non-communicable diseases and enhance the lives of people with disability. In partnership with the Australian Sports Commission, activities are</w:t>
      </w:r>
      <w:r w:rsidR="00942F46" w:rsidRPr="006222EA">
        <w:t xml:space="preserve"> delivered in nine PIC</w:t>
      </w:r>
      <w:r w:rsidRPr="006222EA">
        <w:t>s through the Australian Sports Outreach Program and Pacific Sports Partnerships. Small grants are also made available t</w:t>
      </w:r>
      <w:r w:rsidR="00510C1A" w:rsidRPr="006222EA">
        <w:t xml:space="preserve">o organisations </w:t>
      </w:r>
      <w:r w:rsidRPr="006222EA">
        <w:t>through the Pacific Sport Development Grants program.</w:t>
      </w:r>
    </w:p>
    <w:p w14:paraId="420DC72E" w14:textId="77777777" w:rsidR="006C751D" w:rsidRPr="006222EA" w:rsidRDefault="006C751D" w:rsidP="005B66B3">
      <w:pPr>
        <w:pStyle w:val="BodyText"/>
      </w:pPr>
      <w:r w:rsidRPr="006222EA">
        <w:t>The A</w:t>
      </w:r>
      <w:r w:rsidR="0094163A">
        <w:t>ustralian Sports C</w:t>
      </w:r>
      <w:r w:rsidR="00ED44FA">
        <w:t>ommission</w:t>
      </w:r>
      <w:r w:rsidRPr="006222EA">
        <w:t xml:space="preserve"> provides funding to partners and engages relevant technical advisers and volunteers to support the capacity development of</w:t>
      </w:r>
      <w:r w:rsidR="0094163A">
        <w:t xml:space="preserve"> various</w:t>
      </w:r>
      <w:r w:rsidRPr="006222EA">
        <w:t xml:space="preserve"> government, non-government and sport partners in the Pacific. These partner organisations deliver sports-based activities that aim to develop healthier and more inclusive communities. </w:t>
      </w:r>
    </w:p>
    <w:p w14:paraId="420DC72F" w14:textId="77777777" w:rsidR="006C751D" w:rsidRPr="006222EA" w:rsidRDefault="006C751D" w:rsidP="006C751D">
      <w:pPr>
        <w:pStyle w:val="Heading2"/>
      </w:pPr>
      <w:r w:rsidRPr="006222EA">
        <w:t>Key achievements</w:t>
      </w:r>
    </w:p>
    <w:p w14:paraId="420DC730" w14:textId="77777777" w:rsidR="006C751D" w:rsidRPr="006222EA" w:rsidRDefault="006C751D" w:rsidP="005B66B3">
      <w:pPr>
        <w:pStyle w:val="BodyText"/>
      </w:pPr>
      <w:r w:rsidRPr="006222EA">
        <w:t xml:space="preserve">Sport and physical activity programs, coupled with social marketing campaigns and free child minding, have significantly increased participation in regular physical activity in countries with high rates of </w:t>
      </w:r>
      <w:r w:rsidR="00ED44FA">
        <w:t>non-communicable diseases</w:t>
      </w:r>
      <w:r w:rsidRPr="006222EA">
        <w:t xml:space="preserve">. Successful activities have included island cricket in Vanuatu, aerobics in Samoa, </w:t>
      </w:r>
      <w:proofErr w:type="gramStart"/>
      <w:r w:rsidRPr="006222EA">
        <w:t>netball</w:t>
      </w:r>
      <w:proofErr w:type="gramEnd"/>
      <w:r w:rsidRPr="006222EA">
        <w:t xml:space="preserve"> in Tonga and over-40s basketball in Nauru. For example, a </w:t>
      </w:r>
      <w:r w:rsidRPr="00D056F2">
        <w:rPr>
          <w:b/>
        </w:rPr>
        <w:t>Women’s Island Cricket Pilot Project in Vanuatu led to 53 per cent of participants lowering their blood pressure</w:t>
      </w:r>
      <w:r w:rsidRPr="006222EA">
        <w:t xml:space="preserve"> and 46 per cent reducing their waist measurement. </w:t>
      </w:r>
    </w:p>
    <w:p w14:paraId="420DC731" w14:textId="77777777" w:rsidR="006C751D" w:rsidRPr="006222EA" w:rsidRDefault="006C751D" w:rsidP="006C751D">
      <w:pPr>
        <w:pStyle w:val="Heading2"/>
      </w:pPr>
      <w:r w:rsidRPr="006222EA">
        <w:t>Factors affecting progress and future directions</w:t>
      </w:r>
    </w:p>
    <w:p w14:paraId="420DC732" w14:textId="77777777" w:rsidR="00B2767A" w:rsidRPr="006222EA" w:rsidRDefault="006C751D" w:rsidP="005B66B3">
      <w:pPr>
        <w:pStyle w:val="BodyText"/>
      </w:pPr>
      <w:r w:rsidRPr="006222EA">
        <w:t xml:space="preserve">The second phase of Pacific Sports Partnerships </w:t>
      </w:r>
      <w:r w:rsidR="0094163A">
        <w:t>begins</w:t>
      </w:r>
      <w:r w:rsidR="0094163A" w:rsidRPr="006222EA">
        <w:t xml:space="preserve"> </w:t>
      </w:r>
      <w:r w:rsidRPr="006222EA">
        <w:t>in May 2013. The Australian Sports Outreach Program and Pacific Sport Development Grants will be independently evaluated in mid-2013</w:t>
      </w:r>
      <w:r w:rsidR="001E55AB" w:rsidRPr="006222EA">
        <w:t xml:space="preserve">. </w:t>
      </w:r>
    </w:p>
    <w:p w14:paraId="420DC733" w14:textId="77777777" w:rsidR="00180B19" w:rsidRPr="006222EA" w:rsidRDefault="00180B19" w:rsidP="00D8178B">
      <w:pPr>
        <w:pStyle w:val="Heading1"/>
      </w:pPr>
      <w:r w:rsidRPr="006222EA">
        <w:t>Quality at Implementation ratings</w:t>
      </w:r>
    </w:p>
    <w:p w14:paraId="420DC734" w14:textId="3EE0C307" w:rsidR="006C751D" w:rsidRPr="006222EA" w:rsidRDefault="00F63992" w:rsidP="005B66B3">
      <w:pPr>
        <w:pStyle w:val="BodyText"/>
      </w:pPr>
      <w:r>
        <w:t>A</w:t>
      </w:r>
      <w:r w:rsidR="00510C1A" w:rsidRPr="006222EA">
        <w:t>nnual</w:t>
      </w:r>
      <w:r w:rsidR="006C751D" w:rsidRPr="006222EA">
        <w:t xml:space="preserve"> Q</w:t>
      </w:r>
      <w:r w:rsidR="00C81AB9">
        <w:t>AI</w:t>
      </w:r>
      <w:r w:rsidR="006C751D" w:rsidRPr="006222EA">
        <w:t xml:space="preserve"> self-assessment</w:t>
      </w:r>
      <w:r w:rsidR="00510C1A" w:rsidRPr="006222EA">
        <w:t>s</w:t>
      </w:r>
      <w:r w:rsidR="006C751D" w:rsidRPr="006222EA">
        <w:t xml:space="preserve"> </w:t>
      </w:r>
      <w:r>
        <w:t xml:space="preserve">are required for aid </w:t>
      </w:r>
      <w:r w:rsidR="00942F46" w:rsidRPr="006222EA">
        <w:t xml:space="preserve">initiatives </w:t>
      </w:r>
      <w:r w:rsidR="0094163A">
        <w:t>worth more than</w:t>
      </w:r>
      <w:r w:rsidR="0094163A" w:rsidRPr="006222EA">
        <w:t xml:space="preserve"> </w:t>
      </w:r>
      <w:r w:rsidR="00942F46" w:rsidRPr="006222EA">
        <w:t>$3 million</w:t>
      </w:r>
      <w:r w:rsidR="000D226F">
        <w:t xml:space="preserve"> each</w:t>
      </w:r>
      <w:r w:rsidR="00EC1862" w:rsidRPr="006222EA">
        <w:t xml:space="preserve">. The regional program </w:t>
      </w:r>
      <w:r w:rsidR="00FC1C39" w:rsidRPr="006222EA">
        <w:t>completed</w:t>
      </w:r>
      <w:r w:rsidR="006C751D" w:rsidRPr="006222EA">
        <w:t xml:space="preserve"> approximately 40 QAI reports in 2012</w:t>
      </w:r>
      <w:r w:rsidR="008C7874">
        <w:t>–</w:t>
      </w:r>
      <w:r w:rsidR="006C751D" w:rsidRPr="006222EA">
        <w:t>13 and the findings of the</w:t>
      </w:r>
      <w:r w:rsidR="0094163A">
        <w:t>se</w:t>
      </w:r>
      <w:r w:rsidR="00942F46" w:rsidRPr="006222EA">
        <w:t xml:space="preserve"> (ratings at Annex B)</w:t>
      </w:r>
      <w:r w:rsidR="006C751D" w:rsidRPr="006222EA">
        <w:t xml:space="preserve"> form the basis for this </w:t>
      </w:r>
      <w:r w:rsidR="005C5D12">
        <w:t>APPR</w:t>
      </w:r>
      <w:r w:rsidR="006C751D" w:rsidRPr="006222EA">
        <w:t>, along with other performance reporting</w:t>
      </w:r>
      <w:r w:rsidR="0094163A">
        <w:t xml:space="preserve"> completed by </w:t>
      </w:r>
      <w:r w:rsidR="006C751D" w:rsidRPr="006222EA">
        <w:t>implementing partners, multilateral</w:t>
      </w:r>
      <w:r w:rsidR="00AB7772">
        <w:t xml:space="preserve"> </w:t>
      </w:r>
      <w:r w:rsidR="006C751D" w:rsidRPr="006222EA">
        <w:t xml:space="preserve">and </w:t>
      </w:r>
      <w:r w:rsidR="006C751D" w:rsidRPr="0094163A">
        <w:t>regional organisations.</w:t>
      </w:r>
      <w:r w:rsidR="006C751D" w:rsidRPr="006222EA">
        <w:t xml:space="preserve"> </w:t>
      </w:r>
    </w:p>
    <w:p w14:paraId="420DC735" w14:textId="6F4649C8" w:rsidR="0094163A" w:rsidRDefault="006633C3" w:rsidP="005B66B3">
      <w:pPr>
        <w:pStyle w:val="BodyText"/>
      </w:pPr>
      <w:r>
        <w:t>The Australian aid program</w:t>
      </w:r>
      <w:r w:rsidR="000D226F">
        <w:t xml:space="preserve"> established the</w:t>
      </w:r>
      <w:r w:rsidR="000D226F" w:rsidRPr="006222EA">
        <w:t xml:space="preserve"> </w:t>
      </w:r>
      <w:r w:rsidR="00A64D97" w:rsidRPr="006222EA">
        <w:t xml:space="preserve">Pacific Regional Branch in July 2012. A permanent Minister-Counsellor was posted to Suva to oversee regional program delivery early </w:t>
      </w:r>
      <w:r w:rsidR="009F5DB1" w:rsidRPr="006222EA">
        <w:t xml:space="preserve">that year. </w:t>
      </w:r>
      <w:r w:rsidR="001E55AB" w:rsidRPr="006222EA">
        <w:t>These initiatives co</w:t>
      </w:r>
      <w:r w:rsidR="006C751D" w:rsidRPr="006222EA">
        <w:t>ntributed to a more rigorous Q</w:t>
      </w:r>
      <w:r w:rsidR="00942F46" w:rsidRPr="006222EA">
        <w:t>AI process in 2012</w:t>
      </w:r>
      <w:r w:rsidR="007A123B">
        <w:t>–</w:t>
      </w:r>
      <w:r w:rsidR="00942F46" w:rsidRPr="006222EA">
        <w:t>13, with</w:t>
      </w:r>
      <w:r w:rsidR="006C751D" w:rsidRPr="006222EA">
        <w:t xml:space="preserve"> greater </w:t>
      </w:r>
      <w:r w:rsidR="00A64D97" w:rsidRPr="006222EA">
        <w:t xml:space="preserve">use of </w:t>
      </w:r>
      <w:r w:rsidR="006C751D" w:rsidRPr="006222EA">
        <w:t>independent evaluation reports</w:t>
      </w:r>
      <w:r w:rsidR="00942F46" w:rsidRPr="006222EA">
        <w:t>. This led to</w:t>
      </w:r>
      <w:r w:rsidR="002735C8" w:rsidRPr="006222EA">
        <w:t xml:space="preserve"> broadly</w:t>
      </w:r>
      <w:r w:rsidR="006C751D" w:rsidRPr="006222EA">
        <w:t xml:space="preserve"> similar</w:t>
      </w:r>
      <w:r w:rsidR="001E55AB" w:rsidRPr="006222EA">
        <w:t xml:space="preserve"> but better informed </w:t>
      </w:r>
      <w:r w:rsidR="006C751D" w:rsidRPr="006222EA">
        <w:t>ratings as compared to 2011</w:t>
      </w:r>
      <w:r w:rsidR="007A123B">
        <w:t>–</w:t>
      </w:r>
      <w:r w:rsidR="006C751D" w:rsidRPr="006222EA">
        <w:t>12.</w:t>
      </w:r>
    </w:p>
    <w:p w14:paraId="420DC736" w14:textId="77777777" w:rsidR="006C751D" w:rsidRPr="006222EA" w:rsidRDefault="006C751D" w:rsidP="005B66B3">
      <w:pPr>
        <w:pStyle w:val="BodyText"/>
      </w:pPr>
      <w:r w:rsidRPr="006222EA">
        <w:lastRenderedPageBreak/>
        <w:t xml:space="preserve">The large number of QAIs created a significant burden </w:t>
      </w:r>
      <w:r w:rsidR="001E55AB" w:rsidRPr="006222EA">
        <w:t>of work</w:t>
      </w:r>
      <w:r w:rsidR="0094163A">
        <w:t>, however,</w:t>
      </w:r>
      <w:r w:rsidR="001E55AB" w:rsidRPr="006222EA">
        <w:t xml:space="preserve"> </w:t>
      </w:r>
      <w:r w:rsidRPr="006222EA">
        <w:t xml:space="preserve">and </w:t>
      </w:r>
      <w:r w:rsidR="0094163A">
        <w:t>pointed to the</w:t>
      </w:r>
      <w:r w:rsidR="001E55AB" w:rsidRPr="006222EA">
        <w:t xml:space="preserve"> need to better </w:t>
      </w:r>
      <w:r w:rsidRPr="006222EA">
        <w:t>consolidate initiatives</w:t>
      </w:r>
      <w:r w:rsidR="001E55AB" w:rsidRPr="006222EA">
        <w:t>.</w:t>
      </w:r>
      <w:r w:rsidR="0094163A">
        <w:t xml:space="preserve"> </w:t>
      </w:r>
      <w:r w:rsidR="009F5DB1" w:rsidRPr="006222EA">
        <w:t>S</w:t>
      </w:r>
      <w:r w:rsidRPr="006222EA">
        <w:t xml:space="preserve">ome common themes </w:t>
      </w:r>
      <w:r w:rsidR="009F5DB1" w:rsidRPr="006222EA">
        <w:t xml:space="preserve">across </w:t>
      </w:r>
      <w:r w:rsidR="002735C8" w:rsidRPr="006222EA">
        <w:t>QAI processes</w:t>
      </w:r>
      <w:r w:rsidR="009F5DB1" w:rsidRPr="006222EA">
        <w:t xml:space="preserve"> were</w:t>
      </w:r>
      <w:r w:rsidRPr="006222EA">
        <w:t>:</w:t>
      </w:r>
    </w:p>
    <w:p w14:paraId="420DC737" w14:textId="77777777" w:rsidR="00510C1A" w:rsidRPr="006222EA" w:rsidRDefault="00510C1A" w:rsidP="005B66B3">
      <w:pPr>
        <w:pStyle w:val="ListBullet"/>
      </w:pPr>
      <w:r w:rsidRPr="006222EA">
        <w:t xml:space="preserve">Most QAIs reported results well but were not strong in </w:t>
      </w:r>
      <w:r w:rsidR="00A64D97" w:rsidRPr="006222EA">
        <w:t xml:space="preserve">measuring and </w:t>
      </w:r>
      <w:r w:rsidRPr="006222EA">
        <w:t>reporting outcomes for development</w:t>
      </w:r>
      <w:r w:rsidR="002510F7" w:rsidRPr="006222EA">
        <w:t>.</w:t>
      </w:r>
    </w:p>
    <w:p w14:paraId="420DC738" w14:textId="77777777" w:rsidR="009F5DB1" w:rsidRPr="006222EA" w:rsidRDefault="009F5DB1" w:rsidP="005B66B3">
      <w:pPr>
        <w:pStyle w:val="ListBullet"/>
      </w:pPr>
      <w:r w:rsidRPr="006222EA">
        <w:t>Crosscutting issues</w:t>
      </w:r>
      <w:r w:rsidR="0094163A">
        <w:t>,</w:t>
      </w:r>
      <w:r w:rsidRPr="006222EA">
        <w:t xml:space="preserve"> such as gender </w:t>
      </w:r>
      <w:r w:rsidR="001F609D" w:rsidRPr="006222EA">
        <w:t xml:space="preserve">equality </w:t>
      </w:r>
      <w:r w:rsidRPr="006222EA">
        <w:t xml:space="preserve">and disability </w:t>
      </w:r>
      <w:r w:rsidR="001F609D" w:rsidRPr="006222EA">
        <w:t>inclusiveness</w:t>
      </w:r>
      <w:r w:rsidR="000D226F">
        <w:t>,</w:t>
      </w:r>
      <w:r w:rsidR="001F609D" w:rsidRPr="006222EA">
        <w:t xml:space="preserve"> </w:t>
      </w:r>
      <w:r w:rsidRPr="006222EA">
        <w:t xml:space="preserve">were not well integrated into all programs. Management responses </w:t>
      </w:r>
      <w:r w:rsidR="0094163A">
        <w:t>need to</w:t>
      </w:r>
      <w:r w:rsidR="0094163A" w:rsidRPr="006222EA">
        <w:t xml:space="preserve"> </w:t>
      </w:r>
      <w:r w:rsidRPr="006222EA">
        <w:t>include a strategy to address this challenge.</w:t>
      </w:r>
    </w:p>
    <w:p w14:paraId="420DC739" w14:textId="77777777" w:rsidR="009F5DB1" w:rsidRPr="006222EA" w:rsidRDefault="009F5DB1" w:rsidP="005B66B3">
      <w:pPr>
        <w:pStyle w:val="ListBullet"/>
      </w:pPr>
      <w:r w:rsidRPr="006222EA">
        <w:t xml:space="preserve">The broader regional context was also not well articulated across </w:t>
      </w:r>
      <w:r w:rsidR="0094163A">
        <w:t>all</w:t>
      </w:r>
      <w:r w:rsidR="0094163A" w:rsidRPr="006222EA">
        <w:t xml:space="preserve"> </w:t>
      </w:r>
      <w:r w:rsidRPr="006222EA">
        <w:t xml:space="preserve">QAIs and </w:t>
      </w:r>
      <w:r w:rsidR="0094163A">
        <w:t xml:space="preserve">is needed to </w:t>
      </w:r>
      <w:r w:rsidRPr="006222EA">
        <w:t>provide a clearer rationale for specific relevance ratings.</w:t>
      </w:r>
    </w:p>
    <w:p w14:paraId="420DC73A" w14:textId="77777777" w:rsidR="00510C1A" w:rsidRPr="006222EA" w:rsidRDefault="00510C1A" w:rsidP="005B66B3">
      <w:pPr>
        <w:pStyle w:val="ListBullet"/>
      </w:pPr>
      <w:r w:rsidRPr="006222EA">
        <w:t>The 2012 QAIs consistently identified weaknesses in reporting from partner systems</w:t>
      </w:r>
      <w:r w:rsidR="002510F7" w:rsidRPr="006222EA">
        <w:t>.</w:t>
      </w:r>
      <w:r w:rsidRPr="006222EA">
        <w:t xml:space="preserve"> Improved program designs that more clearly define </w:t>
      </w:r>
      <w:r w:rsidR="002510F7" w:rsidRPr="006222EA">
        <w:t xml:space="preserve">mid-term and </w:t>
      </w:r>
      <w:r w:rsidRPr="006222EA">
        <w:t>end</w:t>
      </w:r>
      <w:r w:rsidR="0094163A">
        <w:t>-</w:t>
      </w:r>
      <w:r w:rsidRPr="006222EA">
        <w:t>of</w:t>
      </w:r>
      <w:r w:rsidR="0094163A">
        <w:t>-</w:t>
      </w:r>
      <w:r w:rsidRPr="006222EA">
        <w:t xml:space="preserve">program outcomes </w:t>
      </w:r>
      <w:r w:rsidR="002510F7" w:rsidRPr="006222EA">
        <w:t>will assist. In</w:t>
      </w:r>
      <w:r w:rsidRPr="006222EA">
        <w:t xml:space="preserve">cluding </w:t>
      </w:r>
      <w:r w:rsidR="002510F7" w:rsidRPr="006222EA">
        <w:t xml:space="preserve">results measurement </w:t>
      </w:r>
      <w:r w:rsidRPr="006222EA">
        <w:t xml:space="preserve">in the </w:t>
      </w:r>
      <w:r w:rsidR="002510F7" w:rsidRPr="006222EA">
        <w:t xml:space="preserve">new </w:t>
      </w:r>
      <w:r w:rsidRPr="006222EA">
        <w:t xml:space="preserve">multi-year funding agreements with </w:t>
      </w:r>
      <w:r w:rsidR="002510F7" w:rsidRPr="006222EA">
        <w:t>the</w:t>
      </w:r>
      <w:r w:rsidR="00AB7772">
        <w:t xml:space="preserve"> PROs</w:t>
      </w:r>
      <w:r w:rsidR="00A64D97" w:rsidRPr="006222EA">
        <w:t xml:space="preserve"> </w:t>
      </w:r>
      <w:r w:rsidR="002510F7" w:rsidRPr="006222EA">
        <w:t xml:space="preserve">will be </w:t>
      </w:r>
      <w:r w:rsidR="00EC1862" w:rsidRPr="006222EA">
        <w:t>important.</w:t>
      </w:r>
    </w:p>
    <w:p w14:paraId="420DC73B" w14:textId="77777777" w:rsidR="00510C1A" w:rsidRPr="006222EA" w:rsidRDefault="009F5DB1" w:rsidP="005B66B3">
      <w:pPr>
        <w:pStyle w:val="ListBullet"/>
      </w:pPr>
      <w:r w:rsidRPr="006222EA">
        <w:t xml:space="preserve">The </w:t>
      </w:r>
      <w:r w:rsidR="00510C1A" w:rsidRPr="006222EA">
        <w:t xml:space="preserve">sustainability </w:t>
      </w:r>
      <w:r w:rsidRPr="006222EA">
        <w:t xml:space="preserve">of the </w:t>
      </w:r>
      <w:r w:rsidR="00AB7772">
        <w:t>PROs</w:t>
      </w:r>
      <w:r w:rsidR="00A64D97" w:rsidRPr="006222EA">
        <w:t xml:space="preserve"> w</w:t>
      </w:r>
      <w:r w:rsidRPr="006222EA">
        <w:t>as</w:t>
      </w:r>
      <w:r w:rsidR="00A64D97" w:rsidRPr="006222EA">
        <w:t xml:space="preserve"> not well defined or reported. </w:t>
      </w:r>
    </w:p>
    <w:p w14:paraId="420DC73C" w14:textId="77777777" w:rsidR="00180B19" w:rsidRPr="006222EA" w:rsidRDefault="00180B19" w:rsidP="00021A9E">
      <w:pPr>
        <w:pStyle w:val="Heading1"/>
      </w:pPr>
      <w:r w:rsidRPr="006222EA">
        <w:t xml:space="preserve">Management </w:t>
      </w:r>
      <w:r w:rsidR="00365E8F">
        <w:t>c</w:t>
      </w:r>
      <w:r w:rsidRPr="006222EA">
        <w:t>onsequences</w:t>
      </w:r>
    </w:p>
    <w:p w14:paraId="420DC73D" w14:textId="77777777" w:rsidR="008F4C57" w:rsidRPr="00871FBE" w:rsidRDefault="008F4C57" w:rsidP="005B66B3">
      <w:pPr>
        <w:pStyle w:val="BodyText"/>
      </w:pPr>
      <w:r w:rsidRPr="00871FBE">
        <w:t xml:space="preserve">Development of the regional program strategy and embedding it within major sectoral delivery strategies </w:t>
      </w:r>
      <w:r w:rsidR="0094163A">
        <w:t>is</w:t>
      </w:r>
      <w:r w:rsidR="00871FBE">
        <w:t xml:space="preserve"> a key priority for 2013</w:t>
      </w:r>
      <w:r w:rsidR="00365E8F">
        <w:t>–</w:t>
      </w:r>
      <w:r w:rsidR="00871FBE">
        <w:t>14.</w:t>
      </w:r>
    </w:p>
    <w:p w14:paraId="420DC73E" w14:textId="4BB35F27" w:rsidR="008F4C57" w:rsidRPr="00871FBE" w:rsidRDefault="008F4C57" w:rsidP="005B66B3">
      <w:pPr>
        <w:pStyle w:val="BodyText"/>
      </w:pPr>
      <w:r w:rsidRPr="00871FBE">
        <w:t xml:space="preserve">In developing the new </w:t>
      </w:r>
      <w:r w:rsidR="0094163A">
        <w:t xml:space="preserve">regional </w:t>
      </w:r>
      <w:r w:rsidRPr="00871FBE">
        <w:t xml:space="preserve">program strategy, </w:t>
      </w:r>
      <w:r w:rsidR="00F63992">
        <w:t>DFAT</w:t>
      </w:r>
      <w:r w:rsidR="0011370A">
        <w:t xml:space="preserve"> will</w:t>
      </w:r>
      <w:r w:rsidRPr="00871FBE">
        <w:t xml:space="preserve"> </w:t>
      </w:r>
      <w:r w:rsidR="0094163A">
        <w:t>consider</w:t>
      </w:r>
      <w:r w:rsidRPr="00871FBE">
        <w:t xml:space="preserve"> the outcomes of the Pacific Plan Review, which will be presented to P</w:t>
      </w:r>
      <w:r w:rsidR="00365E8F">
        <w:t>acific Island Forum l</w:t>
      </w:r>
      <w:r w:rsidRPr="00871FBE">
        <w:t>eaders in September 2013. The strategy will reflect a whole</w:t>
      </w:r>
      <w:r w:rsidR="0094163A">
        <w:t>-</w:t>
      </w:r>
      <w:r w:rsidRPr="00871FBE">
        <w:t>of</w:t>
      </w:r>
      <w:r w:rsidR="0094163A">
        <w:t>-</w:t>
      </w:r>
      <w:r w:rsidRPr="00871FBE">
        <w:t xml:space="preserve">government view of regionalism. </w:t>
      </w:r>
      <w:r w:rsidR="0094163A">
        <w:t xml:space="preserve">It </w:t>
      </w:r>
      <w:r w:rsidRPr="00871FBE">
        <w:t>will also include a single performance assessment framework. The 2013</w:t>
      </w:r>
      <w:r w:rsidR="00365E8F">
        <w:t>–</w:t>
      </w:r>
      <w:r w:rsidRPr="00871FBE">
        <w:t xml:space="preserve">14 </w:t>
      </w:r>
      <w:r w:rsidR="005C5D12">
        <w:t>APPR</w:t>
      </w:r>
      <w:r w:rsidRPr="00871FBE">
        <w:t xml:space="preserve"> will use this </w:t>
      </w:r>
      <w:r w:rsidR="007A123B">
        <w:t>framework</w:t>
      </w:r>
      <w:r w:rsidR="007A123B" w:rsidRPr="00871FBE">
        <w:t xml:space="preserve"> </w:t>
      </w:r>
      <w:r w:rsidRPr="00871FBE">
        <w:t xml:space="preserve">to evaluate overall performance and </w:t>
      </w:r>
      <w:r w:rsidR="0094163A">
        <w:t>assess</w:t>
      </w:r>
      <w:r w:rsidR="00871FBE">
        <w:t xml:space="preserve"> p</w:t>
      </w:r>
      <w:r w:rsidRPr="00871FBE">
        <w:t>rogram performance</w:t>
      </w:r>
      <w:r w:rsidR="0094163A">
        <w:t xml:space="preserve"> on an ongoing basis</w:t>
      </w:r>
      <w:r w:rsidRPr="00871FBE">
        <w:t xml:space="preserve">. The </w:t>
      </w:r>
      <w:r w:rsidR="007A123B">
        <w:t>performance assessment framework</w:t>
      </w:r>
      <w:r w:rsidRPr="00871FBE">
        <w:t xml:space="preserve"> need</w:t>
      </w:r>
      <w:r w:rsidR="0094163A">
        <w:t>s</w:t>
      </w:r>
      <w:r w:rsidRPr="00871FBE">
        <w:t xml:space="preserve"> to </w:t>
      </w:r>
      <w:r w:rsidR="0094163A">
        <w:t>set out</w:t>
      </w:r>
      <w:r w:rsidR="0094163A" w:rsidRPr="00871FBE">
        <w:t xml:space="preserve"> </w:t>
      </w:r>
      <w:r w:rsidRPr="00871FBE">
        <w:t xml:space="preserve">a simple way to track </w:t>
      </w:r>
      <w:r w:rsidR="0094163A">
        <w:t>program</w:t>
      </w:r>
      <w:r w:rsidR="0094163A" w:rsidRPr="00871FBE">
        <w:t xml:space="preserve"> </w:t>
      </w:r>
      <w:r w:rsidRPr="00871FBE">
        <w:t xml:space="preserve">progress and </w:t>
      </w:r>
      <w:r w:rsidR="0094163A">
        <w:t xml:space="preserve">support </w:t>
      </w:r>
      <w:r w:rsidRPr="00871FBE">
        <w:t xml:space="preserve">staff </w:t>
      </w:r>
      <w:r w:rsidR="0094163A">
        <w:t>to</w:t>
      </w:r>
      <w:r w:rsidRPr="00871FBE">
        <w:t xml:space="preserve"> implement improved monitoring and evaluation. </w:t>
      </w:r>
    </w:p>
    <w:p w14:paraId="420DC73F" w14:textId="4B33B1E7" w:rsidR="008F4C57" w:rsidRPr="00871FBE" w:rsidRDefault="008F4C57" w:rsidP="005B66B3">
      <w:pPr>
        <w:pStyle w:val="BodyText"/>
      </w:pPr>
      <w:r w:rsidRPr="00871FBE">
        <w:t>In 2013</w:t>
      </w:r>
      <w:r w:rsidR="00365E8F">
        <w:t>–</w:t>
      </w:r>
      <w:r w:rsidRPr="00871FBE">
        <w:t xml:space="preserve">14, </w:t>
      </w:r>
      <w:r w:rsidR="00F63992">
        <w:t>the department</w:t>
      </w:r>
      <w:r w:rsidRPr="00871FBE">
        <w:t xml:space="preserve"> will continue </w:t>
      </w:r>
      <w:r w:rsidR="0094163A">
        <w:t>to</w:t>
      </w:r>
      <w:r w:rsidR="0094163A" w:rsidRPr="00871FBE">
        <w:t xml:space="preserve"> </w:t>
      </w:r>
      <w:r w:rsidRPr="00871FBE">
        <w:t>suppo</w:t>
      </w:r>
      <w:r w:rsidR="00871FBE">
        <w:t xml:space="preserve">rt </w:t>
      </w:r>
      <w:proofErr w:type="spellStart"/>
      <w:r w:rsidR="00871FBE">
        <w:t>PRO</w:t>
      </w:r>
      <w:r w:rsidRPr="00871FBE">
        <w:t>s.</w:t>
      </w:r>
      <w:proofErr w:type="spellEnd"/>
      <w:r w:rsidRPr="00871FBE">
        <w:t xml:space="preserve"> Strengthened policy </w:t>
      </w:r>
      <w:r w:rsidR="00F95B9A">
        <w:t>discussion</w:t>
      </w:r>
      <w:r w:rsidR="00F95B9A" w:rsidRPr="00871FBE">
        <w:t xml:space="preserve"> </w:t>
      </w:r>
      <w:r w:rsidRPr="00871FBE">
        <w:t>with P</w:t>
      </w:r>
      <w:r w:rsidR="00F95B9A">
        <w:t>ROs</w:t>
      </w:r>
      <w:r w:rsidRPr="00871FBE">
        <w:t xml:space="preserve"> has</w:t>
      </w:r>
      <w:r w:rsidR="0094163A">
        <w:t xml:space="preserve"> already</w:t>
      </w:r>
      <w:r w:rsidRPr="00871FBE">
        <w:t xml:space="preserve"> resulted in improved corporate processes and planning. Such </w:t>
      </w:r>
      <w:r w:rsidR="007A123B">
        <w:t>discussion</w:t>
      </w:r>
      <w:r w:rsidR="007A123B" w:rsidRPr="00871FBE">
        <w:t xml:space="preserve"> </w:t>
      </w:r>
      <w:r w:rsidRPr="00871FBE">
        <w:t>must remain a priority</w:t>
      </w:r>
      <w:r w:rsidR="0094163A">
        <w:t>. Monitoring and evaluation must also remain a priority to</w:t>
      </w:r>
      <w:r w:rsidRPr="00871FBE">
        <w:t xml:space="preserve"> enable PROs to report on outcomes. </w:t>
      </w:r>
      <w:r w:rsidR="00F63992">
        <w:t>The department</w:t>
      </w:r>
      <w:r w:rsidRPr="00871FBE">
        <w:t xml:space="preserve"> will sign multi-year funding agreements with </w:t>
      </w:r>
      <w:r w:rsidR="0094163A">
        <w:t xml:space="preserve">the </w:t>
      </w:r>
      <w:r w:rsidRPr="00871FBE">
        <w:t>P</w:t>
      </w:r>
      <w:r w:rsidR="007A123B">
        <w:t>acific Islands Forum Secre</w:t>
      </w:r>
      <w:r w:rsidR="00AB7772">
        <w:t>tariat</w:t>
      </w:r>
      <w:r w:rsidRPr="00871FBE">
        <w:t xml:space="preserve"> and SPC under the</w:t>
      </w:r>
      <w:r w:rsidR="00AB7772">
        <w:t xml:space="preserve"> PRO</w:t>
      </w:r>
      <w:r w:rsidRPr="00871FBE">
        <w:t xml:space="preserve"> delivery strategy being developed. </w:t>
      </w:r>
      <w:r w:rsidR="00F63992">
        <w:t>The department</w:t>
      </w:r>
      <w:r w:rsidRPr="00871FBE">
        <w:t xml:space="preserve"> will participate actively in the mid-term review of the FFA’s </w:t>
      </w:r>
      <w:r w:rsidR="00075BB4">
        <w:t>s</w:t>
      </w:r>
      <w:r w:rsidRPr="00871FBE">
        <w:t xml:space="preserve">trategic </w:t>
      </w:r>
      <w:r w:rsidR="00075BB4">
        <w:t>p</w:t>
      </w:r>
      <w:r w:rsidRPr="00871FBE">
        <w:t>lan and undertake similar engagement with</w:t>
      </w:r>
      <w:r w:rsidR="00135753">
        <w:t xml:space="preserve"> the</w:t>
      </w:r>
      <w:r w:rsidRPr="00871FBE">
        <w:t xml:space="preserve"> SPREP.</w:t>
      </w:r>
    </w:p>
    <w:p w14:paraId="420DC740" w14:textId="751CCDE1" w:rsidR="008F4C57" w:rsidRPr="00871FBE" w:rsidRDefault="008F4C57" w:rsidP="005B66B3">
      <w:pPr>
        <w:pStyle w:val="BodyText"/>
      </w:pPr>
      <w:r w:rsidRPr="00871FBE">
        <w:t>There is sound coordination and effective communication between</w:t>
      </w:r>
      <w:r w:rsidR="00075BB4">
        <w:t xml:space="preserve"> </w:t>
      </w:r>
      <w:r w:rsidRPr="00871FBE">
        <w:t>Canberra and Suva</w:t>
      </w:r>
      <w:r w:rsidR="00075BB4">
        <w:t>-</w:t>
      </w:r>
      <w:r w:rsidRPr="00871FBE">
        <w:t>based managers, embodied in a</w:t>
      </w:r>
      <w:r w:rsidR="007A123B">
        <w:t xml:space="preserve"> one-team</w:t>
      </w:r>
      <w:r w:rsidRPr="00871FBE">
        <w:t xml:space="preserve"> approach</w:t>
      </w:r>
      <w:r w:rsidR="00075BB4">
        <w:t>. T</w:t>
      </w:r>
      <w:r w:rsidRPr="00871FBE">
        <w:t>his will be further strengthened in 2013</w:t>
      </w:r>
      <w:r w:rsidR="007A123B">
        <w:t>–</w:t>
      </w:r>
      <w:r w:rsidRPr="00871FBE">
        <w:t>14. The budget structure of the regional program has been consolidated from five program funds into two</w:t>
      </w:r>
      <w:r w:rsidR="007A123B">
        <w:t>—</w:t>
      </w:r>
      <w:r w:rsidRPr="00871FBE">
        <w:t>one managed by Suva and one by Canberra. The regional program will</w:t>
      </w:r>
      <w:r w:rsidR="00075BB4">
        <w:t xml:space="preserve"> use the</w:t>
      </w:r>
      <w:r w:rsidRPr="00871FBE">
        <w:t xml:space="preserve"> one</w:t>
      </w:r>
      <w:r w:rsidR="00075BB4">
        <w:t>-</w:t>
      </w:r>
      <w:r w:rsidRPr="00871FBE">
        <w:t>team approach to review the status of</w:t>
      </w:r>
      <w:r w:rsidR="00075BB4">
        <w:t xml:space="preserve"> program</w:t>
      </w:r>
      <w:r w:rsidRPr="00871FBE">
        <w:t xml:space="preserve"> devolution, undertak</w:t>
      </w:r>
      <w:r w:rsidR="000D226F">
        <w:t>e</w:t>
      </w:r>
      <w:r w:rsidRPr="00871FBE">
        <w:t xml:space="preserve"> a genuine consolidation exercise, and review respective staffing levels between Canberra and Suva in 2013</w:t>
      </w:r>
      <w:r w:rsidR="00365E8F">
        <w:t>–</w:t>
      </w:r>
      <w:r w:rsidRPr="00871FBE">
        <w:t>14.</w:t>
      </w:r>
    </w:p>
    <w:p w14:paraId="420DC741" w14:textId="77777777" w:rsidR="008F4C57" w:rsidRPr="00871FBE" w:rsidRDefault="008F4C57" w:rsidP="005B66B3">
      <w:pPr>
        <w:pStyle w:val="BodyText"/>
      </w:pPr>
      <w:r w:rsidRPr="00871FBE">
        <w:t>Several sectors will develop delivery strategies in 2013</w:t>
      </w:r>
      <w:r w:rsidR="00365E8F">
        <w:t>–</w:t>
      </w:r>
      <w:r w:rsidRPr="00871FBE">
        <w:t xml:space="preserve">14 to guide investments and program consolidation under the overarching regional program strategy. </w:t>
      </w:r>
      <w:r w:rsidR="00075BB4">
        <w:t>O</w:t>
      </w:r>
      <w:r w:rsidRPr="00871FBE">
        <w:t xml:space="preserve">ngoing reviews of programming and development of delivery strategies in several sectors will align to and help shape the new </w:t>
      </w:r>
      <w:r w:rsidR="00075BB4">
        <w:t xml:space="preserve">regional </w:t>
      </w:r>
      <w:r w:rsidRPr="00871FBE">
        <w:t xml:space="preserve">program strategy. Consolidation will reduce workload for program managers and allow </w:t>
      </w:r>
      <w:r w:rsidR="00075BB4">
        <w:t>more time to engage on</w:t>
      </w:r>
      <w:r w:rsidRPr="00871FBE">
        <w:t xml:space="preserve"> policy.</w:t>
      </w:r>
    </w:p>
    <w:p w14:paraId="420DC742" w14:textId="6D132061" w:rsidR="008F4C57" w:rsidRPr="00871FBE" w:rsidRDefault="008F4C57" w:rsidP="005B66B3">
      <w:pPr>
        <w:pStyle w:val="BodyText"/>
      </w:pPr>
      <w:r w:rsidRPr="00871FBE">
        <w:t>The regional program has made progress in better coordinating</w:t>
      </w:r>
      <w:r w:rsidR="00075BB4">
        <w:t xml:space="preserve"> activities</w:t>
      </w:r>
      <w:r w:rsidRPr="00871FBE">
        <w:t xml:space="preserve"> with bilateral </w:t>
      </w:r>
      <w:r w:rsidR="00F63992">
        <w:t xml:space="preserve">aid </w:t>
      </w:r>
      <w:r w:rsidRPr="00871FBE">
        <w:t>programs. This process will be further progressed in 2013</w:t>
      </w:r>
      <w:r w:rsidR="00075BB4">
        <w:t>–</w:t>
      </w:r>
      <w:r w:rsidRPr="00871FBE">
        <w:t>14 through embedding regional programs in bilateral efforts where it makes sense to do so for improved aid effectiveness.</w:t>
      </w:r>
    </w:p>
    <w:p w14:paraId="420DC743" w14:textId="11CE1BF5" w:rsidR="008F4C57" w:rsidRPr="00871FBE" w:rsidRDefault="00075BB4" w:rsidP="005B66B3">
      <w:pPr>
        <w:pStyle w:val="BodyText"/>
      </w:pPr>
      <w:r>
        <w:lastRenderedPageBreak/>
        <w:t>W</w:t>
      </w:r>
      <w:r w:rsidR="008F4C57" w:rsidRPr="00871FBE">
        <w:t>ork</w:t>
      </w:r>
      <w:r>
        <w:t xml:space="preserve"> will continue</w:t>
      </w:r>
      <w:r w:rsidR="008F4C57" w:rsidRPr="00871FBE">
        <w:t xml:space="preserve"> on better integrating gendered responses into all programs. Recruitment of a lead gender specialist will support this work. In addition, </w:t>
      </w:r>
      <w:r w:rsidR="00F63992">
        <w:t>the department</w:t>
      </w:r>
      <w:r w:rsidR="008F4C57" w:rsidRPr="00871FBE">
        <w:t xml:space="preserve"> will establish a hub in Suva to coordinate, support and manage the </w:t>
      </w:r>
      <w:r w:rsidR="008F4C57" w:rsidRPr="00871FBE">
        <w:rPr>
          <w:i/>
        </w:rPr>
        <w:t>Pacific Women Shaping Pacific Development</w:t>
      </w:r>
      <w:r w:rsidR="008F4C57" w:rsidRPr="00871FBE">
        <w:t xml:space="preserve"> initiative.</w:t>
      </w:r>
    </w:p>
    <w:p w14:paraId="420DC744" w14:textId="56FBC79E" w:rsidR="008F4C57" w:rsidRPr="00871FBE" w:rsidRDefault="000F21DD" w:rsidP="005B66B3">
      <w:pPr>
        <w:pStyle w:val="BodyText"/>
      </w:pPr>
      <w:r>
        <w:t xml:space="preserve">The </w:t>
      </w:r>
      <w:r w:rsidR="008F4C57" w:rsidRPr="00871FBE">
        <w:t>Pacific Division (including Suva Post) will contribute to the Multilateral Performance Assessment in 2013</w:t>
      </w:r>
      <w:r w:rsidR="007A123B">
        <w:t>–</w:t>
      </w:r>
      <w:r w:rsidR="008F4C57" w:rsidRPr="00871FBE">
        <w:t xml:space="preserve">14 and develop new arrangements for trust funds to support </w:t>
      </w:r>
      <w:r w:rsidR="00075BB4">
        <w:t xml:space="preserve">ADB and </w:t>
      </w:r>
      <w:r w:rsidR="008F4C57" w:rsidRPr="00871FBE">
        <w:t>World Bank activities in the Pacific. Greater focus on UN agencies will occur in 2013</w:t>
      </w:r>
      <w:r w:rsidR="007A123B">
        <w:t>–</w:t>
      </w:r>
      <w:r w:rsidR="008F4C57" w:rsidRPr="00871FBE">
        <w:t>14.</w:t>
      </w:r>
    </w:p>
    <w:p w14:paraId="420DC745" w14:textId="77777777" w:rsidR="008F4C57" w:rsidRPr="00871FBE" w:rsidRDefault="008F4C57" w:rsidP="005B66B3">
      <w:pPr>
        <w:pStyle w:val="BodyText"/>
      </w:pPr>
      <w:r w:rsidRPr="00871FBE">
        <w:t>In summary, the regional program will focus on the</w:t>
      </w:r>
      <w:r w:rsidR="00075BB4">
        <w:t>se</w:t>
      </w:r>
      <w:r w:rsidRPr="00871FBE">
        <w:t xml:space="preserve"> reform themes in 2013</w:t>
      </w:r>
      <w:r w:rsidR="007A123B">
        <w:t>–</w:t>
      </w:r>
      <w:r w:rsidRPr="00871FBE">
        <w:t>14:</w:t>
      </w:r>
    </w:p>
    <w:p w14:paraId="420DC746" w14:textId="77777777" w:rsidR="008F4C57" w:rsidRPr="00871FBE" w:rsidRDefault="00871FBE" w:rsidP="005B66B3">
      <w:pPr>
        <w:pStyle w:val="ListBullet"/>
      </w:pPr>
      <w:r>
        <w:rPr>
          <w:b/>
        </w:rPr>
        <w:t>D</w:t>
      </w:r>
      <w:r w:rsidR="008F4C57" w:rsidRPr="00871FBE">
        <w:rPr>
          <w:b/>
        </w:rPr>
        <w:t>evelop a program strategy</w:t>
      </w:r>
      <w:r w:rsidR="008F4C57" w:rsidRPr="00871FBE">
        <w:t xml:space="preserve"> that reflects a whole</w:t>
      </w:r>
      <w:r w:rsidR="00075BB4">
        <w:t>-</w:t>
      </w:r>
      <w:r w:rsidR="008F4C57" w:rsidRPr="00871FBE">
        <w:t>of</w:t>
      </w:r>
      <w:r w:rsidR="00075BB4">
        <w:t>-</w:t>
      </w:r>
      <w:r w:rsidR="008F4C57" w:rsidRPr="00871FBE">
        <w:t>government view of regionalism and the outcomes of the Pacific Plan</w:t>
      </w:r>
      <w:r w:rsidR="00075BB4">
        <w:t xml:space="preserve"> review</w:t>
      </w:r>
      <w:r>
        <w:t>.</w:t>
      </w:r>
    </w:p>
    <w:p w14:paraId="420DC747" w14:textId="1425D58A" w:rsidR="008F4C57" w:rsidRPr="00871FBE" w:rsidRDefault="00871FBE" w:rsidP="005B66B3">
      <w:pPr>
        <w:pStyle w:val="ListBullet"/>
      </w:pPr>
      <w:r>
        <w:rPr>
          <w:b/>
        </w:rPr>
        <w:t>D</w:t>
      </w:r>
      <w:r w:rsidR="008F4C57" w:rsidRPr="00871FBE">
        <w:rPr>
          <w:b/>
        </w:rPr>
        <w:t xml:space="preserve">evelop a </w:t>
      </w:r>
      <w:r w:rsidR="007A123B">
        <w:rPr>
          <w:b/>
        </w:rPr>
        <w:t>performance assessment framework</w:t>
      </w:r>
      <w:r w:rsidR="008F4C57" w:rsidRPr="00871FBE">
        <w:t xml:space="preserve"> that allows </w:t>
      </w:r>
      <w:r w:rsidR="00F63992">
        <w:t>DFAT</w:t>
      </w:r>
      <w:r w:rsidR="00075BB4" w:rsidRPr="00871FBE">
        <w:t xml:space="preserve"> </w:t>
      </w:r>
      <w:r w:rsidR="008F4C57" w:rsidRPr="00871FBE">
        <w:t>to better measure the results of the regional program as a whole</w:t>
      </w:r>
      <w:r w:rsidR="00852BCD">
        <w:t>.</w:t>
      </w:r>
      <w:r w:rsidR="008F4C57" w:rsidRPr="00871FBE">
        <w:t xml:space="preserve"> </w:t>
      </w:r>
      <w:r w:rsidR="00852BCD">
        <w:t xml:space="preserve">This will be </w:t>
      </w:r>
      <w:r w:rsidR="008F4C57" w:rsidRPr="00871FBE">
        <w:t xml:space="preserve">supported by </w:t>
      </w:r>
      <w:r w:rsidR="008F4C57" w:rsidRPr="00871FBE">
        <w:rPr>
          <w:b/>
        </w:rPr>
        <w:t>investments in staff</w:t>
      </w:r>
      <w:r w:rsidR="008F4C57" w:rsidRPr="00871FBE">
        <w:t xml:space="preserve"> around monitoring and evaluation capabilities</w:t>
      </w:r>
      <w:r>
        <w:t>.</w:t>
      </w:r>
    </w:p>
    <w:p w14:paraId="420DC748" w14:textId="77777777" w:rsidR="008F4C57" w:rsidRPr="00871FBE" w:rsidRDefault="00871FBE" w:rsidP="005B66B3">
      <w:pPr>
        <w:pStyle w:val="ListBullet"/>
      </w:pPr>
      <w:r>
        <w:rPr>
          <w:b/>
        </w:rPr>
        <w:t>D</w:t>
      </w:r>
      <w:r w:rsidR="008F4C57" w:rsidRPr="00871FBE">
        <w:rPr>
          <w:b/>
        </w:rPr>
        <w:t>evelop sectoral delivery strategies</w:t>
      </w:r>
      <w:r w:rsidR="008F4C57" w:rsidRPr="00871FBE">
        <w:t xml:space="preserve"> that align with the program strategy and inform a </w:t>
      </w:r>
      <w:r w:rsidR="008F4C57" w:rsidRPr="00871FBE">
        <w:rPr>
          <w:b/>
        </w:rPr>
        <w:t>genuine</w:t>
      </w:r>
      <w:r w:rsidR="008F4C57" w:rsidRPr="00871FBE">
        <w:t xml:space="preserve"> </w:t>
      </w:r>
      <w:r w:rsidR="008F4C57" w:rsidRPr="00871FBE">
        <w:rPr>
          <w:b/>
        </w:rPr>
        <w:t>consolidation effort</w:t>
      </w:r>
      <w:r>
        <w:t xml:space="preserve"> across the program.</w:t>
      </w:r>
    </w:p>
    <w:p w14:paraId="420DC749" w14:textId="145ADAF6" w:rsidR="008F4C57" w:rsidRPr="00871FBE" w:rsidRDefault="00871FBE" w:rsidP="005B66B3">
      <w:pPr>
        <w:pStyle w:val="ListBullet"/>
      </w:pPr>
      <w:r>
        <w:rPr>
          <w:b/>
        </w:rPr>
        <w:t>L</w:t>
      </w:r>
      <w:r w:rsidR="008F4C57" w:rsidRPr="00871FBE">
        <w:rPr>
          <w:b/>
        </w:rPr>
        <w:t>ift policy engagement</w:t>
      </w:r>
      <w:r w:rsidR="008F4C57" w:rsidRPr="00871FBE">
        <w:t xml:space="preserve"> with, and progress reforms within, </w:t>
      </w:r>
      <w:proofErr w:type="spellStart"/>
      <w:r w:rsidR="008F4C57" w:rsidRPr="00871FBE">
        <w:t>PROs</w:t>
      </w:r>
      <w:r w:rsidR="00075BB4">
        <w:t>.</w:t>
      </w:r>
      <w:proofErr w:type="spellEnd"/>
    </w:p>
    <w:p w14:paraId="420DC74A" w14:textId="77777777" w:rsidR="008F4C57" w:rsidRPr="00871FBE" w:rsidRDefault="00871FBE" w:rsidP="005B66B3">
      <w:pPr>
        <w:pStyle w:val="ListBullet"/>
      </w:pPr>
      <w:r>
        <w:rPr>
          <w:b/>
        </w:rPr>
        <w:t>B</w:t>
      </w:r>
      <w:r w:rsidR="008F4C57" w:rsidRPr="00871FBE">
        <w:rPr>
          <w:b/>
        </w:rPr>
        <w:t>etter analyse the performance of multilateral</w:t>
      </w:r>
      <w:r w:rsidR="00075BB4">
        <w:rPr>
          <w:b/>
        </w:rPr>
        <w:t xml:space="preserve"> organisation</w:t>
      </w:r>
      <w:r w:rsidR="008F4C57" w:rsidRPr="00871FBE">
        <w:rPr>
          <w:b/>
        </w:rPr>
        <w:t>s</w:t>
      </w:r>
      <w:r w:rsidR="008F4C57" w:rsidRPr="00871FBE">
        <w:t xml:space="preserve"> in the region to inform more nuanced policy engagement</w:t>
      </w:r>
      <w:r>
        <w:t>.</w:t>
      </w:r>
    </w:p>
    <w:p w14:paraId="420DC74B" w14:textId="77777777" w:rsidR="008F4C57" w:rsidRPr="00871FBE" w:rsidRDefault="00871FBE" w:rsidP="005B66B3">
      <w:pPr>
        <w:pStyle w:val="ListBullet"/>
      </w:pPr>
      <w:r>
        <w:rPr>
          <w:b/>
        </w:rPr>
        <w:t>E</w:t>
      </w:r>
      <w:r w:rsidR="008F4C57" w:rsidRPr="00871FBE">
        <w:rPr>
          <w:b/>
        </w:rPr>
        <w:t>nhance the way regional programs intersect with bilateral programs</w:t>
      </w:r>
      <w:r w:rsidR="008F4C57" w:rsidRPr="00871FBE">
        <w:t xml:space="preserve"> </w:t>
      </w:r>
      <w:r>
        <w:t xml:space="preserve">bringing to the fore </w:t>
      </w:r>
      <w:r w:rsidR="00075BB4">
        <w:t xml:space="preserve">the </w:t>
      </w:r>
      <w:r>
        <w:t>principles</w:t>
      </w:r>
      <w:r w:rsidR="008F4C57" w:rsidRPr="00871FBE">
        <w:t xml:space="preserve"> of aid effectiveness</w:t>
      </w:r>
      <w:r w:rsidR="00075BB4">
        <w:t>,</w:t>
      </w:r>
      <w:r w:rsidR="008F4C57" w:rsidRPr="00871FBE">
        <w:t xml:space="preserve"> including alignment to country</w:t>
      </w:r>
      <w:r w:rsidR="00075BB4">
        <w:t>-</w:t>
      </w:r>
      <w:r w:rsidR="008F4C57" w:rsidRPr="00871FBE">
        <w:t>level priorities</w:t>
      </w:r>
      <w:r>
        <w:t>.</w:t>
      </w:r>
    </w:p>
    <w:p w14:paraId="420DC74C" w14:textId="77777777" w:rsidR="008F4C57" w:rsidRDefault="00871FBE" w:rsidP="005B66B3">
      <w:pPr>
        <w:pStyle w:val="ListBullet"/>
      </w:pPr>
      <w:r>
        <w:rPr>
          <w:b/>
        </w:rPr>
        <w:t>I</w:t>
      </w:r>
      <w:r w:rsidR="008F4C57" w:rsidRPr="00871FBE">
        <w:rPr>
          <w:b/>
        </w:rPr>
        <w:t>mprove the integration of crosscutting issues</w:t>
      </w:r>
      <w:r w:rsidR="00075BB4">
        <w:rPr>
          <w:b/>
        </w:rPr>
        <w:t>,</w:t>
      </w:r>
      <w:r w:rsidR="008F4C57" w:rsidRPr="00871FBE">
        <w:rPr>
          <w:b/>
        </w:rPr>
        <w:t xml:space="preserve"> such a gender equality and disability inclusive development</w:t>
      </w:r>
      <w:r w:rsidR="00075BB4">
        <w:rPr>
          <w:b/>
        </w:rPr>
        <w:t>,</w:t>
      </w:r>
      <w:r w:rsidR="008F4C57" w:rsidRPr="00871FBE">
        <w:t xml:space="preserve"> into design, implementation and reviews across the full regional program portfolio.</w:t>
      </w:r>
    </w:p>
    <w:p w14:paraId="53E5BEC5" w14:textId="77777777" w:rsidR="00462CE5" w:rsidRPr="00871FBE" w:rsidRDefault="00462CE5" w:rsidP="00462CE5">
      <w:pPr>
        <w:pStyle w:val="ListBullet"/>
        <w:numPr>
          <w:ilvl w:val="0"/>
          <w:numId w:val="0"/>
        </w:numPr>
      </w:pPr>
    </w:p>
    <w:p w14:paraId="420DC74D" w14:textId="77777777" w:rsidR="008F4C57" w:rsidRPr="006222EA" w:rsidRDefault="008F4C57" w:rsidP="008F4C57">
      <w:pPr>
        <w:pStyle w:val="Caption"/>
      </w:pPr>
      <w:r w:rsidRPr="006222EA">
        <w:t>Table 12 Risks associated with the program and management actions</w:t>
      </w:r>
    </w:p>
    <w:tbl>
      <w:tblPr>
        <w:tblStyle w:val="APPR"/>
        <w:tblW w:w="5000" w:type="pct"/>
        <w:tblLook w:val="0600" w:firstRow="0" w:lastRow="0" w:firstColumn="0" w:lastColumn="0" w:noHBand="1" w:noVBand="1"/>
      </w:tblPr>
      <w:tblGrid>
        <w:gridCol w:w="4434"/>
        <w:gridCol w:w="4172"/>
      </w:tblGrid>
      <w:tr w:rsidR="008F4C57" w:rsidRPr="006222EA" w14:paraId="420DC750" w14:textId="77777777" w:rsidTr="008F4C57">
        <w:tc>
          <w:tcPr>
            <w:tcW w:w="4363" w:type="dxa"/>
            <w:hideMark/>
          </w:tcPr>
          <w:p w14:paraId="420DC74E" w14:textId="77777777" w:rsidR="008F4C57" w:rsidRPr="006222EA" w:rsidRDefault="008F4C57" w:rsidP="008F4C57">
            <w:pPr>
              <w:pStyle w:val="TableTextColumnHeading"/>
            </w:pPr>
            <w:r w:rsidRPr="006222EA">
              <w:t>Most significant risks</w:t>
            </w:r>
          </w:p>
        </w:tc>
        <w:tc>
          <w:tcPr>
            <w:tcW w:w="4103" w:type="dxa"/>
          </w:tcPr>
          <w:p w14:paraId="420DC74F" w14:textId="77777777" w:rsidR="008F4C57" w:rsidRPr="006222EA" w:rsidRDefault="008F4C57" w:rsidP="00C81AB9">
            <w:pPr>
              <w:pStyle w:val="TableTextColumnHeading"/>
            </w:pPr>
            <w:r w:rsidRPr="006222EA">
              <w:t xml:space="preserve">Management </w:t>
            </w:r>
            <w:r w:rsidR="00C81AB9">
              <w:t>r</w:t>
            </w:r>
            <w:r w:rsidRPr="006222EA">
              <w:t xml:space="preserve">esponse </w:t>
            </w:r>
            <w:r w:rsidR="00C81AB9">
              <w:t>—</w:t>
            </w:r>
            <w:r w:rsidRPr="006222EA">
              <w:t xml:space="preserve">What? Who? How? When? </w:t>
            </w:r>
          </w:p>
        </w:tc>
      </w:tr>
      <w:tr w:rsidR="008F4C57" w:rsidRPr="006222EA" w14:paraId="420DC753" w14:textId="77777777" w:rsidTr="008F4C57">
        <w:tc>
          <w:tcPr>
            <w:tcW w:w="4363" w:type="dxa"/>
            <w:hideMark/>
          </w:tcPr>
          <w:p w14:paraId="420DC751" w14:textId="77777777" w:rsidR="008F4C57" w:rsidRPr="006222EA" w:rsidRDefault="00852BCD" w:rsidP="00AB7772">
            <w:pPr>
              <w:pStyle w:val="TableTextEntries"/>
            </w:pPr>
            <w:r>
              <w:t xml:space="preserve">PROs </w:t>
            </w:r>
            <w:r w:rsidR="008C71C1">
              <w:t xml:space="preserve">and multilateral </w:t>
            </w:r>
            <w:r w:rsidR="00AB7772">
              <w:t xml:space="preserve">organisations </w:t>
            </w:r>
            <w:r w:rsidR="008F4C57" w:rsidRPr="006222EA">
              <w:t>do not implement reforms and improve effectiveness sufficiently</w:t>
            </w:r>
            <w:r>
              <w:t>.</w:t>
            </w:r>
          </w:p>
        </w:tc>
        <w:tc>
          <w:tcPr>
            <w:tcW w:w="4103" w:type="dxa"/>
          </w:tcPr>
          <w:p w14:paraId="420DC752" w14:textId="77777777" w:rsidR="008F4C57" w:rsidRPr="006222EA" w:rsidRDefault="00000F04" w:rsidP="00000F04">
            <w:pPr>
              <w:pStyle w:val="TableTextEntries"/>
            </w:pPr>
            <w:r>
              <w:t>P</w:t>
            </w:r>
            <w:r w:rsidR="008F4C57" w:rsidRPr="006222EA">
              <w:t xml:space="preserve">erformance benchmarks </w:t>
            </w:r>
            <w:r>
              <w:t>to</w:t>
            </w:r>
            <w:r w:rsidR="008F4C57" w:rsidRPr="006222EA">
              <w:t xml:space="preserve"> </w:t>
            </w:r>
            <w:r w:rsidR="00923084">
              <w:t xml:space="preserve">be </w:t>
            </w:r>
            <w:r w:rsidR="008F4C57" w:rsidRPr="006222EA">
              <w:t>built into multi-year funding agreements</w:t>
            </w:r>
            <w:r>
              <w:t>.</w:t>
            </w:r>
          </w:p>
        </w:tc>
      </w:tr>
      <w:tr w:rsidR="008F4C57" w:rsidRPr="006222EA" w14:paraId="420DC756" w14:textId="77777777" w:rsidTr="008F4C57">
        <w:tc>
          <w:tcPr>
            <w:tcW w:w="4363" w:type="dxa"/>
          </w:tcPr>
          <w:p w14:paraId="420DC754" w14:textId="77777777" w:rsidR="008F4C57" w:rsidRPr="006222EA" w:rsidRDefault="00852BCD" w:rsidP="00AB7772">
            <w:pPr>
              <w:pStyle w:val="TableTextEntries"/>
            </w:pPr>
            <w:r>
              <w:t>PRO</w:t>
            </w:r>
            <w:r w:rsidR="008F4C57" w:rsidRPr="006222EA">
              <w:t xml:space="preserve">s </w:t>
            </w:r>
            <w:r w:rsidR="008C71C1">
              <w:t xml:space="preserve">and multilateral </w:t>
            </w:r>
            <w:r w:rsidR="00AB7772">
              <w:t>organisations</w:t>
            </w:r>
            <w:r w:rsidR="00AB7772" w:rsidRPr="006222EA">
              <w:t xml:space="preserve"> </w:t>
            </w:r>
            <w:r w:rsidR="008C71C1" w:rsidRPr="006222EA">
              <w:t>do</w:t>
            </w:r>
            <w:r w:rsidR="008F4C57" w:rsidRPr="006222EA">
              <w:t xml:space="preserve"> not improve monitoring and </w:t>
            </w:r>
            <w:proofErr w:type="gramStart"/>
            <w:r w:rsidR="008F4C57" w:rsidRPr="006222EA">
              <w:t>evaluation to enable them to better demonstrate</w:t>
            </w:r>
            <w:proofErr w:type="gramEnd"/>
            <w:r w:rsidR="008F4C57" w:rsidRPr="006222EA">
              <w:t xml:space="preserve"> results</w:t>
            </w:r>
            <w:r>
              <w:t>.</w:t>
            </w:r>
          </w:p>
        </w:tc>
        <w:tc>
          <w:tcPr>
            <w:tcW w:w="4103" w:type="dxa"/>
          </w:tcPr>
          <w:p w14:paraId="420DC755" w14:textId="7C8EC7B6" w:rsidR="008F4C57" w:rsidRPr="006222EA" w:rsidRDefault="00F63992" w:rsidP="00F63992">
            <w:pPr>
              <w:pStyle w:val="TableTextEntries"/>
            </w:pPr>
            <w:r>
              <w:t>DFAT</w:t>
            </w:r>
            <w:r w:rsidR="008F4C57" w:rsidRPr="006222EA">
              <w:t xml:space="preserve"> support and high</w:t>
            </w:r>
            <w:r w:rsidR="00075BB4">
              <w:t>-</w:t>
            </w:r>
            <w:r w:rsidR="008F4C57" w:rsidRPr="006222EA">
              <w:t>level engagement on results</w:t>
            </w:r>
            <w:r w:rsidR="00852BCD">
              <w:t>, including</w:t>
            </w:r>
            <w:r w:rsidR="008F4C57" w:rsidRPr="006222EA">
              <w:t xml:space="preserve"> build</w:t>
            </w:r>
            <w:r w:rsidR="00852BCD">
              <w:t>ing</w:t>
            </w:r>
            <w:r w:rsidR="00075BB4">
              <w:t xml:space="preserve"> performance a</w:t>
            </w:r>
            <w:r w:rsidR="008F4C57" w:rsidRPr="006222EA">
              <w:t xml:space="preserve">ssessment </w:t>
            </w:r>
            <w:r w:rsidR="00075BB4">
              <w:t>f</w:t>
            </w:r>
            <w:r w:rsidR="008F4C57" w:rsidRPr="006222EA">
              <w:t>rameworks into multi-year funding agreements</w:t>
            </w:r>
            <w:r w:rsidR="00000F04">
              <w:t>.</w:t>
            </w:r>
          </w:p>
        </w:tc>
      </w:tr>
      <w:tr w:rsidR="008F4C57" w:rsidRPr="006222EA" w14:paraId="420DC759" w14:textId="77777777" w:rsidTr="008F4C57">
        <w:tc>
          <w:tcPr>
            <w:tcW w:w="4363" w:type="dxa"/>
            <w:hideMark/>
          </w:tcPr>
          <w:p w14:paraId="420DC757" w14:textId="77777777" w:rsidR="008F4C57" w:rsidRPr="006222EA" w:rsidRDefault="008F4C57" w:rsidP="008F4C57">
            <w:pPr>
              <w:pStyle w:val="TableTextEntries"/>
            </w:pPr>
            <w:r w:rsidRPr="006222EA">
              <w:t>Pacific Plan Review recommends major change to current regional strategies and programs</w:t>
            </w:r>
            <w:r w:rsidR="00852BCD">
              <w:t>.</w:t>
            </w:r>
          </w:p>
        </w:tc>
        <w:tc>
          <w:tcPr>
            <w:tcW w:w="4103" w:type="dxa"/>
          </w:tcPr>
          <w:p w14:paraId="420DC758" w14:textId="77777777" w:rsidR="008F4C57" w:rsidRPr="006222EA" w:rsidRDefault="008F4C57" w:rsidP="008F4C57">
            <w:pPr>
              <w:pStyle w:val="TableTextEntries"/>
            </w:pPr>
            <w:r w:rsidRPr="006222EA">
              <w:t>Recommendations to be assessed on their merits with strong engagement by Australi</w:t>
            </w:r>
            <w:r>
              <w:t>a throughout the review process</w:t>
            </w:r>
            <w:r w:rsidR="00000F04">
              <w:t>.</w:t>
            </w:r>
          </w:p>
        </w:tc>
      </w:tr>
      <w:tr w:rsidR="008F4C57" w:rsidRPr="006222EA" w14:paraId="420DC75C" w14:textId="77777777" w:rsidTr="008F4C57">
        <w:tc>
          <w:tcPr>
            <w:tcW w:w="4363" w:type="dxa"/>
          </w:tcPr>
          <w:p w14:paraId="420DC75A" w14:textId="77777777" w:rsidR="008F4C57" w:rsidRPr="006222EA" w:rsidRDefault="008F4C57" w:rsidP="00852BCD">
            <w:pPr>
              <w:pStyle w:val="TableTextEntries"/>
            </w:pPr>
            <w:r w:rsidRPr="006222EA">
              <w:t xml:space="preserve">Relevance of </w:t>
            </w:r>
            <w:r w:rsidR="00852BCD">
              <w:t xml:space="preserve">PROs </w:t>
            </w:r>
            <w:r w:rsidRPr="006222EA">
              <w:t>reduced by sub-regionalism</w:t>
            </w:r>
            <w:r w:rsidR="00852BCD">
              <w:t>.</w:t>
            </w:r>
          </w:p>
        </w:tc>
        <w:tc>
          <w:tcPr>
            <w:tcW w:w="4103" w:type="dxa"/>
          </w:tcPr>
          <w:p w14:paraId="420DC75B" w14:textId="77777777" w:rsidR="008F4C57" w:rsidRPr="006222EA" w:rsidRDefault="008F4C57" w:rsidP="008F4C57">
            <w:pPr>
              <w:pStyle w:val="TableTextEntries"/>
            </w:pPr>
            <w:r w:rsidRPr="006222EA">
              <w:t>Programs</w:t>
            </w:r>
            <w:r w:rsidR="00000F04">
              <w:t xml:space="preserve"> to</w:t>
            </w:r>
            <w:r w:rsidRPr="006222EA">
              <w:t xml:space="preserve"> retain sufficient flexibility to demonstrate enduring relevance and deliver</w:t>
            </w:r>
            <w:r w:rsidR="00000F04">
              <w:t>y</w:t>
            </w:r>
            <w:r w:rsidRPr="006222EA">
              <w:t xml:space="preserve"> across </w:t>
            </w:r>
            <w:r w:rsidR="0011370A">
              <w:t>the region</w:t>
            </w:r>
            <w:r w:rsidR="00000F04">
              <w:t>.</w:t>
            </w:r>
          </w:p>
        </w:tc>
      </w:tr>
      <w:tr w:rsidR="008F4C57" w:rsidRPr="006222EA" w14:paraId="420DC75F" w14:textId="77777777" w:rsidTr="008F4C57">
        <w:tc>
          <w:tcPr>
            <w:tcW w:w="4363" w:type="dxa"/>
          </w:tcPr>
          <w:p w14:paraId="420DC75D" w14:textId="77777777" w:rsidR="008F4C57" w:rsidRPr="006222EA" w:rsidRDefault="008F4C57" w:rsidP="008F4C57">
            <w:pPr>
              <w:pStyle w:val="TableTextEntries"/>
            </w:pPr>
            <w:r w:rsidRPr="006222EA">
              <w:t>Regional strategy and associated management changes are not agreed and/or implemented</w:t>
            </w:r>
            <w:r w:rsidR="000A3196">
              <w:t>.</w:t>
            </w:r>
          </w:p>
        </w:tc>
        <w:tc>
          <w:tcPr>
            <w:tcW w:w="4103" w:type="dxa"/>
          </w:tcPr>
          <w:p w14:paraId="420DC75E" w14:textId="5B9B06DE" w:rsidR="008F4C57" w:rsidRPr="006222EA" w:rsidRDefault="00F63992" w:rsidP="00803BDC">
            <w:pPr>
              <w:pStyle w:val="TableTextEntries"/>
            </w:pPr>
            <w:r>
              <w:t>DFAT</w:t>
            </w:r>
            <w:r w:rsidR="00800ACF">
              <w:t>, led by Pacific R</w:t>
            </w:r>
            <w:r w:rsidR="008F4C57" w:rsidRPr="006222EA">
              <w:t>egional A</w:t>
            </w:r>
            <w:r w:rsidR="000E48F1">
              <w:t xml:space="preserve">ssistant </w:t>
            </w:r>
            <w:r w:rsidR="00C3544B">
              <w:t>Secretary</w:t>
            </w:r>
            <w:r w:rsidR="008F4C57" w:rsidRPr="006222EA">
              <w:t xml:space="preserve"> and Minister-Counsellor Suva </w:t>
            </w:r>
            <w:r w:rsidR="00000F04">
              <w:t>to</w:t>
            </w:r>
            <w:r w:rsidR="00000F04" w:rsidRPr="006222EA">
              <w:t xml:space="preserve"> </w:t>
            </w:r>
            <w:r w:rsidR="008F4C57" w:rsidRPr="006222EA">
              <w:t>ensure the strategy and its implementation are appropriately resourced</w:t>
            </w:r>
            <w:r w:rsidR="00000F04">
              <w:t>.</w:t>
            </w:r>
          </w:p>
        </w:tc>
      </w:tr>
      <w:tr w:rsidR="008F4C57" w:rsidRPr="006222EA" w14:paraId="420DC762" w14:textId="77777777" w:rsidTr="008F4C57">
        <w:tc>
          <w:tcPr>
            <w:tcW w:w="4363" w:type="dxa"/>
          </w:tcPr>
          <w:p w14:paraId="420DC760" w14:textId="30B04419" w:rsidR="008F4C57" w:rsidRPr="006222EA" w:rsidRDefault="008F4C57" w:rsidP="00C3544B">
            <w:pPr>
              <w:pStyle w:val="TableTextEntries"/>
            </w:pPr>
            <w:r w:rsidRPr="006222EA">
              <w:t>Multilateral</w:t>
            </w:r>
            <w:r w:rsidR="00075BB4">
              <w:t xml:space="preserve"> organisation</w:t>
            </w:r>
            <w:r w:rsidRPr="006222EA">
              <w:t xml:space="preserve">s do not engage in the region as effectively as </w:t>
            </w:r>
            <w:r w:rsidR="00C3544B">
              <w:t>DFAT</w:t>
            </w:r>
            <w:r w:rsidRPr="006222EA">
              <w:t xml:space="preserve"> requires</w:t>
            </w:r>
            <w:r w:rsidR="000A3196">
              <w:t>.</w:t>
            </w:r>
          </w:p>
        </w:tc>
        <w:tc>
          <w:tcPr>
            <w:tcW w:w="4103" w:type="dxa"/>
          </w:tcPr>
          <w:p w14:paraId="420DC761" w14:textId="7B27FC08" w:rsidR="008F4C57" w:rsidRPr="006222EA" w:rsidRDefault="00000F04" w:rsidP="00C3544B">
            <w:pPr>
              <w:pStyle w:val="TableTextEntries"/>
            </w:pPr>
            <w:r>
              <w:t xml:space="preserve">Engagement in 2013 Australian Multilateral </w:t>
            </w:r>
            <w:r w:rsidR="00C3544B">
              <w:t>Updates</w:t>
            </w:r>
            <w:r>
              <w:t xml:space="preserve"> to be built</w:t>
            </w:r>
            <w:r w:rsidR="008F4C57" w:rsidRPr="006222EA">
              <w:t xml:space="preserve"> into new trust fund arrangements</w:t>
            </w:r>
            <w:r>
              <w:t>.</w:t>
            </w:r>
          </w:p>
        </w:tc>
      </w:tr>
      <w:tr w:rsidR="008F4C57" w:rsidRPr="006222EA" w14:paraId="420DC765" w14:textId="77777777" w:rsidTr="008F4C57">
        <w:tc>
          <w:tcPr>
            <w:tcW w:w="4363" w:type="dxa"/>
          </w:tcPr>
          <w:p w14:paraId="420DC763" w14:textId="77777777" w:rsidR="008F4C57" w:rsidRPr="006222EA" w:rsidRDefault="00075BB4" w:rsidP="00075BB4">
            <w:pPr>
              <w:pStyle w:val="TableTextEntries"/>
            </w:pPr>
            <w:r>
              <w:t>Regional and bilateral programs exhibit p</w:t>
            </w:r>
            <w:r w:rsidR="008F4C57" w:rsidRPr="006222EA">
              <w:t>oor coordination and cooperation</w:t>
            </w:r>
            <w:r w:rsidR="000A3196">
              <w:t>.</w:t>
            </w:r>
          </w:p>
        </w:tc>
        <w:tc>
          <w:tcPr>
            <w:tcW w:w="4103" w:type="dxa"/>
          </w:tcPr>
          <w:p w14:paraId="420DC764" w14:textId="77777777" w:rsidR="008F4C57" w:rsidRPr="006222EA" w:rsidRDefault="008F4C57" w:rsidP="000A3196">
            <w:pPr>
              <w:pStyle w:val="TableTextEntries"/>
            </w:pPr>
            <w:r w:rsidRPr="006222EA">
              <w:t>Regional program to continue to provide results information to bil</w:t>
            </w:r>
            <w:r w:rsidR="008C71C1">
              <w:t>ateral managers</w:t>
            </w:r>
            <w:r w:rsidR="00000F04">
              <w:t xml:space="preserve"> and e</w:t>
            </w:r>
            <w:r w:rsidR="008C71C1">
              <w:t>stablish</w:t>
            </w:r>
            <w:r w:rsidRPr="006222EA">
              <w:t xml:space="preserve"> cost</w:t>
            </w:r>
            <w:r w:rsidR="00000F04">
              <w:t>-</w:t>
            </w:r>
            <w:r w:rsidRPr="006222EA">
              <w:t>sharing arrangements for some programming</w:t>
            </w:r>
            <w:r w:rsidR="000A3196">
              <w:t>.</w:t>
            </w:r>
          </w:p>
        </w:tc>
      </w:tr>
      <w:tr w:rsidR="008F4C57" w:rsidRPr="006222EA" w14:paraId="420DC768" w14:textId="77777777" w:rsidTr="008F4C57">
        <w:tc>
          <w:tcPr>
            <w:tcW w:w="4363" w:type="dxa"/>
          </w:tcPr>
          <w:p w14:paraId="420DC766" w14:textId="77777777" w:rsidR="008F4C57" w:rsidRPr="006222EA" w:rsidRDefault="008F4C57" w:rsidP="00000F04">
            <w:pPr>
              <w:pStyle w:val="TableTextEntries"/>
            </w:pPr>
            <w:r w:rsidRPr="006222EA">
              <w:lastRenderedPageBreak/>
              <w:t>Over-programming and continued proliferation of initiatives</w:t>
            </w:r>
            <w:r w:rsidR="000A3196">
              <w:t>.</w:t>
            </w:r>
          </w:p>
        </w:tc>
        <w:tc>
          <w:tcPr>
            <w:tcW w:w="4103" w:type="dxa"/>
          </w:tcPr>
          <w:p w14:paraId="420DC767" w14:textId="656361EA" w:rsidR="008F4C57" w:rsidRPr="006222EA" w:rsidRDefault="008F4C57" w:rsidP="00803BDC">
            <w:pPr>
              <w:pStyle w:val="TableTextEntries"/>
            </w:pPr>
            <w:r w:rsidRPr="006222EA">
              <w:t xml:space="preserve">2013 budget critical review team to present </w:t>
            </w:r>
            <w:r w:rsidR="00000F04">
              <w:t xml:space="preserve">Pacific </w:t>
            </w:r>
            <w:r w:rsidRPr="006222EA">
              <w:t>Division</w:t>
            </w:r>
            <w:r w:rsidR="00000F04">
              <w:t>’s E</w:t>
            </w:r>
            <w:r w:rsidRPr="006222EA">
              <w:t xml:space="preserve">xecutive with plan for restructuring and </w:t>
            </w:r>
            <w:r w:rsidR="000A3196" w:rsidRPr="006222EA">
              <w:t>consolidating</w:t>
            </w:r>
            <w:r w:rsidR="000A3196">
              <w:t xml:space="preserve"> the </w:t>
            </w:r>
            <w:r w:rsidRPr="006222EA">
              <w:t>budget. Senior managers to closely scrutinise initiative approvals</w:t>
            </w:r>
            <w:r w:rsidR="008C71C1">
              <w:t xml:space="preserve">. Delivery strategies </w:t>
            </w:r>
            <w:r w:rsidR="00000F04">
              <w:t xml:space="preserve">to </w:t>
            </w:r>
            <w:r w:rsidR="008C71C1">
              <w:t>drive purposeful program consolidation</w:t>
            </w:r>
            <w:r w:rsidR="00000F04">
              <w:t>.</w:t>
            </w:r>
          </w:p>
        </w:tc>
      </w:tr>
      <w:tr w:rsidR="008F4C57" w:rsidRPr="006222EA" w14:paraId="420DC76B" w14:textId="77777777" w:rsidTr="008F4C57">
        <w:tc>
          <w:tcPr>
            <w:tcW w:w="4363" w:type="dxa"/>
          </w:tcPr>
          <w:p w14:paraId="420DC769" w14:textId="77777777" w:rsidR="008F4C57" w:rsidRPr="006222EA" w:rsidRDefault="00000F04" w:rsidP="00000F04">
            <w:pPr>
              <w:pStyle w:val="TableTextEntries"/>
            </w:pPr>
            <w:r>
              <w:t>Bilateral and regional programs do not c</w:t>
            </w:r>
            <w:r w:rsidR="008F4C57" w:rsidRPr="006222EA">
              <w:t>oordinat</w:t>
            </w:r>
            <w:r>
              <w:t>e efforts</w:t>
            </w:r>
            <w:r w:rsidR="008F4C57" w:rsidRPr="006222EA">
              <w:t xml:space="preserve"> </w:t>
            </w:r>
            <w:r>
              <w:t>or</w:t>
            </w:r>
            <w:r w:rsidRPr="006222EA">
              <w:t xml:space="preserve"> </w:t>
            </w:r>
            <w:r w:rsidR="008F4C57" w:rsidRPr="006222EA">
              <w:t>cost shar</w:t>
            </w:r>
            <w:r>
              <w:t>e</w:t>
            </w:r>
            <w:r w:rsidR="000A3196">
              <w:t>.</w:t>
            </w:r>
          </w:p>
        </w:tc>
        <w:tc>
          <w:tcPr>
            <w:tcW w:w="4103" w:type="dxa"/>
          </w:tcPr>
          <w:p w14:paraId="420DC76A" w14:textId="77777777" w:rsidR="008F4C57" w:rsidRPr="006222EA" w:rsidRDefault="008C71C1" w:rsidP="00000F04">
            <w:pPr>
              <w:pStyle w:val="TableTextEntries"/>
            </w:pPr>
            <w:r>
              <w:t xml:space="preserve">Strong divisional leadership. </w:t>
            </w:r>
            <w:r w:rsidR="00000F04">
              <w:t>S</w:t>
            </w:r>
            <w:r w:rsidR="008F4C57" w:rsidRPr="006222EA">
              <w:t>enior management</w:t>
            </w:r>
            <w:r w:rsidR="00000F04">
              <w:t xml:space="preserve"> to engage</w:t>
            </w:r>
            <w:r w:rsidR="008F4C57" w:rsidRPr="006222EA">
              <w:t xml:space="preserve"> on the budget critical review and consult bilateral program senior managers on the regional program strategy</w:t>
            </w:r>
            <w:r w:rsidR="00000F04">
              <w:t>.</w:t>
            </w:r>
          </w:p>
        </w:tc>
      </w:tr>
    </w:tbl>
    <w:p w14:paraId="420DC76C" w14:textId="77777777" w:rsidR="008F4C57" w:rsidRPr="006222EA" w:rsidRDefault="008F4C57" w:rsidP="008F4C57">
      <w:pPr>
        <w:pStyle w:val="BodyText"/>
        <w:sectPr w:rsidR="008F4C57" w:rsidRPr="006222EA" w:rsidSect="00FB079A">
          <w:headerReference w:type="default" r:id="rId12"/>
          <w:footerReference w:type="default" r:id="rId13"/>
          <w:headerReference w:type="first" r:id="rId14"/>
          <w:footerReference w:type="first" r:id="rId15"/>
          <w:pgSz w:w="11906" w:h="16838" w:code="9"/>
          <w:pgMar w:top="2268" w:right="1701" w:bottom="907" w:left="1871" w:header="709" w:footer="454" w:gutter="0"/>
          <w:cols w:space="708"/>
          <w:titlePg/>
          <w:docGrid w:linePitch="360"/>
        </w:sectPr>
      </w:pPr>
    </w:p>
    <w:p w14:paraId="420DC76D" w14:textId="77777777" w:rsidR="00FE4491" w:rsidRPr="006222EA" w:rsidRDefault="00C65930" w:rsidP="00FE4491">
      <w:pPr>
        <w:pStyle w:val="Heading1"/>
      </w:pPr>
      <w:r w:rsidRPr="006222EA">
        <w:lastRenderedPageBreak/>
        <w:t>Annex A</w:t>
      </w:r>
      <w:r w:rsidR="00FE4491" w:rsidRPr="006222EA">
        <w:t xml:space="preserve"> </w:t>
      </w:r>
    </w:p>
    <w:p w14:paraId="420DC76E" w14:textId="77777777" w:rsidR="006C751D" w:rsidRPr="006222EA" w:rsidRDefault="006C751D" w:rsidP="006C751D">
      <w:pPr>
        <w:pStyle w:val="Heading2"/>
      </w:pPr>
      <w:r w:rsidRPr="006222EA">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6282"/>
        <w:gridCol w:w="829"/>
        <w:gridCol w:w="6824"/>
      </w:tblGrid>
      <w:tr w:rsidR="006C751D" w:rsidRPr="006222EA" w14:paraId="420DC772"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6F" w14:textId="77777777" w:rsidR="006C751D" w:rsidRPr="006222EA" w:rsidRDefault="006C751D" w:rsidP="006C751D">
            <w:pPr>
              <w:pStyle w:val="TableTextColumnHeading"/>
              <w:tabs>
                <w:tab w:val="left" w:pos="1185"/>
              </w:tabs>
            </w:pPr>
            <w:r w:rsidRPr="006222EA">
              <w:t>Management consequences identified in 2011 APPR</w:t>
            </w:r>
            <w:r w:rsidRPr="006222EA">
              <w:tab/>
            </w:r>
          </w:p>
        </w:tc>
        <w:tc>
          <w:tcPr>
            <w:tcW w:w="823" w:type="dxa"/>
          </w:tcPr>
          <w:p w14:paraId="420DC770" w14:textId="77777777" w:rsidR="006C751D" w:rsidRPr="006222EA" w:rsidRDefault="006C751D" w:rsidP="006C751D">
            <w:pPr>
              <w:pStyle w:val="TableTextColumnHeading"/>
            </w:pPr>
            <w:r w:rsidRPr="006222EA">
              <w:t>Rating</w:t>
            </w:r>
          </w:p>
        </w:tc>
        <w:tc>
          <w:tcPr>
            <w:tcW w:w="7037" w:type="dxa"/>
          </w:tcPr>
          <w:p w14:paraId="420DC771" w14:textId="77777777" w:rsidR="006C751D" w:rsidRPr="006222EA" w:rsidRDefault="006C751D" w:rsidP="00C51945">
            <w:pPr>
              <w:pStyle w:val="TableTextColumnHeading"/>
            </w:pPr>
            <w:r w:rsidRPr="006222EA">
              <w:t>Progress made in 2012</w:t>
            </w:r>
            <w:r w:rsidR="00C51945">
              <w:t>–</w:t>
            </w:r>
            <w:r w:rsidRPr="006222EA">
              <w:t>13</w:t>
            </w:r>
          </w:p>
        </w:tc>
      </w:tr>
      <w:tr w:rsidR="006C751D" w:rsidRPr="006222EA" w14:paraId="420DC776"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73" w14:textId="203F59C6" w:rsidR="006C751D" w:rsidRPr="00332DF6" w:rsidRDefault="006C751D" w:rsidP="00D25410">
            <w:pPr>
              <w:pStyle w:val="TableTextEntries"/>
            </w:pPr>
            <w:r w:rsidRPr="00332DF6">
              <w:t xml:space="preserve">In 2012, </w:t>
            </w:r>
            <w:r w:rsidR="006633C3">
              <w:t xml:space="preserve">the Australian </w:t>
            </w:r>
            <w:r w:rsidR="00D25410">
              <w:t xml:space="preserve">Government </w:t>
            </w:r>
            <w:r w:rsidRPr="00332DF6">
              <w:t>will focus on developing a Pacific Regional Strategy to provide strategic focus and objectives for the program</w:t>
            </w:r>
            <w:r w:rsidR="00FC1C39" w:rsidRPr="00332DF6">
              <w:t>.</w:t>
            </w:r>
          </w:p>
        </w:tc>
        <w:tc>
          <w:tcPr>
            <w:tcW w:w="823" w:type="dxa"/>
            <w:shd w:val="clear" w:color="auto" w:fill="92D050"/>
          </w:tcPr>
          <w:p w14:paraId="420DC774" w14:textId="77777777" w:rsidR="006C751D" w:rsidRPr="00332DF6" w:rsidRDefault="006C751D" w:rsidP="00332DF6">
            <w:pPr>
              <w:pStyle w:val="TableTextEntries"/>
            </w:pPr>
            <w:r w:rsidRPr="00332DF6">
              <w:t>Green</w:t>
            </w:r>
          </w:p>
        </w:tc>
        <w:tc>
          <w:tcPr>
            <w:tcW w:w="7037" w:type="dxa"/>
          </w:tcPr>
          <w:p w14:paraId="420DC775" w14:textId="77777777" w:rsidR="006C751D" w:rsidRPr="00332DF6" w:rsidRDefault="006C751D" w:rsidP="00332DF6">
            <w:pPr>
              <w:pStyle w:val="TableTextEntries"/>
            </w:pPr>
            <w:r w:rsidRPr="00332DF6">
              <w:t>The strategy is being drafted and will be completed in 2013</w:t>
            </w:r>
            <w:r w:rsidR="00C51945" w:rsidRPr="00332DF6">
              <w:t>–</w:t>
            </w:r>
            <w:r w:rsidRPr="00332DF6">
              <w:t>14.</w:t>
            </w:r>
          </w:p>
        </w:tc>
      </w:tr>
      <w:tr w:rsidR="006C751D" w:rsidRPr="006222EA" w14:paraId="420DC77A"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77" w14:textId="04E9404B" w:rsidR="006C751D" w:rsidRPr="00332DF6" w:rsidRDefault="006633C3" w:rsidP="00D25410">
            <w:pPr>
              <w:pStyle w:val="TableTextEntries"/>
            </w:pPr>
            <w:r>
              <w:t xml:space="preserve">The Australian </w:t>
            </w:r>
            <w:r w:rsidR="00D25410">
              <w:t xml:space="preserve">Government </w:t>
            </w:r>
            <w:r w:rsidR="00C51945" w:rsidRPr="00332DF6">
              <w:t>will develop d</w:t>
            </w:r>
            <w:r w:rsidR="006C751D" w:rsidRPr="00332DF6">
              <w:t>elivery strategies, such as in health, education, climate change and fisheries.</w:t>
            </w:r>
          </w:p>
        </w:tc>
        <w:tc>
          <w:tcPr>
            <w:tcW w:w="823" w:type="dxa"/>
            <w:shd w:val="clear" w:color="auto" w:fill="F79646" w:themeFill="accent6"/>
          </w:tcPr>
          <w:p w14:paraId="420DC778" w14:textId="77777777" w:rsidR="006C751D" w:rsidRPr="00332DF6" w:rsidRDefault="006C751D" w:rsidP="00332DF6">
            <w:pPr>
              <w:pStyle w:val="TableTextEntries"/>
            </w:pPr>
            <w:r w:rsidRPr="00332DF6">
              <w:t>Amber</w:t>
            </w:r>
            <w:r w:rsidRPr="00332DF6">
              <w:fldChar w:fldCharType="begin"/>
            </w:r>
            <w:r w:rsidRPr="00332DF6">
              <w:instrText xml:space="preserve"> AUTOTEXTLIST  \s "Rating bullet"\t "Right click to choose a rating" \* MERGEFORMAT </w:instrText>
            </w:r>
            <w:r w:rsidRPr="00332DF6">
              <w:fldChar w:fldCharType="end"/>
            </w:r>
          </w:p>
        </w:tc>
        <w:tc>
          <w:tcPr>
            <w:tcW w:w="7037" w:type="dxa"/>
          </w:tcPr>
          <w:p w14:paraId="420DC779" w14:textId="77777777" w:rsidR="006C751D" w:rsidRPr="00332DF6" w:rsidRDefault="006C751D" w:rsidP="00332DF6">
            <w:pPr>
              <w:pStyle w:val="TableTextEntries"/>
            </w:pPr>
            <w:r w:rsidRPr="00332DF6">
              <w:t>Work is underway on the delivery strategies. Some are well advanced and others will be completed in 2014.</w:t>
            </w:r>
          </w:p>
        </w:tc>
      </w:tr>
      <w:tr w:rsidR="006C751D" w:rsidRPr="006222EA" w14:paraId="420DC77E"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7B" w14:textId="501A582A" w:rsidR="006C751D" w:rsidRPr="00332DF6" w:rsidRDefault="006633C3" w:rsidP="00D25410">
            <w:pPr>
              <w:pStyle w:val="TableTextEntries"/>
            </w:pPr>
            <w:r>
              <w:t xml:space="preserve">The Australian </w:t>
            </w:r>
            <w:r w:rsidR="00D25410">
              <w:t xml:space="preserve">Government </w:t>
            </w:r>
            <w:r w:rsidR="006C751D" w:rsidRPr="00332DF6">
              <w:t>will focus on the distinction between multi-country and regional programs and articulating these through the new strategy, budget and organisation structure</w:t>
            </w:r>
            <w:r w:rsidR="00FC1C39" w:rsidRPr="00332DF6">
              <w:t>.</w:t>
            </w:r>
          </w:p>
        </w:tc>
        <w:tc>
          <w:tcPr>
            <w:tcW w:w="823" w:type="dxa"/>
            <w:shd w:val="clear" w:color="auto" w:fill="F79646" w:themeFill="accent6"/>
          </w:tcPr>
          <w:p w14:paraId="420DC77C" w14:textId="77777777" w:rsidR="006C751D" w:rsidRPr="00332DF6" w:rsidRDefault="00800ACF" w:rsidP="00332DF6">
            <w:pPr>
              <w:pStyle w:val="TableTextEntries"/>
            </w:pPr>
            <w:r>
              <w:t>Amber</w:t>
            </w:r>
          </w:p>
        </w:tc>
        <w:tc>
          <w:tcPr>
            <w:tcW w:w="7037" w:type="dxa"/>
          </w:tcPr>
          <w:p w14:paraId="420DC77D" w14:textId="77777777" w:rsidR="006C751D" w:rsidRPr="00332DF6" w:rsidRDefault="006C751D" w:rsidP="00332DF6">
            <w:pPr>
              <w:pStyle w:val="TableTextEntries"/>
            </w:pPr>
            <w:r w:rsidRPr="00332DF6">
              <w:t>This will be addressed in the program strategy and work is underway on structuring the budget and management of the regional program to reflect the distinction.</w:t>
            </w:r>
          </w:p>
        </w:tc>
      </w:tr>
      <w:tr w:rsidR="006C751D" w:rsidRPr="006222EA" w14:paraId="420DC782"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7F" w14:textId="46A06279" w:rsidR="006C751D" w:rsidRPr="00332DF6" w:rsidRDefault="006633C3" w:rsidP="00D25410">
            <w:pPr>
              <w:pStyle w:val="TableTextEntries"/>
            </w:pPr>
            <w:r>
              <w:t xml:space="preserve">The Australian </w:t>
            </w:r>
            <w:r w:rsidR="00D25410">
              <w:t xml:space="preserve">Government </w:t>
            </w:r>
            <w:r w:rsidR="006C751D" w:rsidRPr="00332DF6">
              <w:t xml:space="preserve">proposes to return to multi-year core funding agreements with </w:t>
            </w:r>
            <w:r w:rsidR="00AC75D8" w:rsidRPr="00332DF6">
              <w:t>P</w:t>
            </w:r>
            <w:r w:rsidR="00AB7772" w:rsidRPr="00332DF6">
              <w:t>acific Island Forum Secretariat</w:t>
            </w:r>
            <w:r w:rsidR="00AC75D8" w:rsidRPr="00332DF6">
              <w:t>, SPC and SPREP</w:t>
            </w:r>
            <w:r w:rsidR="006C751D" w:rsidRPr="00332DF6">
              <w:t>, and renew multi-yea</w:t>
            </w:r>
            <w:r w:rsidR="00AC75D8" w:rsidRPr="00332DF6">
              <w:t>r funding arrangements with</w:t>
            </w:r>
            <w:r w:rsidR="00224AD0" w:rsidRPr="00332DF6">
              <w:t xml:space="preserve"> the</w:t>
            </w:r>
            <w:r w:rsidR="00AC75D8" w:rsidRPr="00332DF6">
              <w:t xml:space="preserve"> USP and FFA</w:t>
            </w:r>
            <w:r w:rsidR="006C751D" w:rsidRPr="00332DF6">
              <w:t xml:space="preserve"> from 2013</w:t>
            </w:r>
            <w:r w:rsidR="00FC1C39" w:rsidRPr="00332DF6">
              <w:t>.</w:t>
            </w:r>
          </w:p>
        </w:tc>
        <w:tc>
          <w:tcPr>
            <w:tcW w:w="823" w:type="dxa"/>
            <w:shd w:val="clear" w:color="auto" w:fill="92D050"/>
          </w:tcPr>
          <w:p w14:paraId="420DC780" w14:textId="77777777" w:rsidR="006C751D" w:rsidRPr="00332DF6" w:rsidRDefault="006C751D" w:rsidP="00332DF6">
            <w:pPr>
              <w:pStyle w:val="TableTextEntries"/>
            </w:pPr>
            <w:r w:rsidRPr="00332DF6">
              <w:t>Green</w:t>
            </w:r>
          </w:p>
        </w:tc>
        <w:tc>
          <w:tcPr>
            <w:tcW w:w="7037" w:type="dxa"/>
          </w:tcPr>
          <w:p w14:paraId="420DC781" w14:textId="77777777" w:rsidR="006C751D" w:rsidRPr="00332DF6" w:rsidRDefault="00AC75D8" w:rsidP="00332DF6">
            <w:pPr>
              <w:pStyle w:val="TableTextEntries"/>
            </w:pPr>
            <w:r w:rsidRPr="00332DF6">
              <w:t>A</w:t>
            </w:r>
            <w:r w:rsidR="006C751D" w:rsidRPr="00332DF6">
              <w:t xml:space="preserve"> mu</w:t>
            </w:r>
            <w:r w:rsidRPr="00332DF6">
              <w:t>lti-year core funding agreement has been signed</w:t>
            </w:r>
            <w:r w:rsidR="006C751D" w:rsidRPr="00332DF6">
              <w:t xml:space="preserve"> </w:t>
            </w:r>
            <w:r w:rsidRPr="00332DF6">
              <w:t>with</w:t>
            </w:r>
            <w:r w:rsidR="00135753" w:rsidRPr="00332DF6">
              <w:t xml:space="preserve"> the</w:t>
            </w:r>
            <w:r w:rsidRPr="00332DF6">
              <w:t xml:space="preserve"> SPREP and the others </w:t>
            </w:r>
            <w:r w:rsidR="006C751D" w:rsidRPr="00332DF6">
              <w:t>will be in place by the end of 2013.</w:t>
            </w:r>
          </w:p>
        </w:tc>
      </w:tr>
      <w:tr w:rsidR="006C751D" w:rsidRPr="006222EA" w14:paraId="420DC786"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83" w14:textId="11EEA7C8" w:rsidR="006C751D" w:rsidRPr="00332DF6" w:rsidRDefault="006633C3" w:rsidP="00D25410">
            <w:pPr>
              <w:pStyle w:val="TableTextEntries"/>
            </w:pPr>
            <w:r>
              <w:t xml:space="preserve">The Australian </w:t>
            </w:r>
            <w:r w:rsidR="00D25410">
              <w:t xml:space="preserve">Government’s </w:t>
            </w:r>
            <w:r>
              <w:t>aid program</w:t>
            </w:r>
            <w:r w:rsidRPr="00332DF6">
              <w:t xml:space="preserve"> </w:t>
            </w:r>
            <w:r w:rsidR="006C751D" w:rsidRPr="00332DF6">
              <w:t xml:space="preserve">will develop implementation plans to guide support from Australian </w:t>
            </w:r>
            <w:r w:rsidR="00135753" w:rsidRPr="00332DF6">
              <w:t>G</w:t>
            </w:r>
            <w:r w:rsidR="006C751D" w:rsidRPr="00332DF6">
              <w:t xml:space="preserve">overnment departments to </w:t>
            </w:r>
            <w:proofErr w:type="spellStart"/>
            <w:r w:rsidR="006C751D" w:rsidRPr="00332DF6">
              <w:t>P</w:t>
            </w:r>
            <w:r w:rsidR="00F95B9A" w:rsidRPr="00332DF6">
              <w:t>ROs</w:t>
            </w:r>
            <w:r w:rsidR="006C751D" w:rsidRPr="00332DF6">
              <w:t>.</w:t>
            </w:r>
            <w:proofErr w:type="spellEnd"/>
          </w:p>
        </w:tc>
        <w:tc>
          <w:tcPr>
            <w:tcW w:w="823" w:type="dxa"/>
            <w:shd w:val="clear" w:color="auto" w:fill="92D050"/>
          </w:tcPr>
          <w:p w14:paraId="420DC784" w14:textId="77777777" w:rsidR="006C751D" w:rsidRPr="00332DF6" w:rsidRDefault="006C751D" w:rsidP="00332DF6">
            <w:pPr>
              <w:pStyle w:val="TableTextEntries"/>
            </w:pPr>
            <w:r w:rsidRPr="00332DF6">
              <w:t>Green</w:t>
            </w:r>
          </w:p>
        </w:tc>
        <w:tc>
          <w:tcPr>
            <w:tcW w:w="7037" w:type="dxa"/>
          </w:tcPr>
          <w:p w14:paraId="420DC785" w14:textId="77777777" w:rsidR="006C751D" w:rsidRPr="00332DF6" w:rsidRDefault="006C751D" w:rsidP="00332DF6">
            <w:pPr>
              <w:pStyle w:val="TableTextEntries"/>
            </w:pPr>
            <w:r w:rsidRPr="00332DF6">
              <w:t>The delivery strategy for P</w:t>
            </w:r>
            <w:r w:rsidR="00F95B9A" w:rsidRPr="00332DF6">
              <w:t>ROs</w:t>
            </w:r>
            <w:r w:rsidRPr="00332DF6">
              <w:t xml:space="preserve"> will address this and be completed by the end of 2013.</w:t>
            </w:r>
          </w:p>
        </w:tc>
      </w:tr>
      <w:tr w:rsidR="006C751D" w:rsidRPr="006222EA" w14:paraId="420DC78A"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87" w14:textId="77777777" w:rsidR="006C751D" w:rsidRPr="00332DF6" w:rsidRDefault="006C751D" w:rsidP="00332DF6">
            <w:pPr>
              <w:pStyle w:val="TableTextEntries"/>
            </w:pPr>
            <w:r w:rsidRPr="00332DF6">
              <w:t>The regional program will work more closely with bilateral programs.</w:t>
            </w:r>
          </w:p>
        </w:tc>
        <w:tc>
          <w:tcPr>
            <w:tcW w:w="823" w:type="dxa"/>
            <w:shd w:val="clear" w:color="auto" w:fill="F79646" w:themeFill="accent6"/>
          </w:tcPr>
          <w:p w14:paraId="420DC788" w14:textId="77777777" w:rsidR="006C751D" w:rsidRPr="00332DF6" w:rsidRDefault="006C751D" w:rsidP="00332DF6">
            <w:pPr>
              <w:pStyle w:val="TableTextEntries"/>
            </w:pPr>
            <w:r w:rsidRPr="00332DF6">
              <w:t>Amber</w:t>
            </w:r>
          </w:p>
        </w:tc>
        <w:tc>
          <w:tcPr>
            <w:tcW w:w="7037" w:type="dxa"/>
          </w:tcPr>
          <w:p w14:paraId="420DC789" w14:textId="482292BB" w:rsidR="006C751D" w:rsidRPr="00332DF6" w:rsidRDefault="006C751D" w:rsidP="00332DF6">
            <w:pPr>
              <w:pStyle w:val="TableTextEntries"/>
            </w:pPr>
            <w:r w:rsidRPr="00332DF6">
              <w:t>The top regional programs are being reported in bilateral APPRs this year but there is more to be done in coordination and visibility of the regional program in bilateral programs.</w:t>
            </w:r>
          </w:p>
        </w:tc>
      </w:tr>
      <w:tr w:rsidR="006C751D" w:rsidRPr="006222EA" w14:paraId="420DC78E"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8B" w14:textId="2FF70BCE" w:rsidR="006C751D" w:rsidRPr="00332DF6" w:rsidRDefault="006633C3" w:rsidP="00D25410">
            <w:pPr>
              <w:pStyle w:val="TableTextEntries"/>
            </w:pPr>
            <w:r>
              <w:t xml:space="preserve">The Australian </w:t>
            </w:r>
            <w:r w:rsidR="00D25410">
              <w:t xml:space="preserve">Government </w:t>
            </w:r>
            <w:r w:rsidR="00C51945" w:rsidRPr="00332DF6">
              <w:t>will work</w:t>
            </w:r>
            <w:r w:rsidR="006C751D" w:rsidRPr="00332DF6">
              <w:t xml:space="preserve"> with the World Health Organization and S</w:t>
            </w:r>
            <w:r w:rsidR="00135753" w:rsidRPr="00332DF6">
              <w:t xml:space="preserve">PC </w:t>
            </w:r>
            <w:r w:rsidR="006C751D" w:rsidRPr="00332DF6">
              <w:t>to replace the current multi-country ‘project’ approach to non-communicable diseases with strategic partnerships.</w:t>
            </w:r>
          </w:p>
        </w:tc>
        <w:tc>
          <w:tcPr>
            <w:tcW w:w="823" w:type="dxa"/>
            <w:shd w:val="clear" w:color="auto" w:fill="92D050"/>
          </w:tcPr>
          <w:p w14:paraId="420DC78C" w14:textId="77777777" w:rsidR="006C751D" w:rsidRPr="00332DF6" w:rsidRDefault="006C751D" w:rsidP="00332DF6">
            <w:pPr>
              <w:pStyle w:val="TableTextEntries"/>
            </w:pPr>
            <w:r w:rsidRPr="00332DF6">
              <w:t>Green</w:t>
            </w:r>
          </w:p>
        </w:tc>
        <w:tc>
          <w:tcPr>
            <w:tcW w:w="7037" w:type="dxa"/>
          </w:tcPr>
          <w:p w14:paraId="420DC78D" w14:textId="77777777" w:rsidR="006C751D" w:rsidRPr="00332DF6" w:rsidRDefault="006C751D" w:rsidP="00332DF6">
            <w:pPr>
              <w:pStyle w:val="TableTextEntries"/>
            </w:pPr>
            <w:r w:rsidRPr="00332DF6">
              <w:t>This will be achieved through the new health delivery strategy to be completed by the end of 2013.</w:t>
            </w:r>
          </w:p>
        </w:tc>
      </w:tr>
      <w:tr w:rsidR="006C751D" w:rsidRPr="006222EA" w14:paraId="420DC792" w14:textId="77777777" w:rsidTr="006C751D">
        <w:trPr>
          <w:cnfStyle w:val="000000010000" w:firstRow="0" w:lastRow="0" w:firstColumn="0" w:lastColumn="0" w:oddVBand="0" w:evenVBand="0" w:oddHBand="0" w:evenHBand="1" w:firstRowFirstColumn="0" w:firstRowLastColumn="0" w:lastRowFirstColumn="0" w:lastRowLastColumn="0"/>
        </w:trPr>
        <w:tc>
          <w:tcPr>
            <w:tcW w:w="6473" w:type="dxa"/>
          </w:tcPr>
          <w:p w14:paraId="420DC78F" w14:textId="29C52C69" w:rsidR="006C751D" w:rsidRPr="00332DF6" w:rsidRDefault="006633C3" w:rsidP="00D25410">
            <w:pPr>
              <w:pStyle w:val="TableTextEntries"/>
            </w:pPr>
            <w:r>
              <w:t xml:space="preserve">The Australian </w:t>
            </w:r>
            <w:r w:rsidR="00D25410">
              <w:t xml:space="preserve">Government </w:t>
            </w:r>
            <w:r w:rsidR="006C751D" w:rsidRPr="00332DF6">
              <w:t xml:space="preserve">needs to retain strong capacity to manage the regional program and engage in policy/program </w:t>
            </w:r>
            <w:r w:rsidR="00C51945" w:rsidRPr="00332DF6">
              <w:t xml:space="preserve">discussion </w:t>
            </w:r>
            <w:r w:rsidR="006C751D" w:rsidRPr="00332DF6">
              <w:t xml:space="preserve">with countries, multilateral partners and </w:t>
            </w:r>
            <w:proofErr w:type="spellStart"/>
            <w:r w:rsidR="006C751D" w:rsidRPr="00332DF6">
              <w:t>P</w:t>
            </w:r>
            <w:r w:rsidR="00F95B9A" w:rsidRPr="00332DF6">
              <w:t>ROs</w:t>
            </w:r>
            <w:r w:rsidR="006C751D" w:rsidRPr="00332DF6">
              <w:t>.</w:t>
            </w:r>
            <w:proofErr w:type="spellEnd"/>
            <w:r w:rsidR="006C751D" w:rsidRPr="00332DF6">
              <w:t xml:space="preserve"> Additional positions within the Pacific Division are essential to achieve this </w:t>
            </w:r>
            <w:r w:rsidR="00C51945" w:rsidRPr="00332DF6">
              <w:t xml:space="preserve">at in </w:t>
            </w:r>
            <w:r w:rsidR="006C751D" w:rsidRPr="00332DF6">
              <w:t>Canberra and at Suva Post</w:t>
            </w:r>
            <w:r w:rsidR="00FC1C39" w:rsidRPr="00332DF6">
              <w:t>.</w:t>
            </w:r>
          </w:p>
        </w:tc>
        <w:tc>
          <w:tcPr>
            <w:tcW w:w="823" w:type="dxa"/>
            <w:shd w:val="clear" w:color="auto" w:fill="F79646" w:themeFill="accent6"/>
          </w:tcPr>
          <w:p w14:paraId="420DC790" w14:textId="77777777" w:rsidR="006C751D" w:rsidRPr="00332DF6" w:rsidRDefault="006C751D" w:rsidP="00332DF6">
            <w:pPr>
              <w:pStyle w:val="TableTextEntries"/>
            </w:pPr>
            <w:r w:rsidRPr="00332DF6">
              <w:t>Amber</w:t>
            </w:r>
          </w:p>
        </w:tc>
        <w:tc>
          <w:tcPr>
            <w:tcW w:w="7037" w:type="dxa"/>
          </w:tcPr>
          <w:p w14:paraId="420DC791" w14:textId="4AACC790" w:rsidR="006C751D" w:rsidRPr="00332DF6" w:rsidRDefault="006C751D" w:rsidP="00803BDC">
            <w:pPr>
              <w:pStyle w:val="TableTextEntries"/>
            </w:pPr>
            <w:r w:rsidRPr="00332DF6">
              <w:t xml:space="preserve">The Pacific Division restructure </w:t>
            </w:r>
            <w:r w:rsidR="007A123B" w:rsidRPr="00332DF6">
              <w:t>is completed and is supporting</w:t>
            </w:r>
            <w:r w:rsidRPr="00332DF6">
              <w:t xml:space="preserve"> effective management of the regional program. A concern is that the required program management may be at the cost of sustained attention to all program components. This requires ongoing monitoring by senior management.</w:t>
            </w:r>
          </w:p>
        </w:tc>
      </w:tr>
    </w:tbl>
    <w:p w14:paraId="420DC793" w14:textId="77777777" w:rsidR="00FE4491" w:rsidRPr="006222EA" w:rsidRDefault="00FE4491" w:rsidP="00FE4491">
      <w:pPr>
        <w:pStyle w:val="Note"/>
      </w:pPr>
      <w:r w:rsidRPr="006222EA">
        <w:t xml:space="preserve">Note: </w:t>
      </w:r>
    </w:p>
    <w:p w14:paraId="420DC794" w14:textId="77777777" w:rsidR="00FE4491" w:rsidRPr="006222EA" w:rsidRDefault="00FE4491" w:rsidP="00FE4491">
      <w:pPr>
        <w:pStyle w:val="Note"/>
      </w:pPr>
      <w:r w:rsidRPr="006222EA">
        <w:rPr>
          <w:color w:val="92D050"/>
        </w:rPr>
        <w:sym w:font="Webdings" w:char="F067"/>
      </w:r>
      <w:r w:rsidRPr="006222EA">
        <w:t> </w:t>
      </w:r>
      <w:r w:rsidRPr="006222EA">
        <w:t xml:space="preserve"> </w:t>
      </w:r>
      <w:proofErr w:type="gramStart"/>
      <w:r w:rsidR="00443639" w:rsidRPr="006222EA">
        <w:t>Green</w:t>
      </w:r>
      <w:r w:rsidRPr="006222EA">
        <w:t>.</w:t>
      </w:r>
      <w:proofErr w:type="gramEnd"/>
      <w:r w:rsidRPr="006222EA">
        <w:rPr>
          <w:rFonts w:ascii="Times New Roman" w:hAnsi="Times New Roman"/>
        </w:rPr>
        <w:t xml:space="preserve"> </w:t>
      </w:r>
      <w:r w:rsidRPr="006222EA">
        <w:t>Progress is as expected for this point in time and it is likely that the objective will be achieved. Standard program management practices are sufficient.</w:t>
      </w:r>
    </w:p>
    <w:p w14:paraId="420DC795" w14:textId="77777777" w:rsidR="00FE4491" w:rsidRPr="006222EA" w:rsidRDefault="00FE4491" w:rsidP="00FE4491">
      <w:pPr>
        <w:pStyle w:val="Note"/>
      </w:pPr>
      <w:r w:rsidRPr="006222EA">
        <w:rPr>
          <w:color w:val="F79646" w:themeColor="accent6"/>
        </w:rPr>
        <w:sym w:font="Webdings" w:char="F067"/>
      </w:r>
      <w:r w:rsidRPr="006222EA">
        <w:t> </w:t>
      </w:r>
      <w:r w:rsidRPr="006222EA">
        <w:t xml:space="preserve"> Amber. Progress is somewhat less than expected for this point in time and restorative action will be necessary if the objective is to be achieved. Close performance monitoring is recommended.</w:t>
      </w:r>
    </w:p>
    <w:p w14:paraId="420DC796" w14:textId="77777777" w:rsidR="00BB1C24" w:rsidRPr="006222EA" w:rsidRDefault="00FE4491" w:rsidP="00FE4491">
      <w:pPr>
        <w:pStyle w:val="Note"/>
      </w:pPr>
      <w:r w:rsidRPr="006222EA">
        <w:rPr>
          <w:color w:val="FF0000"/>
        </w:rPr>
        <w:sym w:font="Webdings" w:char="F067"/>
      </w:r>
      <w:r w:rsidRPr="006222EA">
        <w:t> </w:t>
      </w:r>
      <w:r w:rsidRPr="006222EA">
        <w:t xml:space="preserve"> </w:t>
      </w:r>
      <w:proofErr w:type="gramStart"/>
      <w:r w:rsidRPr="006222EA">
        <w:t>Red.</w:t>
      </w:r>
      <w:proofErr w:type="gramEnd"/>
      <w:r w:rsidRPr="006222EA">
        <w:rPr>
          <w:rFonts w:ascii="Times New Roman" w:hAnsi="Times New Roman"/>
        </w:rPr>
        <w:t xml:space="preserve"> </w:t>
      </w:r>
      <w:r w:rsidRPr="006222EA">
        <w:t>Progress is significantly less than expected for this point in time and the objective is not likely to be met given available resources and priorities. Recasting the objective may be required.</w:t>
      </w:r>
    </w:p>
    <w:p w14:paraId="420DC797" w14:textId="77777777" w:rsidR="00FE4491" w:rsidRPr="006222EA" w:rsidRDefault="00FE4491" w:rsidP="00FE4491">
      <w:pPr>
        <w:sectPr w:rsidR="00FE4491" w:rsidRPr="006222EA" w:rsidSect="00462CE5">
          <w:headerReference w:type="default" r:id="rId16"/>
          <w:footerReference w:type="default" r:id="rId17"/>
          <w:headerReference w:type="first" r:id="rId18"/>
          <w:footerReference w:type="first" r:id="rId19"/>
          <w:pgSz w:w="16838" w:h="11906" w:orient="landscape" w:code="9"/>
          <w:pgMar w:top="1871" w:right="2268" w:bottom="1134" w:left="907" w:header="709" w:footer="425" w:gutter="0"/>
          <w:cols w:space="708"/>
          <w:docGrid w:linePitch="360"/>
        </w:sectPr>
      </w:pPr>
    </w:p>
    <w:p w14:paraId="420DC798" w14:textId="77777777" w:rsidR="005C77B9" w:rsidRPr="00FE4491" w:rsidRDefault="005C77B9" w:rsidP="005C77B9">
      <w:pPr>
        <w:pStyle w:val="Heading1"/>
      </w:pPr>
      <w:r w:rsidRPr="00FE4491">
        <w:lastRenderedPageBreak/>
        <w:t xml:space="preserve">Annex B </w:t>
      </w:r>
    </w:p>
    <w:p w14:paraId="420DC799" w14:textId="77777777" w:rsidR="005C77B9" w:rsidRDefault="005C77B9" w:rsidP="005C77B9">
      <w:pPr>
        <w:pStyle w:val="Heading2"/>
      </w:pPr>
      <w:r w:rsidRPr="00FE4491">
        <w:t>Quality at Implementation ratings</w:t>
      </w:r>
    </w:p>
    <w:tbl>
      <w:tblPr>
        <w:tblStyle w:val="APPR"/>
        <w:tblW w:w="5000" w:type="pct"/>
        <w:tblLook w:val="04A0" w:firstRow="1" w:lastRow="0" w:firstColumn="1" w:lastColumn="0" w:noHBand="0" w:noVBand="1"/>
      </w:tblPr>
      <w:tblGrid>
        <w:gridCol w:w="2971"/>
        <w:gridCol w:w="961"/>
        <w:gridCol w:w="1964"/>
        <w:gridCol w:w="1215"/>
        <w:gridCol w:w="996"/>
        <w:gridCol w:w="969"/>
        <w:gridCol w:w="969"/>
        <w:gridCol w:w="969"/>
        <w:gridCol w:w="969"/>
        <w:gridCol w:w="969"/>
        <w:gridCol w:w="983"/>
      </w:tblGrid>
      <w:tr w:rsidR="006B1681" w:rsidRPr="00250BC3" w14:paraId="420DC7A5" w14:textId="77777777" w:rsidTr="00332DF6">
        <w:trPr>
          <w:cnfStyle w:val="100000000000" w:firstRow="1" w:lastRow="0" w:firstColumn="0" w:lastColumn="0" w:oddVBand="0" w:evenVBand="0" w:oddHBand="0" w:evenHBand="0" w:firstRowFirstColumn="0" w:firstRowLastColumn="0" w:lastRowFirstColumn="0" w:lastRowLastColumn="0"/>
          <w:trHeight w:val="1485"/>
        </w:trPr>
        <w:tc>
          <w:tcPr>
            <w:tcW w:w="2785" w:type="dxa"/>
            <w:hideMark/>
          </w:tcPr>
          <w:p w14:paraId="420DC79A" w14:textId="77777777" w:rsidR="006B1681" w:rsidRPr="00332DF6" w:rsidRDefault="006B1681" w:rsidP="00332DF6">
            <w:pPr>
              <w:pStyle w:val="TableTextColumnHeading"/>
              <w:rPr>
                <w:b/>
              </w:rPr>
            </w:pPr>
            <w:r w:rsidRPr="00332DF6">
              <w:rPr>
                <w:b/>
              </w:rPr>
              <w:t xml:space="preserve">Initiative </w:t>
            </w:r>
            <w:r w:rsidR="00C40272" w:rsidRPr="00332DF6">
              <w:rPr>
                <w:b/>
              </w:rPr>
              <w:t>n</w:t>
            </w:r>
            <w:r w:rsidRPr="00332DF6">
              <w:rPr>
                <w:b/>
              </w:rPr>
              <w:t>ame</w:t>
            </w:r>
          </w:p>
        </w:tc>
        <w:tc>
          <w:tcPr>
            <w:tcW w:w="887" w:type="dxa"/>
            <w:noWrap/>
            <w:hideMark/>
          </w:tcPr>
          <w:p w14:paraId="420DC79B" w14:textId="77777777" w:rsidR="006B1681" w:rsidRPr="00332DF6" w:rsidRDefault="006B1681" w:rsidP="00332DF6">
            <w:pPr>
              <w:pStyle w:val="TableTextColumnHeading"/>
              <w:rPr>
                <w:b/>
              </w:rPr>
            </w:pPr>
          </w:p>
        </w:tc>
        <w:tc>
          <w:tcPr>
            <w:tcW w:w="1840" w:type="dxa"/>
            <w:noWrap/>
            <w:hideMark/>
          </w:tcPr>
          <w:p w14:paraId="420DC79C" w14:textId="77777777" w:rsidR="006B1681" w:rsidRPr="00332DF6" w:rsidRDefault="006B1681" w:rsidP="00332DF6">
            <w:pPr>
              <w:pStyle w:val="TableTextColumnHeading"/>
              <w:rPr>
                <w:b/>
              </w:rPr>
            </w:pPr>
            <w:r w:rsidRPr="00332DF6">
              <w:rPr>
                <w:b/>
              </w:rPr>
              <w:t xml:space="preserve">Approved budget </w:t>
            </w:r>
          </w:p>
        </w:tc>
        <w:tc>
          <w:tcPr>
            <w:tcW w:w="1128" w:type="dxa"/>
            <w:noWrap/>
            <w:hideMark/>
          </w:tcPr>
          <w:p w14:paraId="420DC79D" w14:textId="77777777" w:rsidR="006B1681" w:rsidRPr="00332DF6" w:rsidRDefault="006B1681" w:rsidP="00332DF6">
            <w:pPr>
              <w:pStyle w:val="TableTextColumnHeading"/>
              <w:rPr>
                <w:b/>
              </w:rPr>
            </w:pPr>
            <w:r w:rsidRPr="00332DF6">
              <w:rPr>
                <w:b/>
              </w:rPr>
              <w:t>Duration</w:t>
            </w:r>
          </w:p>
        </w:tc>
        <w:tc>
          <w:tcPr>
            <w:tcW w:w="920" w:type="dxa"/>
            <w:noWrap/>
            <w:hideMark/>
          </w:tcPr>
          <w:p w14:paraId="420DC79E" w14:textId="77777777" w:rsidR="006B1681" w:rsidRPr="00332DF6" w:rsidRDefault="006B1681" w:rsidP="00332DF6">
            <w:pPr>
              <w:pStyle w:val="TableTextColumnHeading"/>
              <w:rPr>
                <w:b/>
              </w:rPr>
            </w:pPr>
            <w:r w:rsidRPr="00332DF6">
              <w:rPr>
                <w:b/>
              </w:rPr>
              <w:t xml:space="preserve">QAI </w:t>
            </w:r>
            <w:r w:rsidR="00C40272" w:rsidRPr="00332DF6">
              <w:rPr>
                <w:b/>
              </w:rPr>
              <w:t>y</w:t>
            </w:r>
            <w:r w:rsidRPr="00332DF6">
              <w:rPr>
                <w:b/>
              </w:rPr>
              <w:t>ear</w:t>
            </w:r>
          </w:p>
        </w:tc>
        <w:tc>
          <w:tcPr>
            <w:tcW w:w="894" w:type="dxa"/>
            <w:noWrap/>
            <w:textDirection w:val="btLr"/>
            <w:hideMark/>
          </w:tcPr>
          <w:p w14:paraId="420DC79F" w14:textId="77777777" w:rsidR="006B1681" w:rsidRPr="00332DF6" w:rsidRDefault="006B1681" w:rsidP="00332DF6">
            <w:pPr>
              <w:pStyle w:val="TableTextColumnHeading"/>
              <w:rPr>
                <w:b/>
              </w:rPr>
            </w:pPr>
            <w:r w:rsidRPr="00332DF6">
              <w:rPr>
                <w:b/>
              </w:rPr>
              <w:t>Relevance</w:t>
            </w:r>
          </w:p>
        </w:tc>
        <w:tc>
          <w:tcPr>
            <w:tcW w:w="894" w:type="dxa"/>
            <w:noWrap/>
            <w:textDirection w:val="btLr"/>
            <w:hideMark/>
          </w:tcPr>
          <w:p w14:paraId="420DC7A0" w14:textId="77777777" w:rsidR="006B1681" w:rsidRPr="00332DF6" w:rsidRDefault="006B1681" w:rsidP="00332DF6">
            <w:pPr>
              <w:pStyle w:val="TableTextColumnHeading"/>
              <w:rPr>
                <w:b/>
              </w:rPr>
            </w:pPr>
            <w:r w:rsidRPr="00332DF6">
              <w:rPr>
                <w:b/>
              </w:rPr>
              <w:t>Effectiv</w:t>
            </w:r>
            <w:r w:rsidR="00C40272" w:rsidRPr="00332DF6">
              <w:rPr>
                <w:b/>
              </w:rPr>
              <w:t>e</w:t>
            </w:r>
            <w:r w:rsidRPr="00332DF6">
              <w:rPr>
                <w:b/>
              </w:rPr>
              <w:t>ness</w:t>
            </w:r>
          </w:p>
        </w:tc>
        <w:tc>
          <w:tcPr>
            <w:tcW w:w="894" w:type="dxa"/>
            <w:noWrap/>
            <w:textDirection w:val="btLr"/>
            <w:hideMark/>
          </w:tcPr>
          <w:p w14:paraId="420DC7A1" w14:textId="77777777" w:rsidR="006B1681" w:rsidRPr="00332DF6" w:rsidRDefault="006B1681" w:rsidP="00332DF6">
            <w:pPr>
              <w:pStyle w:val="TableTextColumnHeading"/>
              <w:rPr>
                <w:b/>
              </w:rPr>
            </w:pPr>
            <w:r w:rsidRPr="00332DF6">
              <w:rPr>
                <w:b/>
              </w:rPr>
              <w:t xml:space="preserve">Efficiency </w:t>
            </w:r>
          </w:p>
        </w:tc>
        <w:tc>
          <w:tcPr>
            <w:tcW w:w="894" w:type="dxa"/>
            <w:textDirection w:val="btLr"/>
            <w:hideMark/>
          </w:tcPr>
          <w:p w14:paraId="420DC7A2" w14:textId="77777777" w:rsidR="006B1681" w:rsidRPr="00332DF6" w:rsidRDefault="006B1681" w:rsidP="00332DF6">
            <w:pPr>
              <w:pStyle w:val="TableTextColumnHeading"/>
              <w:rPr>
                <w:b/>
              </w:rPr>
            </w:pPr>
            <w:r w:rsidRPr="00332DF6">
              <w:rPr>
                <w:b/>
              </w:rPr>
              <w:t xml:space="preserve">Monitoring and </w:t>
            </w:r>
            <w:r w:rsidR="00C40272" w:rsidRPr="00332DF6">
              <w:rPr>
                <w:b/>
              </w:rPr>
              <w:t>e</w:t>
            </w:r>
            <w:r w:rsidRPr="00332DF6">
              <w:rPr>
                <w:b/>
              </w:rPr>
              <w:t>valua</w:t>
            </w:r>
            <w:r w:rsidR="00C40272" w:rsidRPr="00332DF6">
              <w:rPr>
                <w:b/>
              </w:rPr>
              <w:t>t</w:t>
            </w:r>
            <w:r w:rsidRPr="00332DF6">
              <w:rPr>
                <w:b/>
              </w:rPr>
              <w:t>ion</w:t>
            </w:r>
          </w:p>
        </w:tc>
        <w:tc>
          <w:tcPr>
            <w:tcW w:w="894" w:type="dxa"/>
            <w:noWrap/>
            <w:textDirection w:val="btLr"/>
            <w:hideMark/>
          </w:tcPr>
          <w:p w14:paraId="420DC7A3" w14:textId="77777777" w:rsidR="006B1681" w:rsidRPr="00332DF6" w:rsidRDefault="006B1681" w:rsidP="00332DF6">
            <w:pPr>
              <w:pStyle w:val="TableTextColumnHeading"/>
              <w:rPr>
                <w:b/>
              </w:rPr>
            </w:pPr>
            <w:r w:rsidRPr="00332DF6">
              <w:rPr>
                <w:b/>
              </w:rPr>
              <w:t>Sustainability</w:t>
            </w:r>
          </w:p>
        </w:tc>
        <w:tc>
          <w:tcPr>
            <w:tcW w:w="894" w:type="dxa"/>
            <w:noWrap/>
            <w:textDirection w:val="btLr"/>
            <w:hideMark/>
          </w:tcPr>
          <w:p w14:paraId="420DC7A4" w14:textId="77777777" w:rsidR="006B1681" w:rsidRPr="00332DF6" w:rsidRDefault="006B1681" w:rsidP="00332DF6">
            <w:pPr>
              <w:pStyle w:val="TableTextColumnHeading"/>
              <w:rPr>
                <w:b/>
              </w:rPr>
            </w:pPr>
            <w:r w:rsidRPr="00332DF6">
              <w:rPr>
                <w:b/>
              </w:rPr>
              <w:t xml:space="preserve">Gender </w:t>
            </w:r>
            <w:r w:rsidR="00C40272" w:rsidRPr="00332DF6">
              <w:rPr>
                <w:b/>
              </w:rPr>
              <w:t>e</w:t>
            </w:r>
            <w:r w:rsidRPr="00332DF6">
              <w:rPr>
                <w:b/>
              </w:rPr>
              <w:t>quity</w:t>
            </w:r>
          </w:p>
        </w:tc>
      </w:tr>
      <w:tr w:rsidR="006B1681" w:rsidRPr="00250BC3" w14:paraId="420DC7B1" w14:textId="77777777" w:rsidTr="00A84A34">
        <w:trPr>
          <w:tblHeader w:val="0"/>
        </w:trPr>
        <w:tc>
          <w:tcPr>
            <w:tcW w:w="2785" w:type="dxa"/>
            <w:vMerge w:val="restart"/>
            <w:hideMark/>
          </w:tcPr>
          <w:p w14:paraId="420DC7A6" w14:textId="77777777" w:rsidR="006B1681" w:rsidRPr="00332DF6" w:rsidRDefault="006B1681" w:rsidP="00332DF6">
            <w:pPr>
              <w:pStyle w:val="TableTextEntries"/>
            </w:pPr>
            <w:r w:rsidRPr="00332DF6">
              <w:t>Pacific Region Infrastructure Facility</w:t>
            </w:r>
          </w:p>
        </w:tc>
        <w:tc>
          <w:tcPr>
            <w:tcW w:w="887" w:type="dxa"/>
            <w:vMerge w:val="restart"/>
            <w:noWrap/>
            <w:hideMark/>
          </w:tcPr>
          <w:p w14:paraId="420DC7A7" w14:textId="77777777" w:rsidR="006B1681" w:rsidRPr="00332DF6" w:rsidRDefault="006B1681" w:rsidP="00332DF6">
            <w:pPr>
              <w:pStyle w:val="TableTextEntries"/>
            </w:pPr>
            <w:r w:rsidRPr="00332DF6">
              <w:t>INI132</w:t>
            </w:r>
          </w:p>
        </w:tc>
        <w:tc>
          <w:tcPr>
            <w:tcW w:w="1840" w:type="dxa"/>
            <w:vMerge w:val="restart"/>
            <w:hideMark/>
          </w:tcPr>
          <w:p w14:paraId="420DC7A8" w14:textId="77777777" w:rsidR="006B1681" w:rsidRPr="00332DF6" w:rsidRDefault="006B1681" w:rsidP="00332DF6">
            <w:pPr>
              <w:pStyle w:val="TableTextEntries"/>
            </w:pPr>
            <w:r w:rsidRPr="00332DF6">
              <w:t>$65,804,032.36</w:t>
            </w:r>
          </w:p>
        </w:tc>
        <w:tc>
          <w:tcPr>
            <w:tcW w:w="1128" w:type="dxa"/>
            <w:vMerge w:val="restart"/>
            <w:noWrap/>
            <w:hideMark/>
          </w:tcPr>
          <w:p w14:paraId="420DC7A9" w14:textId="77777777" w:rsidR="006B1681" w:rsidRPr="00332DF6" w:rsidRDefault="006B1681" w:rsidP="00332DF6">
            <w:pPr>
              <w:pStyle w:val="TableTextEntries"/>
            </w:pPr>
            <w:r w:rsidRPr="00332DF6">
              <w:t>2008</w:t>
            </w:r>
            <w:r w:rsidR="00C40272" w:rsidRPr="00332DF6">
              <w:t>–</w:t>
            </w:r>
            <w:r w:rsidRPr="00332DF6">
              <w:t>14</w:t>
            </w:r>
          </w:p>
        </w:tc>
        <w:tc>
          <w:tcPr>
            <w:tcW w:w="920" w:type="dxa"/>
            <w:noWrap/>
            <w:hideMark/>
          </w:tcPr>
          <w:p w14:paraId="420DC7A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7AB"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7AC"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7A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7A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7A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7B0" w14:textId="77777777" w:rsidR="006B1681" w:rsidRPr="00332DF6" w:rsidRDefault="006B1681" w:rsidP="00152088">
            <w:pPr>
              <w:pStyle w:val="TableTextEntries"/>
              <w:jc w:val="center"/>
            </w:pPr>
            <w:r w:rsidRPr="00332DF6">
              <w:t>4</w:t>
            </w:r>
          </w:p>
        </w:tc>
      </w:tr>
      <w:tr w:rsidR="006B1681" w:rsidRPr="00250BC3" w14:paraId="420DC7B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7B2" w14:textId="77777777" w:rsidR="006B1681" w:rsidRPr="00332DF6" w:rsidRDefault="006B1681" w:rsidP="00332DF6">
            <w:pPr>
              <w:pStyle w:val="TableTextEntries"/>
            </w:pPr>
          </w:p>
        </w:tc>
        <w:tc>
          <w:tcPr>
            <w:tcW w:w="887" w:type="dxa"/>
            <w:vMerge/>
            <w:hideMark/>
          </w:tcPr>
          <w:p w14:paraId="420DC7B3" w14:textId="77777777" w:rsidR="006B1681" w:rsidRPr="00332DF6" w:rsidRDefault="006B1681" w:rsidP="00332DF6">
            <w:pPr>
              <w:pStyle w:val="TableTextEntries"/>
            </w:pPr>
          </w:p>
        </w:tc>
        <w:tc>
          <w:tcPr>
            <w:tcW w:w="1840" w:type="dxa"/>
            <w:vMerge/>
            <w:hideMark/>
          </w:tcPr>
          <w:p w14:paraId="420DC7B4" w14:textId="77777777" w:rsidR="006B1681" w:rsidRPr="00332DF6" w:rsidRDefault="006B1681" w:rsidP="00332DF6">
            <w:pPr>
              <w:pStyle w:val="TableTextEntries"/>
            </w:pPr>
          </w:p>
        </w:tc>
        <w:tc>
          <w:tcPr>
            <w:tcW w:w="1128" w:type="dxa"/>
            <w:vMerge/>
            <w:hideMark/>
          </w:tcPr>
          <w:p w14:paraId="420DC7B5" w14:textId="77777777" w:rsidR="006B1681" w:rsidRPr="00332DF6" w:rsidRDefault="006B1681" w:rsidP="00332DF6">
            <w:pPr>
              <w:pStyle w:val="TableTextEntries"/>
            </w:pPr>
          </w:p>
        </w:tc>
        <w:tc>
          <w:tcPr>
            <w:tcW w:w="920" w:type="dxa"/>
            <w:noWrap/>
            <w:hideMark/>
          </w:tcPr>
          <w:p w14:paraId="420DC7B6" w14:textId="77777777" w:rsidR="006B1681" w:rsidRPr="00332DF6" w:rsidRDefault="006B1681" w:rsidP="00332DF6">
            <w:pPr>
              <w:pStyle w:val="TableTextEntries"/>
            </w:pPr>
            <w:r w:rsidRPr="00332DF6">
              <w:t>2012</w:t>
            </w:r>
          </w:p>
        </w:tc>
        <w:tc>
          <w:tcPr>
            <w:tcW w:w="894" w:type="dxa"/>
            <w:shd w:val="clear" w:color="auto" w:fill="92D050"/>
            <w:noWrap/>
            <w:hideMark/>
          </w:tcPr>
          <w:p w14:paraId="420DC7B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7B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7B9"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7BA"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7BB"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7BC" w14:textId="77777777" w:rsidR="006B1681" w:rsidRPr="00332DF6" w:rsidRDefault="006B1681" w:rsidP="00152088">
            <w:pPr>
              <w:pStyle w:val="TableTextEntries"/>
              <w:jc w:val="center"/>
            </w:pPr>
            <w:r w:rsidRPr="00332DF6">
              <w:t>3</w:t>
            </w:r>
          </w:p>
        </w:tc>
      </w:tr>
      <w:tr w:rsidR="006B1681" w:rsidRPr="00250BC3" w14:paraId="420DC7C9" w14:textId="77777777" w:rsidTr="00A84A34">
        <w:trPr>
          <w:tblHeader w:val="0"/>
        </w:trPr>
        <w:tc>
          <w:tcPr>
            <w:tcW w:w="2785" w:type="dxa"/>
            <w:vMerge w:val="restart"/>
            <w:hideMark/>
          </w:tcPr>
          <w:p w14:paraId="420DC7BE" w14:textId="77777777" w:rsidR="006B1681" w:rsidRPr="00332DF6" w:rsidRDefault="006B1681" w:rsidP="00332DF6">
            <w:pPr>
              <w:pStyle w:val="TableTextEntries"/>
            </w:pPr>
            <w:r w:rsidRPr="00332DF6">
              <w:t>Workforce Development</w:t>
            </w:r>
            <w:r w:rsidR="00BD0387" w:rsidRPr="00332DF6">
              <w:t xml:space="preserve"> for Public Sector Officers </w:t>
            </w:r>
          </w:p>
        </w:tc>
        <w:tc>
          <w:tcPr>
            <w:tcW w:w="887" w:type="dxa"/>
            <w:vMerge w:val="restart"/>
            <w:noWrap/>
            <w:hideMark/>
          </w:tcPr>
          <w:p w14:paraId="420DC7BF" w14:textId="77777777" w:rsidR="006B1681" w:rsidRPr="00332DF6" w:rsidRDefault="006B1681" w:rsidP="00332DF6">
            <w:pPr>
              <w:pStyle w:val="TableTextEntries"/>
            </w:pPr>
            <w:r w:rsidRPr="00332DF6">
              <w:t>INI304</w:t>
            </w:r>
          </w:p>
        </w:tc>
        <w:tc>
          <w:tcPr>
            <w:tcW w:w="1840" w:type="dxa"/>
            <w:vMerge w:val="restart"/>
            <w:hideMark/>
          </w:tcPr>
          <w:p w14:paraId="420DC7C0" w14:textId="77777777" w:rsidR="006B1681" w:rsidRPr="00332DF6" w:rsidRDefault="006B1681" w:rsidP="00332DF6">
            <w:pPr>
              <w:pStyle w:val="TableTextEntries"/>
            </w:pPr>
            <w:r w:rsidRPr="00332DF6">
              <w:t>$18,495,994.93</w:t>
            </w:r>
          </w:p>
        </w:tc>
        <w:tc>
          <w:tcPr>
            <w:tcW w:w="1128" w:type="dxa"/>
            <w:vMerge w:val="restart"/>
            <w:noWrap/>
            <w:hideMark/>
          </w:tcPr>
          <w:p w14:paraId="420DC7C1" w14:textId="77777777" w:rsidR="006B1681" w:rsidRPr="00332DF6" w:rsidRDefault="006B1681" w:rsidP="00332DF6">
            <w:pPr>
              <w:pStyle w:val="TableTextEntries"/>
            </w:pPr>
            <w:r w:rsidRPr="00332DF6">
              <w:t>2008</w:t>
            </w:r>
            <w:r w:rsidR="00C40272" w:rsidRPr="00332DF6">
              <w:t>–</w:t>
            </w:r>
            <w:r w:rsidRPr="00332DF6">
              <w:t>13</w:t>
            </w:r>
          </w:p>
        </w:tc>
        <w:tc>
          <w:tcPr>
            <w:tcW w:w="920" w:type="dxa"/>
            <w:noWrap/>
            <w:hideMark/>
          </w:tcPr>
          <w:p w14:paraId="420DC7C2"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7C3"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7C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7C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7C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7C7"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92D050"/>
            <w:noWrap/>
            <w:hideMark/>
          </w:tcPr>
          <w:p w14:paraId="420DC7C8" w14:textId="77777777" w:rsidR="006B1681" w:rsidRPr="00332DF6" w:rsidRDefault="006B1681" w:rsidP="00152088">
            <w:pPr>
              <w:pStyle w:val="TableTextEntries"/>
              <w:jc w:val="center"/>
            </w:pPr>
            <w:r w:rsidRPr="00332DF6">
              <w:t>5</w:t>
            </w:r>
          </w:p>
        </w:tc>
      </w:tr>
      <w:tr w:rsidR="006B1681" w:rsidRPr="00250BC3" w14:paraId="420DC7D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7CA" w14:textId="77777777" w:rsidR="006B1681" w:rsidRPr="00332DF6" w:rsidRDefault="006B1681" w:rsidP="00332DF6">
            <w:pPr>
              <w:pStyle w:val="TableTextEntries"/>
            </w:pPr>
          </w:p>
        </w:tc>
        <w:tc>
          <w:tcPr>
            <w:tcW w:w="887" w:type="dxa"/>
            <w:vMerge/>
            <w:hideMark/>
          </w:tcPr>
          <w:p w14:paraId="420DC7CB" w14:textId="77777777" w:rsidR="006B1681" w:rsidRPr="00332DF6" w:rsidRDefault="006B1681" w:rsidP="00332DF6">
            <w:pPr>
              <w:pStyle w:val="TableTextEntries"/>
            </w:pPr>
          </w:p>
        </w:tc>
        <w:tc>
          <w:tcPr>
            <w:tcW w:w="1840" w:type="dxa"/>
            <w:vMerge/>
            <w:hideMark/>
          </w:tcPr>
          <w:p w14:paraId="420DC7CC" w14:textId="77777777" w:rsidR="006B1681" w:rsidRPr="00332DF6" w:rsidRDefault="006B1681" w:rsidP="00332DF6">
            <w:pPr>
              <w:pStyle w:val="TableTextEntries"/>
            </w:pPr>
          </w:p>
        </w:tc>
        <w:tc>
          <w:tcPr>
            <w:tcW w:w="1128" w:type="dxa"/>
            <w:vMerge/>
            <w:hideMark/>
          </w:tcPr>
          <w:p w14:paraId="420DC7CD" w14:textId="77777777" w:rsidR="006B1681" w:rsidRPr="00332DF6" w:rsidRDefault="006B1681" w:rsidP="00332DF6">
            <w:pPr>
              <w:pStyle w:val="TableTextEntries"/>
            </w:pPr>
          </w:p>
        </w:tc>
        <w:tc>
          <w:tcPr>
            <w:tcW w:w="920" w:type="dxa"/>
            <w:noWrap/>
            <w:hideMark/>
          </w:tcPr>
          <w:p w14:paraId="420DC7CE" w14:textId="77777777" w:rsidR="006B1681" w:rsidRPr="00332DF6" w:rsidRDefault="006B1681" w:rsidP="00332DF6">
            <w:pPr>
              <w:pStyle w:val="TableTextEntries"/>
            </w:pPr>
            <w:r w:rsidRPr="00332DF6">
              <w:t>2012</w:t>
            </w:r>
          </w:p>
        </w:tc>
        <w:tc>
          <w:tcPr>
            <w:tcW w:w="894" w:type="dxa"/>
            <w:shd w:val="clear" w:color="auto" w:fill="FFFF00"/>
            <w:noWrap/>
            <w:hideMark/>
          </w:tcPr>
          <w:p w14:paraId="420DC7CF"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7D0"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7D1"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7D2"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7D3" w14:textId="77777777" w:rsidR="006B1681" w:rsidRPr="00332DF6" w:rsidRDefault="006B1681" w:rsidP="00152088">
            <w:pPr>
              <w:pStyle w:val="TableTextEntries"/>
              <w:jc w:val="center"/>
            </w:pPr>
            <w:r w:rsidRPr="00332DF6">
              <w:t>3</w:t>
            </w:r>
          </w:p>
        </w:tc>
        <w:tc>
          <w:tcPr>
            <w:tcW w:w="894" w:type="dxa"/>
            <w:shd w:val="clear" w:color="auto" w:fill="92D050"/>
            <w:noWrap/>
            <w:hideMark/>
          </w:tcPr>
          <w:p w14:paraId="420DC7D4" w14:textId="77777777" w:rsidR="006B1681" w:rsidRPr="00332DF6" w:rsidRDefault="006B1681" w:rsidP="00152088">
            <w:pPr>
              <w:pStyle w:val="TableTextEntries"/>
              <w:jc w:val="center"/>
            </w:pPr>
            <w:r w:rsidRPr="00332DF6">
              <w:t>5</w:t>
            </w:r>
          </w:p>
        </w:tc>
      </w:tr>
      <w:tr w:rsidR="006B1681" w:rsidRPr="00250BC3" w14:paraId="420DC7E1" w14:textId="77777777" w:rsidTr="00332DF6">
        <w:trPr>
          <w:tblHeader w:val="0"/>
        </w:trPr>
        <w:tc>
          <w:tcPr>
            <w:tcW w:w="2785" w:type="dxa"/>
            <w:vMerge w:val="restart"/>
            <w:hideMark/>
          </w:tcPr>
          <w:p w14:paraId="420DC7D6" w14:textId="77777777" w:rsidR="006B1681" w:rsidRPr="00332DF6" w:rsidRDefault="006B1681" w:rsidP="00332DF6">
            <w:pPr>
              <w:pStyle w:val="TableTextEntries"/>
            </w:pPr>
            <w:r w:rsidRPr="00332DF6">
              <w:t>Regional Public Financial Management</w:t>
            </w:r>
            <w:r w:rsidR="00464D90" w:rsidRPr="00332DF6">
              <w:t>—</w:t>
            </w:r>
            <w:r w:rsidRPr="00332DF6">
              <w:t>Pacific</w:t>
            </w:r>
          </w:p>
        </w:tc>
        <w:tc>
          <w:tcPr>
            <w:tcW w:w="887" w:type="dxa"/>
            <w:vMerge w:val="restart"/>
            <w:noWrap/>
            <w:hideMark/>
          </w:tcPr>
          <w:p w14:paraId="420DC7D7" w14:textId="77777777" w:rsidR="006B1681" w:rsidRPr="00332DF6" w:rsidRDefault="006B1681" w:rsidP="00332DF6">
            <w:pPr>
              <w:pStyle w:val="TableTextEntries"/>
            </w:pPr>
            <w:r w:rsidRPr="00332DF6">
              <w:t>INK730</w:t>
            </w:r>
          </w:p>
        </w:tc>
        <w:tc>
          <w:tcPr>
            <w:tcW w:w="1840" w:type="dxa"/>
            <w:vMerge w:val="restart"/>
            <w:hideMark/>
          </w:tcPr>
          <w:p w14:paraId="420DC7D8" w14:textId="77777777" w:rsidR="006B1681" w:rsidRPr="00332DF6" w:rsidRDefault="006B1681" w:rsidP="00332DF6">
            <w:pPr>
              <w:pStyle w:val="TableTextEntries"/>
            </w:pPr>
            <w:r w:rsidRPr="00332DF6">
              <w:t>$3,864,840.00</w:t>
            </w:r>
          </w:p>
        </w:tc>
        <w:tc>
          <w:tcPr>
            <w:tcW w:w="1128" w:type="dxa"/>
            <w:vMerge w:val="restart"/>
            <w:noWrap/>
            <w:hideMark/>
          </w:tcPr>
          <w:p w14:paraId="420DC7D9" w14:textId="77777777" w:rsidR="006B1681" w:rsidRPr="00332DF6" w:rsidRDefault="006B1681" w:rsidP="00332DF6">
            <w:pPr>
              <w:pStyle w:val="TableTextEntries"/>
            </w:pPr>
            <w:r w:rsidRPr="00332DF6">
              <w:t>2012</w:t>
            </w:r>
            <w:r w:rsidR="00C40272" w:rsidRPr="00332DF6">
              <w:t>–</w:t>
            </w:r>
            <w:r w:rsidRPr="00332DF6">
              <w:t>16</w:t>
            </w:r>
          </w:p>
        </w:tc>
        <w:tc>
          <w:tcPr>
            <w:tcW w:w="920" w:type="dxa"/>
            <w:noWrap/>
            <w:hideMark/>
          </w:tcPr>
          <w:p w14:paraId="420DC7DA" w14:textId="77777777" w:rsidR="006B1681" w:rsidRPr="00332DF6" w:rsidRDefault="006B1681" w:rsidP="00332DF6">
            <w:pPr>
              <w:pStyle w:val="TableTextEntries"/>
            </w:pPr>
            <w:r w:rsidRPr="00332DF6">
              <w:t>2011</w:t>
            </w:r>
          </w:p>
        </w:tc>
        <w:tc>
          <w:tcPr>
            <w:tcW w:w="894" w:type="dxa"/>
            <w:noWrap/>
            <w:hideMark/>
          </w:tcPr>
          <w:p w14:paraId="420DC7DB" w14:textId="77777777" w:rsidR="006B1681" w:rsidRPr="00332DF6" w:rsidRDefault="006B1681" w:rsidP="00152088">
            <w:pPr>
              <w:pStyle w:val="TableTextEntries"/>
              <w:jc w:val="center"/>
            </w:pPr>
            <w:r w:rsidRPr="00332DF6">
              <w:t>N/A</w:t>
            </w:r>
          </w:p>
        </w:tc>
        <w:tc>
          <w:tcPr>
            <w:tcW w:w="894" w:type="dxa"/>
            <w:noWrap/>
            <w:hideMark/>
          </w:tcPr>
          <w:p w14:paraId="420DC7DC" w14:textId="77777777" w:rsidR="006B1681" w:rsidRPr="00332DF6" w:rsidRDefault="006B1681" w:rsidP="00152088">
            <w:pPr>
              <w:pStyle w:val="TableTextEntries"/>
              <w:jc w:val="center"/>
            </w:pPr>
            <w:r w:rsidRPr="00332DF6">
              <w:t>N/A</w:t>
            </w:r>
          </w:p>
        </w:tc>
        <w:tc>
          <w:tcPr>
            <w:tcW w:w="894" w:type="dxa"/>
            <w:noWrap/>
            <w:hideMark/>
          </w:tcPr>
          <w:p w14:paraId="420DC7DD" w14:textId="77777777" w:rsidR="006B1681" w:rsidRPr="00332DF6" w:rsidRDefault="006B1681" w:rsidP="00152088">
            <w:pPr>
              <w:pStyle w:val="TableTextEntries"/>
              <w:jc w:val="center"/>
            </w:pPr>
            <w:r w:rsidRPr="00332DF6">
              <w:t>N/A</w:t>
            </w:r>
          </w:p>
        </w:tc>
        <w:tc>
          <w:tcPr>
            <w:tcW w:w="894" w:type="dxa"/>
            <w:noWrap/>
            <w:hideMark/>
          </w:tcPr>
          <w:p w14:paraId="420DC7DE" w14:textId="77777777" w:rsidR="006B1681" w:rsidRPr="00332DF6" w:rsidRDefault="006B1681" w:rsidP="00152088">
            <w:pPr>
              <w:pStyle w:val="TableTextEntries"/>
              <w:jc w:val="center"/>
            </w:pPr>
            <w:r w:rsidRPr="00332DF6">
              <w:t>N/A</w:t>
            </w:r>
          </w:p>
        </w:tc>
        <w:tc>
          <w:tcPr>
            <w:tcW w:w="894" w:type="dxa"/>
            <w:noWrap/>
            <w:hideMark/>
          </w:tcPr>
          <w:p w14:paraId="420DC7DF" w14:textId="77777777" w:rsidR="006B1681" w:rsidRPr="00332DF6" w:rsidRDefault="006B1681" w:rsidP="00152088">
            <w:pPr>
              <w:pStyle w:val="TableTextEntries"/>
              <w:jc w:val="center"/>
            </w:pPr>
            <w:r w:rsidRPr="00332DF6">
              <w:t>N/A</w:t>
            </w:r>
          </w:p>
        </w:tc>
        <w:tc>
          <w:tcPr>
            <w:tcW w:w="894" w:type="dxa"/>
            <w:noWrap/>
            <w:hideMark/>
          </w:tcPr>
          <w:p w14:paraId="420DC7E0" w14:textId="77777777" w:rsidR="006B1681" w:rsidRPr="00332DF6" w:rsidRDefault="006B1681" w:rsidP="00152088">
            <w:pPr>
              <w:pStyle w:val="TableTextEntries"/>
              <w:jc w:val="center"/>
            </w:pPr>
            <w:r w:rsidRPr="00332DF6">
              <w:t>N/A</w:t>
            </w:r>
          </w:p>
        </w:tc>
      </w:tr>
      <w:tr w:rsidR="006B1681" w:rsidRPr="00250BC3" w14:paraId="420DC7E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7E2" w14:textId="77777777" w:rsidR="006B1681" w:rsidRPr="00332DF6" w:rsidRDefault="006B1681" w:rsidP="00332DF6">
            <w:pPr>
              <w:pStyle w:val="TableTextEntries"/>
            </w:pPr>
          </w:p>
        </w:tc>
        <w:tc>
          <w:tcPr>
            <w:tcW w:w="887" w:type="dxa"/>
            <w:vMerge/>
            <w:hideMark/>
          </w:tcPr>
          <w:p w14:paraId="420DC7E3" w14:textId="77777777" w:rsidR="006B1681" w:rsidRPr="00332DF6" w:rsidRDefault="006B1681" w:rsidP="00332DF6">
            <w:pPr>
              <w:pStyle w:val="TableTextEntries"/>
            </w:pPr>
          </w:p>
        </w:tc>
        <w:tc>
          <w:tcPr>
            <w:tcW w:w="1840" w:type="dxa"/>
            <w:vMerge/>
            <w:hideMark/>
          </w:tcPr>
          <w:p w14:paraId="420DC7E4" w14:textId="77777777" w:rsidR="006B1681" w:rsidRPr="00332DF6" w:rsidRDefault="006B1681" w:rsidP="00332DF6">
            <w:pPr>
              <w:pStyle w:val="TableTextEntries"/>
            </w:pPr>
          </w:p>
        </w:tc>
        <w:tc>
          <w:tcPr>
            <w:tcW w:w="1128" w:type="dxa"/>
            <w:vMerge/>
            <w:hideMark/>
          </w:tcPr>
          <w:p w14:paraId="420DC7E5" w14:textId="77777777" w:rsidR="006B1681" w:rsidRPr="00332DF6" w:rsidRDefault="006B1681" w:rsidP="00332DF6">
            <w:pPr>
              <w:pStyle w:val="TableTextEntries"/>
            </w:pPr>
          </w:p>
        </w:tc>
        <w:tc>
          <w:tcPr>
            <w:tcW w:w="920" w:type="dxa"/>
            <w:noWrap/>
            <w:hideMark/>
          </w:tcPr>
          <w:p w14:paraId="420DC7E6" w14:textId="77777777" w:rsidR="006B1681" w:rsidRPr="00332DF6" w:rsidRDefault="006B1681" w:rsidP="00332DF6">
            <w:pPr>
              <w:pStyle w:val="TableTextEntries"/>
            </w:pPr>
            <w:r w:rsidRPr="00332DF6">
              <w:t>2012</w:t>
            </w:r>
          </w:p>
        </w:tc>
        <w:tc>
          <w:tcPr>
            <w:tcW w:w="894" w:type="dxa"/>
            <w:noWrap/>
            <w:hideMark/>
          </w:tcPr>
          <w:p w14:paraId="420DC7E7" w14:textId="77777777" w:rsidR="006B1681" w:rsidRPr="00332DF6" w:rsidRDefault="006B1681" w:rsidP="00152088">
            <w:pPr>
              <w:pStyle w:val="TableTextEntries"/>
              <w:jc w:val="center"/>
            </w:pPr>
            <w:r w:rsidRPr="00332DF6">
              <w:t>Exempt</w:t>
            </w:r>
          </w:p>
        </w:tc>
        <w:tc>
          <w:tcPr>
            <w:tcW w:w="894" w:type="dxa"/>
            <w:noWrap/>
            <w:hideMark/>
          </w:tcPr>
          <w:p w14:paraId="420DC7E8" w14:textId="77777777" w:rsidR="006B1681" w:rsidRPr="00332DF6" w:rsidRDefault="006B1681" w:rsidP="00152088">
            <w:pPr>
              <w:pStyle w:val="TableTextEntries"/>
              <w:jc w:val="center"/>
            </w:pPr>
            <w:r w:rsidRPr="00332DF6">
              <w:t>Exempt</w:t>
            </w:r>
          </w:p>
        </w:tc>
        <w:tc>
          <w:tcPr>
            <w:tcW w:w="894" w:type="dxa"/>
            <w:noWrap/>
            <w:hideMark/>
          </w:tcPr>
          <w:p w14:paraId="420DC7E9" w14:textId="77777777" w:rsidR="006B1681" w:rsidRPr="00332DF6" w:rsidRDefault="006B1681" w:rsidP="00152088">
            <w:pPr>
              <w:pStyle w:val="TableTextEntries"/>
              <w:jc w:val="center"/>
            </w:pPr>
            <w:r w:rsidRPr="00332DF6">
              <w:t>Exempt</w:t>
            </w:r>
          </w:p>
        </w:tc>
        <w:tc>
          <w:tcPr>
            <w:tcW w:w="894" w:type="dxa"/>
            <w:noWrap/>
            <w:hideMark/>
          </w:tcPr>
          <w:p w14:paraId="420DC7EA" w14:textId="77777777" w:rsidR="006B1681" w:rsidRPr="00332DF6" w:rsidRDefault="006B1681" w:rsidP="00152088">
            <w:pPr>
              <w:pStyle w:val="TableTextEntries"/>
              <w:jc w:val="center"/>
            </w:pPr>
            <w:r w:rsidRPr="00332DF6">
              <w:t>Exempt</w:t>
            </w:r>
          </w:p>
        </w:tc>
        <w:tc>
          <w:tcPr>
            <w:tcW w:w="894" w:type="dxa"/>
            <w:noWrap/>
            <w:hideMark/>
          </w:tcPr>
          <w:p w14:paraId="420DC7EB" w14:textId="77777777" w:rsidR="006B1681" w:rsidRPr="00332DF6" w:rsidRDefault="006B1681" w:rsidP="00152088">
            <w:pPr>
              <w:pStyle w:val="TableTextEntries"/>
              <w:jc w:val="center"/>
            </w:pPr>
            <w:r w:rsidRPr="00332DF6">
              <w:t>Exempt</w:t>
            </w:r>
          </w:p>
        </w:tc>
        <w:tc>
          <w:tcPr>
            <w:tcW w:w="894" w:type="dxa"/>
            <w:noWrap/>
            <w:hideMark/>
          </w:tcPr>
          <w:p w14:paraId="420DC7EC" w14:textId="77777777" w:rsidR="006B1681" w:rsidRPr="00332DF6" w:rsidRDefault="006B1681" w:rsidP="00152088">
            <w:pPr>
              <w:pStyle w:val="TableTextEntries"/>
              <w:jc w:val="center"/>
            </w:pPr>
            <w:r w:rsidRPr="00332DF6">
              <w:t>Exempt</w:t>
            </w:r>
          </w:p>
        </w:tc>
      </w:tr>
      <w:tr w:rsidR="006B1681" w:rsidRPr="00250BC3" w14:paraId="420DC7F9" w14:textId="77777777" w:rsidTr="00332DF6">
        <w:trPr>
          <w:tblHeader w:val="0"/>
        </w:trPr>
        <w:tc>
          <w:tcPr>
            <w:tcW w:w="2785" w:type="dxa"/>
            <w:vMerge w:val="restart"/>
            <w:hideMark/>
          </w:tcPr>
          <w:p w14:paraId="420DC7EE" w14:textId="77777777" w:rsidR="006B1681" w:rsidRPr="00332DF6" w:rsidRDefault="00E96687" w:rsidP="00332DF6">
            <w:pPr>
              <w:pStyle w:val="TableTextEntries"/>
            </w:pPr>
            <w:r w:rsidRPr="00332DF6">
              <w:t>Australia Awards Pacific Scholarships</w:t>
            </w:r>
          </w:p>
        </w:tc>
        <w:tc>
          <w:tcPr>
            <w:tcW w:w="887" w:type="dxa"/>
            <w:vMerge w:val="restart"/>
            <w:noWrap/>
            <w:hideMark/>
          </w:tcPr>
          <w:p w14:paraId="420DC7EF" w14:textId="77777777" w:rsidR="006B1681" w:rsidRPr="00332DF6" w:rsidRDefault="006B1681" w:rsidP="00332DF6">
            <w:pPr>
              <w:pStyle w:val="TableTextEntries"/>
            </w:pPr>
            <w:r w:rsidRPr="00332DF6">
              <w:t>INK467</w:t>
            </w:r>
          </w:p>
        </w:tc>
        <w:tc>
          <w:tcPr>
            <w:tcW w:w="1840" w:type="dxa"/>
            <w:vMerge w:val="restart"/>
            <w:hideMark/>
          </w:tcPr>
          <w:p w14:paraId="420DC7F0" w14:textId="77777777" w:rsidR="006B1681" w:rsidRPr="00332DF6" w:rsidRDefault="006B1681" w:rsidP="00332DF6">
            <w:pPr>
              <w:pStyle w:val="TableTextEntries"/>
            </w:pPr>
            <w:r w:rsidRPr="00332DF6">
              <w:t>$35,346,472.00</w:t>
            </w:r>
          </w:p>
        </w:tc>
        <w:tc>
          <w:tcPr>
            <w:tcW w:w="1128" w:type="dxa"/>
            <w:vMerge w:val="restart"/>
            <w:noWrap/>
            <w:hideMark/>
          </w:tcPr>
          <w:p w14:paraId="420DC7F1" w14:textId="77777777" w:rsidR="006B1681" w:rsidRPr="00332DF6" w:rsidRDefault="006B1681" w:rsidP="00332DF6">
            <w:pPr>
              <w:pStyle w:val="TableTextEntries"/>
            </w:pPr>
            <w:r w:rsidRPr="00332DF6">
              <w:t>2012</w:t>
            </w:r>
            <w:r w:rsidR="00C40272" w:rsidRPr="00332DF6">
              <w:t>–</w:t>
            </w:r>
            <w:r w:rsidRPr="00332DF6">
              <w:t>18</w:t>
            </w:r>
          </w:p>
        </w:tc>
        <w:tc>
          <w:tcPr>
            <w:tcW w:w="920" w:type="dxa"/>
            <w:noWrap/>
            <w:hideMark/>
          </w:tcPr>
          <w:p w14:paraId="420DC7F2" w14:textId="77777777" w:rsidR="006B1681" w:rsidRPr="00332DF6" w:rsidRDefault="006B1681" w:rsidP="00332DF6">
            <w:pPr>
              <w:pStyle w:val="TableTextEntries"/>
            </w:pPr>
            <w:r w:rsidRPr="00332DF6">
              <w:t>2011</w:t>
            </w:r>
          </w:p>
        </w:tc>
        <w:tc>
          <w:tcPr>
            <w:tcW w:w="894" w:type="dxa"/>
            <w:noWrap/>
            <w:hideMark/>
          </w:tcPr>
          <w:p w14:paraId="420DC7F3" w14:textId="77777777" w:rsidR="006B1681" w:rsidRPr="00332DF6" w:rsidRDefault="006B1681" w:rsidP="00152088">
            <w:pPr>
              <w:pStyle w:val="TableTextEntries"/>
              <w:jc w:val="center"/>
            </w:pPr>
            <w:r w:rsidRPr="00332DF6">
              <w:t>N/A</w:t>
            </w:r>
          </w:p>
        </w:tc>
        <w:tc>
          <w:tcPr>
            <w:tcW w:w="894" w:type="dxa"/>
            <w:noWrap/>
            <w:hideMark/>
          </w:tcPr>
          <w:p w14:paraId="420DC7F4" w14:textId="77777777" w:rsidR="006B1681" w:rsidRPr="00332DF6" w:rsidRDefault="006B1681" w:rsidP="00152088">
            <w:pPr>
              <w:pStyle w:val="TableTextEntries"/>
              <w:jc w:val="center"/>
            </w:pPr>
            <w:r w:rsidRPr="00332DF6">
              <w:t>N/A</w:t>
            </w:r>
          </w:p>
        </w:tc>
        <w:tc>
          <w:tcPr>
            <w:tcW w:w="894" w:type="dxa"/>
            <w:noWrap/>
            <w:hideMark/>
          </w:tcPr>
          <w:p w14:paraId="420DC7F5" w14:textId="77777777" w:rsidR="006B1681" w:rsidRPr="00332DF6" w:rsidRDefault="006B1681" w:rsidP="00152088">
            <w:pPr>
              <w:pStyle w:val="TableTextEntries"/>
              <w:jc w:val="center"/>
            </w:pPr>
            <w:r w:rsidRPr="00332DF6">
              <w:t>N/A</w:t>
            </w:r>
          </w:p>
        </w:tc>
        <w:tc>
          <w:tcPr>
            <w:tcW w:w="894" w:type="dxa"/>
            <w:noWrap/>
            <w:hideMark/>
          </w:tcPr>
          <w:p w14:paraId="420DC7F6" w14:textId="77777777" w:rsidR="006B1681" w:rsidRPr="00332DF6" w:rsidRDefault="006B1681" w:rsidP="00152088">
            <w:pPr>
              <w:pStyle w:val="TableTextEntries"/>
              <w:jc w:val="center"/>
            </w:pPr>
            <w:r w:rsidRPr="00332DF6">
              <w:t>N/A</w:t>
            </w:r>
          </w:p>
        </w:tc>
        <w:tc>
          <w:tcPr>
            <w:tcW w:w="894" w:type="dxa"/>
            <w:noWrap/>
            <w:hideMark/>
          </w:tcPr>
          <w:p w14:paraId="420DC7F7" w14:textId="77777777" w:rsidR="006B1681" w:rsidRPr="00332DF6" w:rsidRDefault="006B1681" w:rsidP="00152088">
            <w:pPr>
              <w:pStyle w:val="TableTextEntries"/>
              <w:jc w:val="center"/>
            </w:pPr>
            <w:r w:rsidRPr="00332DF6">
              <w:t>N/A</w:t>
            </w:r>
          </w:p>
        </w:tc>
        <w:tc>
          <w:tcPr>
            <w:tcW w:w="894" w:type="dxa"/>
            <w:noWrap/>
            <w:hideMark/>
          </w:tcPr>
          <w:p w14:paraId="420DC7F8" w14:textId="77777777" w:rsidR="006B1681" w:rsidRPr="00332DF6" w:rsidRDefault="006B1681" w:rsidP="00152088">
            <w:pPr>
              <w:pStyle w:val="TableTextEntries"/>
              <w:jc w:val="center"/>
            </w:pPr>
            <w:r w:rsidRPr="00332DF6">
              <w:t>N/A</w:t>
            </w:r>
          </w:p>
        </w:tc>
      </w:tr>
      <w:tr w:rsidR="006B1681" w:rsidRPr="00250BC3" w14:paraId="420DC80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7FA" w14:textId="77777777" w:rsidR="006B1681" w:rsidRPr="00332DF6" w:rsidRDefault="006B1681" w:rsidP="00332DF6">
            <w:pPr>
              <w:pStyle w:val="TableTextEntries"/>
            </w:pPr>
          </w:p>
        </w:tc>
        <w:tc>
          <w:tcPr>
            <w:tcW w:w="887" w:type="dxa"/>
            <w:vMerge/>
            <w:hideMark/>
          </w:tcPr>
          <w:p w14:paraId="420DC7FB" w14:textId="77777777" w:rsidR="006B1681" w:rsidRPr="00332DF6" w:rsidRDefault="006B1681" w:rsidP="00332DF6">
            <w:pPr>
              <w:pStyle w:val="TableTextEntries"/>
            </w:pPr>
          </w:p>
        </w:tc>
        <w:tc>
          <w:tcPr>
            <w:tcW w:w="1840" w:type="dxa"/>
            <w:vMerge/>
            <w:hideMark/>
          </w:tcPr>
          <w:p w14:paraId="420DC7FC" w14:textId="77777777" w:rsidR="006B1681" w:rsidRPr="00332DF6" w:rsidRDefault="006B1681" w:rsidP="00332DF6">
            <w:pPr>
              <w:pStyle w:val="TableTextEntries"/>
            </w:pPr>
          </w:p>
        </w:tc>
        <w:tc>
          <w:tcPr>
            <w:tcW w:w="1128" w:type="dxa"/>
            <w:vMerge/>
            <w:hideMark/>
          </w:tcPr>
          <w:p w14:paraId="420DC7FD" w14:textId="77777777" w:rsidR="006B1681" w:rsidRPr="00332DF6" w:rsidRDefault="006B1681" w:rsidP="00332DF6">
            <w:pPr>
              <w:pStyle w:val="TableTextEntries"/>
            </w:pPr>
          </w:p>
        </w:tc>
        <w:tc>
          <w:tcPr>
            <w:tcW w:w="920" w:type="dxa"/>
            <w:noWrap/>
            <w:hideMark/>
          </w:tcPr>
          <w:p w14:paraId="420DC7FE" w14:textId="77777777" w:rsidR="006B1681" w:rsidRPr="00332DF6" w:rsidRDefault="006B1681" w:rsidP="00332DF6">
            <w:pPr>
              <w:pStyle w:val="TableTextEntries"/>
            </w:pPr>
            <w:r w:rsidRPr="00332DF6">
              <w:t>2012</w:t>
            </w:r>
          </w:p>
        </w:tc>
        <w:tc>
          <w:tcPr>
            <w:tcW w:w="894" w:type="dxa"/>
            <w:noWrap/>
            <w:hideMark/>
          </w:tcPr>
          <w:p w14:paraId="420DC7FF" w14:textId="77777777" w:rsidR="006B1681" w:rsidRPr="00332DF6" w:rsidRDefault="006B1681" w:rsidP="00152088">
            <w:pPr>
              <w:pStyle w:val="TableTextEntries"/>
              <w:jc w:val="center"/>
            </w:pPr>
            <w:r w:rsidRPr="00332DF6">
              <w:t>Exempt</w:t>
            </w:r>
          </w:p>
        </w:tc>
        <w:tc>
          <w:tcPr>
            <w:tcW w:w="894" w:type="dxa"/>
            <w:noWrap/>
            <w:hideMark/>
          </w:tcPr>
          <w:p w14:paraId="420DC800" w14:textId="77777777" w:rsidR="006B1681" w:rsidRPr="00332DF6" w:rsidRDefault="006B1681" w:rsidP="00152088">
            <w:pPr>
              <w:pStyle w:val="TableTextEntries"/>
              <w:jc w:val="center"/>
            </w:pPr>
            <w:r w:rsidRPr="00332DF6">
              <w:t>Exempt</w:t>
            </w:r>
          </w:p>
        </w:tc>
        <w:tc>
          <w:tcPr>
            <w:tcW w:w="894" w:type="dxa"/>
            <w:noWrap/>
            <w:hideMark/>
          </w:tcPr>
          <w:p w14:paraId="420DC801" w14:textId="77777777" w:rsidR="006B1681" w:rsidRPr="00332DF6" w:rsidRDefault="006B1681" w:rsidP="00152088">
            <w:pPr>
              <w:pStyle w:val="TableTextEntries"/>
              <w:jc w:val="center"/>
            </w:pPr>
            <w:r w:rsidRPr="00332DF6">
              <w:t>Exempt</w:t>
            </w:r>
          </w:p>
        </w:tc>
        <w:tc>
          <w:tcPr>
            <w:tcW w:w="894" w:type="dxa"/>
            <w:noWrap/>
            <w:hideMark/>
          </w:tcPr>
          <w:p w14:paraId="420DC802" w14:textId="77777777" w:rsidR="006B1681" w:rsidRPr="00332DF6" w:rsidRDefault="006B1681" w:rsidP="00152088">
            <w:pPr>
              <w:pStyle w:val="TableTextEntries"/>
              <w:jc w:val="center"/>
            </w:pPr>
            <w:r w:rsidRPr="00332DF6">
              <w:t>Exempt</w:t>
            </w:r>
          </w:p>
        </w:tc>
        <w:tc>
          <w:tcPr>
            <w:tcW w:w="894" w:type="dxa"/>
            <w:noWrap/>
            <w:hideMark/>
          </w:tcPr>
          <w:p w14:paraId="420DC803" w14:textId="77777777" w:rsidR="006B1681" w:rsidRPr="00332DF6" w:rsidRDefault="006B1681" w:rsidP="00152088">
            <w:pPr>
              <w:pStyle w:val="TableTextEntries"/>
              <w:jc w:val="center"/>
            </w:pPr>
            <w:r w:rsidRPr="00332DF6">
              <w:t>Exempt</w:t>
            </w:r>
          </w:p>
        </w:tc>
        <w:tc>
          <w:tcPr>
            <w:tcW w:w="894" w:type="dxa"/>
            <w:noWrap/>
            <w:hideMark/>
          </w:tcPr>
          <w:p w14:paraId="420DC804" w14:textId="77777777" w:rsidR="006B1681" w:rsidRPr="00332DF6" w:rsidRDefault="006B1681" w:rsidP="00152088">
            <w:pPr>
              <w:pStyle w:val="TableTextEntries"/>
              <w:jc w:val="center"/>
            </w:pPr>
            <w:r w:rsidRPr="00332DF6">
              <w:t>Exempt</w:t>
            </w:r>
          </w:p>
        </w:tc>
      </w:tr>
      <w:tr w:rsidR="006B1681" w:rsidRPr="00250BC3" w14:paraId="420DC811" w14:textId="77777777" w:rsidTr="00A84A34">
        <w:trPr>
          <w:tblHeader w:val="0"/>
        </w:trPr>
        <w:tc>
          <w:tcPr>
            <w:tcW w:w="2785" w:type="dxa"/>
            <w:vMerge w:val="restart"/>
            <w:hideMark/>
          </w:tcPr>
          <w:p w14:paraId="420DC806" w14:textId="77777777" w:rsidR="006B1681" w:rsidRPr="00332DF6" w:rsidRDefault="006B1681" w:rsidP="00332DF6">
            <w:pPr>
              <w:pStyle w:val="TableTextEntries"/>
            </w:pPr>
            <w:r w:rsidRPr="00332DF6">
              <w:t>Australia-Pacific Technical College Stage 2</w:t>
            </w:r>
          </w:p>
        </w:tc>
        <w:tc>
          <w:tcPr>
            <w:tcW w:w="887" w:type="dxa"/>
            <w:vMerge w:val="restart"/>
            <w:noWrap/>
            <w:hideMark/>
          </w:tcPr>
          <w:p w14:paraId="420DC807" w14:textId="77777777" w:rsidR="006B1681" w:rsidRPr="00332DF6" w:rsidRDefault="006B1681" w:rsidP="00332DF6">
            <w:pPr>
              <w:pStyle w:val="TableTextEntries"/>
            </w:pPr>
            <w:r w:rsidRPr="00332DF6">
              <w:t>INJ862</w:t>
            </w:r>
          </w:p>
        </w:tc>
        <w:tc>
          <w:tcPr>
            <w:tcW w:w="1840" w:type="dxa"/>
            <w:vMerge w:val="restart"/>
            <w:hideMark/>
          </w:tcPr>
          <w:p w14:paraId="420DC808" w14:textId="77777777" w:rsidR="006B1681" w:rsidRPr="00332DF6" w:rsidRDefault="006B1681" w:rsidP="00332DF6">
            <w:pPr>
              <w:pStyle w:val="TableTextEntries"/>
            </w:pPr>
            <w:r w:rsidRPr="00332DF6">
              <w:t>$152,000,000.00</w:t>
            </w:r>
          </w:p>
        </w:tc>
        <w:tc>
          <w:tcPr>
            <w:tcW w:w="1128" w:type="dxa"/>
            <w:vMerge w:val="restart"/>
            <w:noWrap/>
            <w:hideMark/>
          </w:tcPr>
          <w:p w14:paraId="420DC809" w14:textId="77777777" w:rsidR="006B1681" w:rsidRPr="00332DF6" w:rsidRDefault="006B1681" w:rsidP="00332DF6">
            <w:pPr>
              <w:pStyle w:val="TableTextEntries"/>
            </w:pPr>
            <w:r w:rsidRPr="00332DF6">
              <w:t>2011</w:t>
            </w:r>
            <w:r w:rsidR="00C40272" w:rsidRPr="00332DF6">
              <w:t>–</w:t>
            </w:r>
            <w:r w:rsidRPr="00332DF6">
              <w:t>15</w:t>
            </w:r>
          </w:p>
        </w:tc>
        <w:tc>
          <w:tcPr>
            <w:tcW w:w="920" w:type="dxa"/>
            <w:noWrap/>
            <w:hideMark/>
          </w:tcPr>
          <w:p w14:paraId="420DC80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80B"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80C" w14:textId="77777777" w:rsidR="006B1681" w:rsidRPr="00332DF6" w:rsidRDefault="006B1681" w:rsidP="00152088">
            <w:pPr>
              <w:pStyle w:val="TableTextEntries"/>
              <w:jc w:val="center"/>
            </w:pPr>
            <w:r w:rsidRPr="00332DF6">
              <w:t>5</w:t>
            </w:r>
          </w:p>
        </w:tc>
        <w:tc>
          <w:tcPr>
            <w:tcW w:w="894" w:type="dxa"/>
            <w:noWrap/>
            <w:hideMark/>
          </w:tcPr>
          <w:p w14:paraId="420DC80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80E"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80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810" w14:textId="77777777" w:rsidR="006B1681" w:rsidRPr="00332DF6" w:rsidRDefault="006B1681" w:rsidP="00152088">
            <w:pPr>
              <w:pStyle w:val="TableTextEntries"/>
              <w:jc w:val="center"/>
            </w:pPr>
            <w:r w:rsidRPr="00332DF6">
              <w:t>5</w:t>
            </w:r>
          </w:p>
        </w:tc>
      </w:tr>
      <w:tr w:rsidR="006B1681" w:rsidRPr="00250BC3" w14:paraId="420DC81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12" w14:textId="77777777" w:rsidR="006B1681" w:rsidRPr="00332DF6" w:rsidRDefault="006B1681" w:rsidP="00332DF6">
            <w:pPr>
              <w:pStyle w:val="TableTextEntries"/>
            </w:pPr>
          </w:p>
        </w:tc>
        <w:tc>
          <w:tcPr>
            <w:tcW w:w="887" w:type="dxa"/>
            <w:vMerge/>
            <w:hideMark/>
          </w:tcPr>
          <w:p w14:paraId="420DC813" w14:textId="77777777" w:rsidR="006B1681" w:rsidRPr="00332DF6" w:rsidRDefault="006B1681" w:rsidP="00332DF6">
            <w:pPr>
              <w:pStyle w:val="TableTextEntries"/>
            </w:pPr>
          </w:p>
        </w:tc>
        <w:tc>
          <w:tcPr>
            <w:tcW w:w="1840" w:type="dxa"/>
            <w:vMerge/>
            <w:hideMark/>
          </w:tcPr>
          <w:p w14:paraId="420DC814" w14:textId="77777777" w:rsidR="006B1681" w:rsidRPr="00332DF6" w:rsidRDefault="006B1681" w:rsidP="00332DF6">
            <w:pPr>
              <w:pStyle w:val="TableTextEntries"/>
            </w:pPr>
          </w:p>
        </w:tc>
        <w:tc>
          <w:tcPr>
            <w:tcW w:w="1128" w:type="dxa"/>
            <w:vMerge/>
            <w:hideMark/>
          </w:tcPr>
          <w:p w14:paraId="420DC815" w14:textId="77777777" w:rsidR="006B1681" w:rsidRPr="00332DF6" w:rsidRDefault="006B1681" w:rsidP="00332DF6">
            <w:pPr>
              <w:pStyle w:val="TableTextEntries"/>
            </w:pPr>
          </w:p>
        </w:tc>
        <w:tc>
          <w:tcPr>
            <w:tcW w:w="920" w:type="dxa"/>
            <w:noWrap/>
            <w:hideMark/>
          </w:tcPr>
          <w:p w14:paraId="420DC816" w14:textId="77777777" w:rsidR="006B1681" w:rsidRPr="00332DF6" w:rsidRDefault="006B1681" w:rsidP="00332DF6">
            <w:pPr>
              <w:pStyle w:val="TableTextEntries"/>
            </w:pPr>
            <w:r w:rsidRPr="00332DF6">
              <w:t>2012</w:t>
            </w:r>
          </w:p>
        </w:tc>
        <w:tc>
          <w:tcPr>
            <w:tcW w:w="894" w:type="dxa"/>
            <w:shd w:val="clear" w:color="auto" w:fill="92D050"/>
            <w:noWrap/>
            <w:hideMark/>
          </w:tcPr>
          <w:p w14:paraId="420DC817"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818"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819"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81A"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1B"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81C" w14:textId="77777777" w:rsidR="006B1681" w:rsidRPr="00332DF6" w:rsidRDefault="006B1681" w:rsidP="00152088">
            <w:pPr>
              <w:pStyle w:val="TableTextEntries"/>
              <w:jc w:val="center"/>
            </w:pPr>
            <w:r w:rsidRPr="00332DF6">
              <w:t>5</w:t>
            </w:r>
          </w:p>
        </w:tc>
      </w:tr>
      <w:tr w:rsidR="006B1681" w:rsidRPr="00250BC3" w14:paraId="420DC829" w14:textId="77777777" w:rsidTr="00A84A34">
        <w:trPr>
          <w:tblHeader w:val="0"/>
        </w:trPr>
        <w:tc>
          <w:tcPr>
            <w:tcW w:w="2785" w:type="dxa"/>
            <w:vMerge w:val="restart"/>
            <w:hideMark/>
          </w:tcPr>
          <w:p w14:paraId="420DC81E" w14:textId="77777777" w:rsidR="006B1681" w:rsidRPr="00332DF6" w:rsidRDefault="006B1681" w:rsidP="00332DF6">
            <w:pPr>
              <w:pStyle w:val="TableTextEntries"/>
            </w:pPr>
            <w:r w:rsidRPr="00332DF6">
              <w:t>State Society and Governance Melanesia</w:t>
            </w:r>
          </w:p>
        </w:tc>
        <w:tc>
          <w:tcPr>
            <w:tcW w:w="887" w:type="dxa"/>
            <w:vMerge w:val="restart"/>
            <w:noWrap/>
            <w:hideMark/>
          </w:tcPr>
          <w:p w14:paraId="420DC81F" w14:textId="77777777" w:rsidR="006B1681" w:rsidRPr="00332DF6" w:rsidRDefault="006B1681" w:rsidP="00332DF6">
            <w:pPr>
              <w:pStyle w:val="TableTextEntries"/>
            </w:pPr>
            <w:r w:rsidRPr="00332DF6">
              <w:t>INC471</w:t>
            </w:r>
          </w:p>
        </w:tc>
        <w:tc>
          <w:tcPr>
            <w:tcW w:w="1840" w:type="dxa"/>
            <w:vMerge w:val="restart"/>
            <w:hideMark/>
          </w:tcPr>
          <w:p w14:paraId="420DC820" w14:textId="77777777" w:rsidR="006B1681" w:rsidRPr="00332DF6" w:rsidRDefault="006B1681" w:rsidP="00332DF6">
            <w:pPr>
              <w:pStyle w:val="TableTextEntries"/>
            </w:pPr>
            <w:r w:rsidRPr="00332DF6">
              <w:t>$8,582,620.66</w:t>
            </w:r>
          </w:p>
        </w:tc>
        <w:tc>
          <w:tcPr>
            <w:tcW w:w="1128" w:type="dxa"/>
            <w:vMerge w:val="restart"/>
            <w:noWrap/>
            <w:hideMark/>
          </w:tcPr>
          <w:p w14:paraId="420DC821" w14:textId="77777777" w:rsidR="006B1681" w:rsidRPr="00332DF6" w:rsidRDefault="006B1681" w:rsidP="00332DF6">
            <w:pPr>
              <w:pStyle w:val="TableTextEntries"/>
            </w:pPr>
            <w:r w:rsidRPr="00332DF6">
              <w:t>1995</w:t>
            </w:r>
            <w:r w:rsidR="00C40272" w:rsidRPr="00332DF6">
              <w:t>–</w:t>
            </w:r>
            <w:r w:rsidRPr="00332DF6">
              <w:t>2012</w:t>
            </w:r>
          </w:p>
        </w:tc>
        <w:tc>
          <w:tcPr>
            <w:tcW w:w="920" w:type="dxa"/>
            <w:noWrap/>
            <w:hideMark/>
          </w:tcPr>
          <w:p w14:paraId="420DC82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82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79646" w:themeFill="accent6"/>
            <w:noWrap/>
            <w:hideMark/>
          </w:tcPr>
          <w:p w14:paraId="420DC824"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82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0000"/>
            <w:noWrap/>
            <w:hideMark/>
          </w:tcPr>
          <w:p w14:paraId="420DC826"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92D050"/>
            <w:noWrap/>
            <w:hideMark/>
          </w:tcPr>
          <w:p w14:paraId="420DC827"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0000"/>
            <w:noWrap/>
            <w:hideMark/>
          </w:tcPr>
          <w:p w14:paraId="420DC828" w14:textId="77777777" w:rsidR="006B1681" w:rsidRPr="00332DF6" w:rsidRDefault="006B1681" w:rsidP="00152088">
            <w:pPr>
              <w:pStyle w:val="TableTextEntries"/>
              <w:jc w:val="center"/>
            </w:pPr>
            <w:r w:rsidRPr="00332DF6">
              <w:t>2</w:t>
            </w:r>
          </w:p>
        </w:tc>
      </w:tr>
      <w:tr w:rsidR="006B1681" w:rsidRPr="00250BC3" w14:paraId="420DC83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2A" w14:textId="77777777" w:rsidR="006B1681" w:rsidRPr="00332DF6" w:rsidRDefault="006B1681" w:rsidP="00332DF6">
            <w:pPr>
              <w:pStyle w:val="TableTextEntries"/>
            </w:pPr>
          </w:p>
        </w:tc>
        <w:tc>
          <w:tcPr>
            <w:tcW w:w="887" w:type="dxa"/>
            <w:vMerge/>
            <w:hideMark/>
          </w:tcPr>
          <w:p w14:paraId="420DC82B" w14:textId="77777777" w:rsidR="006B1681" w:rsidRPr="00332DF6" w:rsidRDefault="006B1681" w:rsidP="00332DF6">
            <w:pPr>
              <w:pStyle w:val="TableTextEntries"/>
            </w:pPr>
          </w:p>
        </w:tc>
        <w:tc>
          <w:tcPr>
            <w:tcW w:w="1840" w:type="dxa"/>
            <w:vMerge/>
            <w:hideMark/>
          </w:tcPr>
          <w:p w14:paraId="420DC82C" w14:textId="77777777" w:rsidR="006B1681" w:rsidRPr="00332DF6" w:rsidRDefault="006B1681" w:rsidP="00332DF6">
            <w:pPr>
              <w:pStyle w:val="TableTextEntries"/>
            </w:pPr>
          </w:p>
        </w:tc>
        <w:tc>
          <w:tcPr>
            <w:tcW w:w="1128" w:type="dxa"/>
            <w:vMerge/>
            <w:hideMark/>
          </w:tcPr>
          <w:p w14:paraId="420DC82D" w14:textId="77777777" w:rsidR="006B1681" w:rsidRPr="00332DF6" w:rsidRDefault="006B1681" w:rsidP="00332DF6">
            <w:pPr>
              <w:pStyle w:val="TableTextEntries"/>
            </w:pPr>
          </w:p>
        </w:tc>
        <w:tc>
          <w:tcPr>
            <w:tcW w:w="920" w:type="dxa"/>
            <w:noWrap/>
            <w:hideMark/>
          </w:tcPr>
          <w:p w14:paraId="420DC82E" w14:textId="77777777" w:rsidR="006B1681" w:rsidRPr="00332DF6" w:rsidRDefault="006B1681" w:rsidP="00332DF6">
            <w:pPr>
              <w:pStyle w:val="TableTextEntries"/>
            </w:pPr>
            <w:r w:rsidRPr="00332DF6">
              <w:t>2012</w:t>
            </w:r>
          </w:p>
        </w:tc>
        <w:tc>
          <w:tcPr>
            <w:tcW w:w="894" w:type="dxa"/>
            <w:shd w:val="clear" w:color="auto" w:fill="92D050"/>
            <w:noWrap/>
            <w:hideMark/>
          </w:tcPr>
          <w:p w14:paraId="420DC82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83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31"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832" w14:textId="77777777" w:rsidR="006B1681" w:rsidRPr="00332DF6" w:rsidRDefault="006B1681" w:rsidP="00152088">
            <w:pPr>
              <w:pStyle w:val="TableTextEntries"/>
              <w:jc w:val="center"/>
            </w:pPr>
            <w:r w:rsidRPr="00332DF6">
              <w:t>3</w:t>
            </w:r>
          </w:p>
        </w:tc>
        <w:tc>
          <w:tcPr>
            <w:tcW w:w="894" w:type="dxa"/>
            <w:shd w:val="clear" w:color="auto" w:fill="92D050"/>
            <w:noWrap/>
            <w:hideMark/>
          </w:tcPr>
          <w:p w14:paraId="420DC833"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34" w14:textId="77777777" w:rsidR="006B1681" w:rsidRPr="00332DF6" w:rsidRDefault="006B1681" w:rsidP="00152088">
            <w:pPr>
              <w:pStyle w:val="TableTextEntries"/>
              <w:jc w:val="center"/>
            </w:pPr>
            <w:r w:rsidRPr="00332DF6">
              <w:t>4</w:t>
            </w:r>
          </w:p>
        </w:tc>
      </w:tr>
      <w:tr w:rsidR="006B1681" w:rsidRPr="00250BC3" w14:paraId="420DC841" w14:textId="77777777" w:rsidTr="00332DF6">
        <w:trPr>
          <w:tblHeader w:val="0"/>
        </w:trPr>
        <w:tc>
          <w:tcPr>
            <w:tcW w:w="2785" w:type="dxa"/>
            <w:vMerge w:val="restart"/>
            <w:hideMark/>
          </w:tcPr>
          <w:p w14:paraId="420DC836" w14:textId="77777777" w:rsidR="006B1681" w:rsidRPr="00332DF6" w:rsidRDefault="006B1681" w:rsidP="00332DF6">
            <w:pPr>
              <w:pStyle w:val="TableTextEntries"/>
            </w:pPr>
            <w:r w:rsidRPr="00332DF6">
              <w:t>Pacific Technical Expertise initiative</w:t>
            </w:r>
          </w:p>
        </w:tc>
        <w:tc>
          <w:tcPr>
            <w:tcW w:w="887" w:type="dxa"/>
            <w:vMerge w:val="restart"/>
            <w:noWrap/>
            <w:hideMark/>
          </w:tcPr>
          <w:p w14:paraId="420DC837" w14:textId="77777777" w:rsidR="006B1681" w:rsidRPr="00332DF6" w:rsidRDefault="006B1681" w:rsidP="00332DF6">
            <w:pPr>
              <w:pStyle w:val="TableTextEntries"/>
            </w:pPr>
            <w:r w:rsidRPr="00332DF6">
              <w:t>INB902</w:t>
            </w:r>
          </w:p>
        </w:tc>
        <w:tc>
          <w:tcPr>
            <w:tcW w:w="1840" w:type="dxa"/>
            <w:vMerge w:val="restart"/>
            <w:hideMark/>
          </w:tcPr>
          <w:p w14:paraId="420DC838" w14:textId="77777777" w:rsidR="006B1681" w:rsidRPr="00332DF6" w:rsidRDefault="006B1681" w:rsidP="00332DF6">
            <w:pPr>
              <w:pStyle w:val="TableTextEntries"/>
            </w:pPr>
            <w:r w:rsidRPr="00332DF6">
              <w:t>$4,911,263.50</w:t>
            </w:r>
          </w:p>
        </w:tc>
        <w:tc>
          <w:tcPr>
            <w:tcW w:w="1128" w:type="dxa"/>
            <w:vMerge w:val="restart"/>
            <w:noWrap/>
            <w:hideMark/>
          </w:tcPr>
          <w:p w14:paraId="420DC839" w14:textId="77777777" w:rsidR="006B1681" w:rsidRPr="00332DF6" w:rsidRDefault="006B1681" w:rsidP="00332DF6">
            <w:pPr>
              <w:pStyle w:val="TableTextEntries"/>
            </w:pPr>
            <w:r w:rsidRPr="00332DF6">
              <w:t>1990</w:t>
            </w:r>
            <w:r w:rsidR="00C40272" w:rsidRPr="00332DF6">
              <w:t>–</w:t>
            </w:r>
            <w:r w:rsidRPr="00332DF6">
              <w:t>2013</w:t>
            </w:r>
          </w:p>
        </w:tc>
        <w:tc>
          <w:tcPr>
            <w:tcW w:w="920" w:type="dxa"/>
            <w:noWrap/>
            <w:hideMark/>
          </w:tcPr>
          <w:p w14:paraId="420DC83A" w14:textId="77777777" w:rsidR="006B1681" w:rsidRPr="00332DF6" w:rsidRDefault="006B1681" w:rsidP="00332DF6">
            <w:pPr>
              <w:pStyle w:val="TableTextEntries"/>
            </w:pPr>
            <w:r w:rsidRPr="00332DF6">
              <w:t>2011</w:t>
            </w:r>
          </w:p>
        </w:tc>
        <w:tc>
          <w:tcPr>
            <w:tcW w:w="894" w:type="dxa"/>
            <w:noWrap/>
            <w:hideMark/>
          </w:tcPr>
          <w:p w14:paraId="420DC83B" w14:textId="77777777" w:rsidR="006B1681" w:rsidRPr="00332DF6" w:rsidRDefault="006B1681" w:rsidP="00152088">
            <w:pPr>
              <w:pStyle w:val="TableTextEntries"/>
              <w:jc w:val="center"/>
            </w:pPr>
            <w:r w:rsidRPr="00332DF6">
              <w:t>Expired</w:t>
            </w:r>
          </w:p>
        </w:tc>
        <w:tc>
          <w:tcPr>
            <w:tcW w:w="894" w:type="dxa"/>
            <w:noWrap/>
            <w:hideMark/>
          </w:tcPr>
          <w:p w14:paraId="420DC83C" w14:textId="77777777" w:rsidR="006B1681" w:rsidRPr="00332DF6" w:rsidRDefault="006B1681" w:rsidP="00152088">
            <w:pPr>
              <w:pStyle w:val="TableTextEntries"/>
              <w:jc w:val="center"/>
            </w:pPr>
            <w:r w:rsidRPr="00332DF6">
              <w:t>Expired</w:t>
            </w:r>
          </w:p>
        </w:tc>
        <w:tc>
          <w:tcPr>
            <w:tcW w:w="894" w:type="dxa"/>
            <w:noWrap/>
            <w:hideMark/>
          </w:tcPr>
          <w:p w14:paraId="420DC83D" w14:textId="77777777" w:rsidR="006B1681" w:rsidRPr="00332DF6" w:rsidRDefault="006B1681" w:rsidP="00152088">
            <w:pPr>
              <w:pStyle w:val="TableTextEntries"/>
              <w:jc w:val="center"/>
            </w:pPr>
            <w:r w:rsidRPr="00332DF6">
              <w:t>Expired</w:t>
            </w:r>
          </w:p>
        </w:tc>
        <w:tc>
          <w:tcPr>
            <w:tcW w:w="894" w:type="dxa"/>
            <w:noWrap/>
            <w:hideMark/>
          </w:tcPr>
          <w:p w14:paraId="420DC83E" w14:textId="77777777" w:rsidR="006B1681" w:rsidRPr="00332DF6" w:rsidRDefault="006B1681" w:rsidP="00152088">
            <w:pPr>
              <w:pStyle w:val="TableTextEntries"/>
              <w:jc w:val="center"/>
            </w:pPr>
            <w:r w:rsidRPr="00332DF6">
              <w:t>Expired</w:t>
            </w:r>
          </w:p>
        </w:tc>
        <w:tc>
          <w:tcPr>
            <w:tcW w:w="894" w:type="dxa"/>
            <w:noWrap/>
            <w:hideMark/>
          </w:tcPr>
          <w:p w14:paraId="420DC83F" w14:textId="77777777" w:rsidR="006B1681" w:rsidRPr="00332DF6" w:rsidRDefault="006B1681" w:rsidP="00152088">
            <w:pPr>
              <w:pStyle w:val="TableTextEntries"/>
              <w:jc w:val="center"/>
            </w:pPr>
            <w:r w:rsidRPr="00332DF6">
              <w:t>Expired</w:t>
            </w:r>
          </w:p>
        </w:tc>
        <w:tc>
          <w:tcPr>
            <w:tcW w:w="894" w:type="dxa"/>
            <w:noWrap/>
            <w:hideMark/>
          </w:tcPr>
          <w:p w14:paraId="420DC840" w14:textId="77777777" w:rsidR="006B1681" w:rsidRPr="00332DF6" w:rsidRDefault="006B1681" w:rsidP="00152088">
            <w:pPr>
              <w:pStyle w:val="TableTextEntries"/>
              <w:jc w:val="center"/>
            </w:pPr>
            <w:r w:rsidRPr="00332DF6">
              <w:t>Expired</w:t>
            </w:r>
          </w:p>
        </w:tc>
      </w:tr>
      <w:tr w:rsidR="006B1681" w:rsidRPr="00250BC3" w14:paraId="420DC84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42" w14:textId="77777777" w:rsidR="006B1681" w:rsidRPr="00332DF6" w:rsidRDefault="006B1681" w:rsidP="00332DF6">
            <w:pPr>
              <w:pStyle w:val="TableTextEntries"/>
            </w:pPr>
          </w:p>
        </w:tc>
        <w:tc>
          <w:tcPr>
            <w:tcW w:w="887" w:type="dxa"/>
            <w:vMerge/>
            <w:hideMark/>
          </w:tcPr>
          <w:p w14:paraId="420DC843" w14:textId="77777777" w:rsidR="006B1681" w:rsidRPr="00332DF6" w:rsidRDefault="006B1681" w:rsidP="00332DF6">
            <w:pPr>
              <w:pStyle w:val="TableTextEntries"/>
            </w:pPr>
          </w:p>
        </w:tc>
        <w:tc>
          <w:tcPr>
            <w:tcW w:w="1840" w:type="dxa"/>
            <w:vMerge/>
            <w:hideMark/>
          </w:tcPr>
          <w:p w14:paraId="420DC844" w14:textId="77777777" w:rsidR="006B1681" w:rsidRPr="00332DF6" w:rsidRDefault="006B1681" w:rsidP="00332DF6">
            <w:pPr>
              <w:pStyle w:val="TableTextEntries"/>
            </w:pPr>
          </w:p>
        </w:tc>
        <w:tc>
          <w:tcPr>
            <w:tcW w:w="1128" w:type="dxa"/>
            <w:vMerge/>
            <w:hideMark/>
          </w:tcPr>
          <w:p w14:paraId="420DC845" w14:textId="77777777" w:rsidR="006B1681" w:rsidRPr="00332DF6" w:rsidRDefault="006B1681" w:rsidP="00332DF6">
            <w:pPr>
              <w:pStyle w:val="TableTextEntries"/>
            </w:pPr>
          </w:p>
        </w:tc>
        <w:tc>
          <w:tcPr>
            <w:tcW w:w="920" w:type="dxa"/>
            <w:noWrap/>
            <w:hideMark/>
          </w:tcPr>
          <w:p w14:paraId="420DC846" w14:textId="77777777" w:rsidR="006B1681" w:rsidRPr="00332DF6" w:rsidRDefault="006B1681" w:rsidP="00332DF6">
            <w:pPr>
              <w:pStyle w:val="TableTextEntries"/>
            </w:pPr>
            <w:r w:rsidRPr="00332DF6">
              <w:t>2012</w:t>
            </w:r>
          </w:p>
        </w:tc>
        <w:tc>
          <w:tcPr>
            <w:tcW w:w="894" w:type="dxa"/>
            <w:shd w:val="clear" w:color="auto" w:fill="92D050"/>
            <w:noWrap/>
            <w:hideMark/>
          </w:tcPr>
          <w:p w14:paraId="420DC84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4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4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4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4B"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84C" w14:textId="77777777" w:rsidR="006B1681" w:rsidRPr="00332DF6" w:rsidRDefault="006B1681" w:rsidP="00152088">
            <w:pPr>
              <w:pStyle w:val="TableTextEntries"/>
              <w:jc w:val="center"/>
            </w:pPr>
            <w:r w:rsidRPr="00332DF6">
              <w:t>3</w:t>
            </w:r>
          </w:p>
        </w:tc>
      </w:tr>
      <w:tr w:rsidR="006B1681" w:rsidRPr="00250BC3" w14:paraId="420DC859" w14:textId="77777777" w:rsidTr="00332DF6">
        <w:trPr>
          <w:tblHeader w:val="0"/>
        </w:trPr>
        <w:tc>
          <w:tcPr>
            <w:tcW w:w="2785" w:type="dxa"/>
            <w:vMerge w:val="restart"/>
            <w:hideMark/>
          </w:tcPr>
          <w:p w14:paraId="420DC84E" w14:textId="77777777" w:rsidR="006B1681" w:rsidRPr="00332DF6" w:rsidRDefault="006B1681" w:rsidP="00332DF6">
            <w:pPr>
              <w:pStyle w:val="TableTextEntries"/>
            </w:pPr>
            <w:r w:rsidRPr="00332DF6">
              <w:t>Pacific Regional Training</w:t>
            </w:r>
            <w:r w:rsidR="00464D90" w:rsidRPr="00332DF6">
              <w:t>—</w:t>
            </w:r>
            <w:r w:rsidRPr="00332DF6">
              <w:t>A</w:t>
            </w:r>
            <w:r w:rsidR="00E96687" w:rsidRPr="00332DF6">
              <w:t xml:space="preserve">ustralian </w:t>
            </w:r>
            <w:r w:rsidRPr="00332DF6">
              <w:t>D</w:t>
            </w:r>
            <w:r w:rsidR="00E96687" w:rsidRPr="00332DF6">
              <w:t xml:space="preserve">evelopment </w:t>
            </w:r>
            <w:r w:rsidRPr="00332DF6">
              <w:t>S</w:t>
            </w:r>
            <w:r w:rsidR="00E96687" w:rsidRPr="00332DF6">
              <w:t xml:space="preserve">cholarship </w:t>
            </w:r>
            <w:r w:rsidR="00D12BCD" w:rsidRPr="00332DF6">
              <w:t>P</w:t>
            </w:r>
            <w:r w:rsidR="00E96687" w:rsidRPr="00332DF6">
              <w:t>rogram</w:t>
            </w:r>
          </w:p>
        </w:tc>
        <w:tc>
          <w:tcPr>
            <w:tcW w:w="887" w:type="dxa"/>
            <w:vMerge w:val="restart"/>
            <w:noWrap/>
            <w:hideMark/>
          </w:tcPr>
          <w:p w14:paraId="420DC84F" w14:textId="77777777" w:rsidR="006B1681" w:rsidRPr="00332DF6" w:rsidRDefault="006B1681" w:rsidP="00332DF6">
            <w:pPr>
              <w:pStyle w:val="TableTextEntries"/>
            </w:pPr>
            <w:r w:rsidRPr="00332DF6">
              <w:t>INE905</w:t>
            </w:r>
          </w:p>
        </w:tc>
        <w:tc>
          <w:tcPr>
            <w:tcW w:w="1840" w:type="dxa"/>
            <w:vMerge w:val="restart"/>
            <w:hideMark/>
          </w:tcPr>
          <w:p w14:paraId="420DC850" w14:textId="77777777" w:rsidR="006B1681" w:rsidRPr="00332DF6" w:rsidRDefault="006B1681" w:rsidP="00332DF6">
            <w:pPr>
              <w:pStyle w:val="TableTextEntries"/>
            </w:pPr>
            <w:r w:rsidRPr="00332DF6">
              <w:t>$8,285,313.47</w:t>
            </w:r>
          </w:p>
        </w:tc>
        <w:tc>
          <w:tcPr>
            <w:tcW w:w="1128" w:type="dxa"/>
            <w:vMerge w:val="restart"/>
            <w:noWrap/>
            <w:hideMark/>
          </w:tcPr>
          <w:p w14:paraId="420DC851" w14:textId="77777777" w:rsidR="006B1681" w:rsidRPr="00332DF6" w:rsidRDefault="006B1681" w:rsidP="00332DF6">
            <w:pPr>
              <w:pStyle w:val="TableTextEntries"/>
            </w:pPr>
            <w:r w:rsidRPr="00332DF6">
              <w:t>2000</w:t>
            </w:r>
            <w:r w:rsidR="00C40272" w:rsidRPr="00332DF6">
              <w:t>–</w:t>
            </w:r>
            <w:r w:rsidRPr="00332DF6">
              <w:t>12</w:t>
            </w:r>
          </w:p>
        </w:tc>
        <w:tc>
          <w:tcPr>
            <w:tcW w:w="920" w:type="dxa"/>
            <w:noWrap/>
            <w:hideMark/>
          </w:tcPr>
          <w:p w14:paraId="420DC852" w14:textId="77777777" w:rsidR="006B1681" w:rsidRPr="00332DF6" w:rsidRDefault="006B1681" w:rsidP="00332DF6">
            <w:pPr>
              <w:pStyle w:val="TableTextEntries"/>
            </w:pPr>
            <w:r w:rsidRPr="00332DF6">
              <w:t>2011</w:t>
            </w:r>
          </w:p>
        </w:tc>
        <w:tc>
          <w:tcPr>
            <w:tcW w:w="894" w:type="dxa"/>
            <w:noWrap/>
            <w:hideMark/>
          </w:tcPr>
          <w:p w14:paraId="420DC853" w14:textId="77777777" w:rsidR="006B1681" w:rsidRPr="00332DF6" w:rsidRDefault="006B1681" w:rsidP="00152088">
            <w:pPr>
              <w:pStyle w:val="TableTextEntries"/>
              <w:jc w:val="center"/>
            </w:pPr>
            <w:r w:rsidRPr="00332DF6">
              <w:t>Exempt</w:t>
            </w:r>
          </w:p>
        </w:tc>
        <w:tc>
          <w:tcPr>
            <w:tcW w:w="894" w:type="dxa"/>
            <w:noWrap/>
            <w:hideMark/>
          </w:tcPr>
          <w:p w14:paraId="420DC854" w14:textId="77777777" w:rsidR="006B1681" w:rsidRPr="00332DF6" w:rsidRDefault="006B1681" w:rsidP="00152088">
            <w:pPr>
              <w:pStyle w:val="TableTextEntries"/>
              <w:jc w:val="center"/>
            </w:pPr>
            <w:r w:rsidRPr="00332DF6">
              <w:t>Exempt</w:t>
            </w:r>
          </w:p>
        </w:tc>
        <w:tc>
          <w:tcPr>
            <w:tcW w:w="894" w:type="dxa"/>
            <w:noWrap/>
            <w:hideMark/>
          </w:tcPr>
          <w:p w14:paraId="420DC855" w14:textId="77777777" w:rsidR="006B1681" w:rsidRPr="00332DF6" w:rsidRDefault="006B1681" w:rsidP="00152088">
            <w:pPr>
              <w:pStyle w:val="TableTextEntries"/>
              <w:jc w:val="center"/>
            </w:pPr>
            <w:r w:rsidRPr="00332DF6">
              <w:t>Exempt</w:t>
            </w:r>
          </w:p>
        </w:tc>
        <w:tc>
          <w:tcPr>
            <w:tcW w:w="894" w:type="dxa"/>
            <w:noWrap/>
            <w:hideMark/>
          </w:tcPr>
          <w:p w14:paraId="420DC856" w14:textId="77777777" w:rsidR="006B1681" w:rsidRPr="00332DF6" w:rsidRDefault="006B1681" w:rsidP="00152088">
            <w:pPr>
              <w:pStyle w:val="TableTextEntries"/>
              <w:jc w:val="center"/>
            </w:pPr>
            <w:r w:rsidRPr="00332DF6">
              <w:t>Exempt</w:t>
            </w:r>
          </w:p>
        </w:tc>
        <w:tc>
          <w:tcPr>
            <w:tcW w:w="894" w:type="dxa"/>
            <w:noWrap/>
            <w:hideMark/>
          </w:tcPr>
          <w:p w14:paraId="420DC857" w14:textId="77777777" w:rsidR="006B1681" w:rsidRPr="00332DF6" w:rsidRDefault="006B1681" w:rsidP="00152088">
            <w:pPr>
              <w:pStyle w:val="TableTextEntries"/>
              <w:jc w:val="center"/>
            </w:pPr>
            <w:r w:rsidRPr="00332DF6">
              <w:t>Exempt</w:t>
            </w:r>
          </w:p>
        </w:tc>
        <w:tc>
          <w:tcPr>
            <w:tcW w:w="894" w:type="dxa"/>
            <w:noWrap/>
            <w:hideMark/>
          </w:tcPr>
          <w:p w14:paraId="420DC858" w14:textId="77777777" w:rsidR="006B1681" w:rsidRPr="00332DF6" w:rsidRDefault="006B1681" w:rsidP="00152088">
            <w:pPr>
              <w:pStyle w:val="TableTextEntries"/>
              <w:jc w:val="center"/>
            </w:pPr>
            <w:r w:rsidRPr="00332DF6">
              <w:t>Exempt</w:t>
            </w:r>
          </w:p>
        </w:tc>
      </w:tr>
      <w:tr w:rsidR="006B1681" w:rsidRPr="00250BC3" w14:paraId="420DC86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5A" w14:textId="77777777" w:rsidR="006B1681" w:rsidRPr="00332DF6" w:rsidRDefault="006B1681" w:rsidP="00332DF6">
            <w:pPr>
              <w:pStyle w:val="TableTextEntries"/>
            </w:pPr>
          </w:p>
        </w:tc>
        <w:tc>
          <w:tcPr>
            <w:tcW w:w="887" w:type="dxa"/>
            <w:vMerge/>
            <w:hideMark/>
          </w:tcPr>
          <w:p w14:paraId="420DC85B" w14:textId="77777777" w:rsidR="006B1681" w:rsidRPr="00332DF6" w:rsidRDefault="006B1681" w:rsidP="00332DF6">
            <w:pPr>
              <w:pStyle w:val="TableTextEntries"/>
            </w:pPr>
          </w:p>
        </w:tc>
        <w:tc>
          <w:tcPr>
            <w:tcW w:w="1840" w:type="dxa"/>
            <w:vMerge/>
            <w:hideMark/>
          </w:tcPr>
          <w:p w14:paraId="420DC85C" w14:textId="77777777" w:rsidR="006B1681" w:rsidRPr="00332DF6" w:rsidRDefault="006B1681" w:rsidP="00332DF6">
            <w:pPr>
              <w:pStyle w:val="TableTextEntries"/>
            </w:pPr>
          </w:p>
        </w:tc>
        <w:tc>
          <w:tcPr>
            <w:tcW w:w="1128" w:type="dxa"/>
            <w:vMerge/>
            <w:hideMark/>
          </w:tcPr>
          <w:p w14:paraId="420DC85D" w14:textId="77777777" w:rsidR="006B1681" w:rsidRPr="00332DF6" w:rsidRDefault="006B1681" w:rsidP="00332DF6">
            <w:pPr>
              <w:pStyle w:val="TableTextEntries"/>
            </w:pPr>
          </w:p>
        </w:tc>
        <w:tc>
          <w:tcPr>
            <w:tcW w:w="920" w:type="dxa"/>
            <w:noWrap/>
            <w:hideMark/>
          </w:tcPr>
          <w:p w14:paraId="420DC85E" w14:textId="77777777" w:rsidR="006B1681" w:rsidRPr="00332DF6" w:rsidRDefault="006B1681" w:rsidP="00332DF6">
            <w:pPr>
              <w:pStyle w:val="TableTextEntries"/>
            </w:pPr>
            <w:r w:rsidRPr="00332DF6">
              <w:t>2012</w:t>
            </w:r>
          </w:p>
        </w:tc>
        <w:tc>
          <w:tcPr>
            <w:tcW w:w="894" w:type="dxa"/>
            <w:noWrap/>
            <w:hideMark/>
          </w:tcPr>
          <w:p w14:paraId="420DC85F" w14:textId="77777777" w:rsidR="006B1681" w:rsidRPr="00332DF6" w:rsidRDefault="006B1681" w:rsidP="00152088">
            <w:pPr>
              <w:pStyle w:val="TableTextEntries"/>
              <w:jc w:val="center"/>
            </w:pPr>
            <w:r w:rsidRPr="00332DF6">
              <w:t>Exempt</w:t>
            </w:r>
          </w:p>
        </w:tc>
        <w:tc>
          <w:tcPr>
            <w:tcW w:w="894" w:type="dxa"/>
            <w:noWrap/>
            <w:hideMark/>
          </w:tcPr>
          <w:p w14:paraId="420DC860" w14:textId="77777777" w:rsidR="006B1681" w:rsidRPr="00332DF6" w:rsidRDefault="006B1681" w:rsidP="00152088">
            <w:pPr>
              <w:pStyle w:val="TableTextEntries"/>
              <w:jc w:val="center"/>
            </w:pPr>
            <w:r w:rsidRPr="00332DF6">
              <w:t>Exempt</w:t>
            </w:r>
          </w:p>
        </w:tc>
        <w:tc>
          <w:tcPr>
            <w:tcW w:w="894" w:type="dxa"/>
            <w:noWrap/>
            <w:hideMark/>
          </w:tcPr>
          <w:p w14:paraId="420DC861" w14:textId="77777777" w:rsidR="006B1681" w:rsidRPr="00332DF6" w:rsidRDefault="006B1681" w:rsidP="00152088">
            <w:pPr>
              <w:pStyle w:val="TableTextEntries"/>
              <w:jc w:val="center"/>
            </w:pPr>
            <w:r w:rsidRPr="00332DF6">
              <w:t>Exempt</w:t>
            </w:r>
          </w:p>
        </w:tc>
        <w:tc>
          <w:tcPr>
            <w:tcW w:w="894" w:type="dxa"/>
            <w:noWrap/>
            <w:hideMark/>
          </w:tcPr>
          <w:p w14:paraId="420DC862" w14:textId="77777777" w:rsidR="006B1681" w:rsidRPr="00332DF6" w:rsidRDefault="006B1681" w:rsidP="00152088">
            <w:pPr>
              <w:pStyle w:val="TableTextEntries"/>
              <w:jc w:val="center"/>
            </w:pPr>
            <w:r w:rsidRPr="00332DF6">
              <w:t>Exempt</w:t>
            </w:r>
          </w:p>
        </w:tc>
        <w:tc>
          <w:tcPr>
            <w:tcW w:w="894" w:type="dxa"/>
            <w:noWrap/>
            <w:hideMark/>
          </w:tcPr>
          <w:p w14:paraId="420DC863" w14:textId="77777777" w:rsidR="006B1681" w:rsidRPr="00332DF6" w:rsidRDefault="006B1681" w:rsidP="00152088">
            <w:pPr>
              <w:pStyle w:val="TableTextEntries"/>
              <w:jc w:val="center"/>
            </w:pPr>
            <w:r w:rsidRPr="00332DF6">
              <w:t>Exempt</w:t>
            </w:r>
          </w:p>
        </w:tc>
        <w:tc>
          <w:tcPr>
            <w:tcW w:w="894" w:type="dxa"/>
            <w:noWrap/>
            <w:hideMark/>
          </w:tcPr>
          <w:p w14:paraId="420DC864" w14:textId="77777777" w:rsidR="006B1681" w:rsidRPr="00332DF6" w:rsidRDefault="006B1681" w:rsidP="00152088">
            <w:pPr>
              <w:pStyle w:val="TableTextEntries"/>
              <w:jc w:val="center"/>
            </w:pPr>
            <w:r w:rsidRPr="00332DF6">
              <w:t>Exempt</w:t>
            </w:r>
          </w:p>
        </w:tc>
      </w:tr>
      <w:tr w:rsidR="006B1681" w:rsidRPr="00250BC3" w14:paraId="420DC871" w14:textId="77777777" w:rsidTr="00332DF6">
        <w:trPr>
          <w:tblHeader w:val="0"/>
        </w:trPr>
        <w:tc>
          <w:tcPr>
            <w:tcW w:w="2785" w:type="dxa"/>
            <w:vMerge w:val="restart"/>
            <w:hideMark/>
          </w:tcPr>
          <w:p w14:paraId="420DC866" w14:textId="77777777" w:rsidR="006B1681" w:rsidRPr="00332DF6" w:rsidRDefault="006B1681" w:rsidP="00332DF6">
            <w:pPr>
              <w:pStyle w:val="TableTextEntries"/>
            </w:pPr>
            <w:r w:rsidRPr="00332DF6">
              <w:t>Pacific Governance Support Program</w:t>
            </w:r>
          </w:p>
        </w:tc>
        <w:tc>
          <w:tcPr>
            <w:tcW w:w="887" w:type="dxa"/>
            <w:vMerge w:val="restart"/>
            <w:noWrap/>
            <w:hideMark/>
          </w:tcPr>
          <w:p w14:paraId="420DC867" w14:textId="77777777" w:rsidR="006B1681" w:rsidRPr="00332DF6" w:rsidRDefault="006B1681" w:rsidP="00332DF6">
            <w:pPr>
              <w:pStyle w:val="TableTextEntries"/>
            </w:pPr>
            <w:r w:rsidRPr="00332DF6">
              <w:t>INF847</w:t>
            </w:r>
          </w:p>
        </w:tc>
        <w:tc>
          <w:tcPr>
            <w:tcW w:w="1840" w:type="dxa"/>
            <w:vMerge w:val="restart"/>
            <w:hideMark/>
          </w:tcPr>
          <w:p w14:paraId="420DC868" w14:textId="77777777" w:rsidR="006B1681" w:rsidRPr="00332DF6" w:rsidRDefault="006B1681" w:rsidP="00332DF6">
            <w:pPr>
              <w:pStyle w:val="TableTextEntries"/>
            </w:pPr>
            <w:r w:rsidRPr="00332DF6">
              <w:t>$26,659,518.47</w:t>
            </w:r>
          </w:p>
        </w:tc>
        <w:tc>
          <w:tcPr>
            <w:tcW w:w="1128" w:type="dxa"/>
            <w:vMerge w:val="restart"/>
            <w:noWrap/>
            <w:hideMark/>
          </w:tcPr>
          <w:p w14:paraId="420DC869" w14:textId="77777777" w:rsidR="006B1681" w:rsidRPr="00332DF6" w:rsidRDefault="006B1681" w:rsidP="00332DF6">
            <w:pPr>
              <w:pStyle w:val="TableTextEntries"/>
            </w:pPr>
            <w:r w:rsidRPr="00332DF6">
              <w:t>2004</w:t>
            </w:r>
            <w:r w:rsidR="00C40272" w:rsidRPr="00332DF6">
              <w:t>–</w:t>
            </w:r>
            <w:r w:rsidRPr="00332DF6">
              <w:t>14</w:t>
            </w:r>
          </w:p>
        </w:tc>
        <w:tc>
          <w:tcPr>
            <w:tcW w:w="920" w:type="dxa"/>
            <w:noWrap/>
            <w:hideMark/>
          </w:tcPr>
          <w:p w14:paraId="420DC86A" w14:textId="77777777" w:rsidR="006B1681" w:rsidRPr="00332DF6" w:rsidRDefault="006B1681" w:rsidP="00332DF6">
            <w:pPr>
              <w:pStyle w:val="TableTextEntries"/>
            </w:pPr>
            <w:r w:rsidRPr="00332DF6">
              <w:t>2011</w:t>
            </w:r>
          </w:p>
        </w:tc>
        <w:tc>
          <w:tcPr>
            <w:tcW w:w="894" w:type="dxa"/>
            <w:noWrap/>
            <w:hideMark/>
          </w:tcPr>
          <w:p w14:paraId="420DC86B" w14:textId="77777777" w:rsidR="006B1681" w:rsidRPr="00332DF6" w:rsidRDefault="006B1681" w:rsidP="00152088">
            <w:pPr>
              <w:pStyle w:val="TableTextEntries"/>
              <w:jc w:val="center"/>
            </w:pPr>
            <w:r w:rsidRPr="00332DF6">
              <w:t>Exempt</w:t>
            </w:r>
          </w:p>
        </w:tc>
        <w:tc>
          <w:tcPr>
            <w:tcW w:w="894" w:type="dxa"/>
            <w:noWrap/>
            <w:hideMark/>
          </w:tcPr>
          <w:p w14:paraId="420DC86C" w14:textId="77777777" w:rsidR="006B1681" w:rsidRPr="00332DF6" w:rsidRDefault="006B1681" w:rsidP="00152088">
            <w:pPr>
              <w:pStyle w:val="TableTextEntries"/>
              <w:jc w:val="center"/>
            </w:pPr>
            <w:r w:rsidRPr="00332DF6">
              <w:t>Exempt</w:t>
            </w:r>
          </w:p>
        </w:tc>
        <w:tc>
          <w:tcPr>
            <w:tcW w:w="894" w:type="dxa"/>
            <w:noWrap/>
            <w:hideMark/>
          </w:tcPr>
          <w:p w14:paraId="420DC86D" w14:textId="77777777" w:rsidR="006B1681" w:rsidRPr="00332DF6" w:rsidRDefault="006B1681" w:rsidP="00152088">
            <w:pPr>
              <w:pStyle w:val="TableTextEntries"/>
              <w:jc w:val="center"/>
            </w:pPr>
            <w:r w:rsidRPr="00332DF6">
              <w:t>Exempt</w:t>
            </w:r>
          </w:p>
        </w:tc>
        <w:tc>
          <w:tcPr>
            <w:tcW w:w="894" w:type="dxa"/>
            <w:noWrap/>
            <w:hideMark/>
          </w:tcPr>
          <w:p w14:paraId="420DC86E" w14:textId="77777777" w:rsidR="006B1681" w:rsidRPr="00332DF6" w:rsidRDefault="006B1681" w:rsidP="00152088">
            <w:pPr>
              <w:pStyle w:val="TableTextEntries"/>
              <w:jc w:val="center"/>
            </w:pPr>
            <w:r w:rsidRPr="00332DF6">
              <w:t>Exempt</w:t>
            </w:r>
          </w:p>
        </w:tc>
        <w:tc>
          <w:tcPr>
            <w:tcW w:w="894" w:type="dxa"/>
            <w:noWrap/>
            <w:hideMark/>
          </w:tcPr>
          <w:p w14:paraId="420DC86F" w14:textId="77777777" w:rsidR="006B1681" w:rsidRPr="00332DF6" w:rsidRDefault="006B1681" w:rsidP="00152088">
            <w:pPr>
              <w:pStyle w:val="TableTextEntries"/>
              <w:jc w:val="center"/>
            </w:pPr>
            <w:r w:rsidRPr="00332DF6">
              <w:t>Exempt</w:t>
            </w:r>
          </w:p>
        </w:tc>
        <w:tc>
          <w:tcPr>
            <w:tcW w:w="894" w:type="dxa"/>
            <w:noWrap/>
            <w:hideMark/>
          </w:tcPr>
          <w:p w14:paraId="420DC870" w14:textId="77777777" w:rsidR="006B1681" w:rsidRPr="00332DF6" w:rsidRDefault="006B1681" w:rsidP="00152088">
            <w:pPr>
              <w:pStyle w:val="TableTextEntries"/>
              <w:jc w:val="center"/>
            </w:pPr>
            <w:r w:rsidRPr="00332DF6">
              <w:t>Exempt</w:t>
            </w:r>
          </w:p>
        </w:tc>
      </w:tr>
      <w:tr w:rsidR="006B1681" w:rsidRPr="00250BC3" w14:paraId="420DC87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72" w14:textId="77777777" w:rsidR="006B1681" w:rsidRPr="00332DF6" w:rsidRDefault="006B1681" w:rsidP="00332DF6">
            <w:pPr>
              <w:pStyle w:val="TableTextEntries"/>
            </w:pPr>
          </w:p>
        </w:tc>
        <w:tc>
          <w:tcPr>
            <w:tcW w:w="887" w:type="dxa"/>
            <w:vMerge/>
            <w:hideMark/>
          </w:tcPr>
          <w:p w14:paraId="420DC873" w14:textId="77777777" w:rsidR="006B1681" w:rsidRPr="00332DF6" w:rsidRDefault="006B1681" w:rsidP="00332DF6">
            <w:pPr>
              <w:pStyle w:val="TableTextEntries"/>
            </w:pPr>
          </w:p>
        </w:tc>
        <w:tc>
          <w:tcPr>
            <w:tcW w:w="1840" w:type="dxa"/>
            <w:vMerge/>
            <w:hideMark/>
          </w:tcPr>
          <w:p w14:paraId="420DC874" w14:textId="77777777" w:rsidR="006B1681" w:rsidRPr="00332DF6" w:rsidRDefault="006B1681" w:rsidP="00332DF6">
            <w:pPr>
              <w:pStyle w:val="TableTextEntries"/>
            </w:pPr>
          </w:p>
        </w:tc>
        <w:tc>
          <w:tcPr>
            <w:tcW w:w="1128" w:type="dxa"/>
            <w:vMerge/>
            <w:hideMark/>
          </w:tcPr>
          <w:p w14:paraId="420DC875" w14:textId="77777777" w:rsidR="006B1681" w:rsidRPr="00332DF6" w:rsidRDefault="006B1681" w:rsidP="00332DF6">
            <w:pPr>
              <w:pStyle w:val="TableTextEntries"/>
            </w:pPr>
          </w:p>
        </w:tc>
        <w:tc>
          <w:tcPr>
            <w:tcW w:w="920" w:type="dxa"/>
            <w:noWrap/>
            <w:hideMark/>
          </w:tcPr>
          <w:p w14:paraId="420DC876" w14:textId="77777777" w:rsidR="006B1681" w:rsidRPr="00332DF6" w:rsidRDefault="006B1681" w:rsidP="00332DF6">
            <w:pPr>
              <w:pStyle w:val="TableTextEntries"/>
            </w:pPr>
            <w:r w:rsidRPr="00332DF6">
              <w:t>2012</w:t>
            </w:r>
          </w:p>
        </w:tc>
        <w:tc>
          <w:tcPr>
            <w:tcW w:w="894" w:type="dxa"/>
            <w:noWrap/>
            <w:hideMark/>
          </w:tcPr>
          <w:p w14:paraId="420DC877" w14:textId="77777777" w:rsidR="006B1681" w:rsidRPr="00332DF6" w:rsidRDefault="006B1681" w:rsidP="00152088">
            <w:pPr>
              <w:pStyle w:val="TableTextEntries"/>
              <w:jc w:val="center"/>
            </w:pPr>
            <w:r w:rsidRPr="00332DF6">
              <w:t>Exempt</w:t>
            </w:r>
          </w:p>
        </w:tc>
        <w:tc>
          <w:tcPr>
            <w:tcW w:w="894" w:type="dxa"/>
            <w:noWrap/>
            <w:hideMark/>
          </w:tcPr>
          <w:p w14:paraId="420DC878" w14:textId="77777777" w:rsidR="006B1681" w:rsidRPr="00332DF6" w:rsidRDefault="006B1681" w:rsidP="00152088">
            <w:pPr>
              <w:pStyle w:val="TableTextEntries"/>
              <w:jc w:val="center"/>
            </w:pPr>
            <w:r w:rsidRPr="00332DF6">
              <w:t>Exempt</w:t>
            </w:r>
          </w:p>
        </w:tc>
        <w:tc>
          <w:tcPr>
            <w:tcW w:w="894" w:type="dxa"/>
            <w:noWrap/>
            <w:hideMark/>
          </w:tcPr>
          <w:p w14:paraId="420DC879" w14:textId="77777777" w:rsidR="006B1681" w:rsidRPr="00332DF6" w:rsidRDefault="006B1681" w:rsidP="00152088">
            <w:pPr>
              <w:pStyle w:val="TableTextEntries"/>
              <w:jc w:val="center"/>
            </w:pPr>
            <w:r w:rsidRPr="00332DF6">
              <w:t>Exempt</w:t>
            </w:r>
          </w:p>
        </w:tc>
        <w:tc>
          <w:tcPr>
            <w:tcW w:w="894" w:type="dxa"/>
            <w:noWrap/>
            <w:hideMark/>
          </w:tcPr>
          <w:p w14:paraId="420DC87A" w14:textId="77777777" w:rsidR="006B1681" w:rsidRPr="00332DF6" w:rsidRDefault="006B1681" w:rsidP="00152088">
            <w:pPr>
              <w:pStyle w:val="TableTextEntries"/>
              <w:jc w:val="center"/>
            </w:pPr>
            <w:r w:rsidRPr="00332DF6">
              <w:t>Exempt</w:t>
            </w:r>
          </w:p>
        </w:tc>
        <w:tc>
          <w:tcPr>
            <w:tcW w:w="894" w:type="dxa"/>
            <w:noWrap/>
            <w:hideMark/>
          </w:tcPr>
          <w:p w14:paraId="420DC87B" w14:textId="77777777" w:rsidR="006B1681" w:rsidRPr="00332DF6" w:rsidRDefault="006B1681" w:rsidP="00152088">
            <w:pPr>
              <w:pStyle w:val="TableTextEntries"/>
              <w:jc w:val="center"/>
            </w:pPr>
            <w:r w:rsidRPr="00332DF6">
              <w:t>Exempt</w:t>
            </w:r>
          </w:p>
        </w:tc>
        <w:tc>
          <w:tcPr>
            <w:tcW w:w="894" w:type="dxa"/>
            <w:noWrap/>
            <w:hideMark/>
          </w:tcPr>
          <w:p w14:paraId="420DC87C" w14:textId="77777777" w:rsidR="006B1681" w:rsidRPr="00332DF6" w:rsidRDefault="006B1681" w:rsidP="00152088">
            <w:pPr>
              <w:pStyle w:val="TableTextEntries"/>
              <w:jc w:val="center"/>
            </w:pPr>
            <w:r w:rsidRPr="00332DF6">
              <w:t>Exempt</w:t>
            </w:r>
          </w:p>
        </w:tc>
      </w:tr>
      <w:tr w:rsidR="006B1681" w:rsidRPr="00250BC3" w14:paraId="420DC889" w14:textId="77777777" w:rsidTr="00A84A34">
        <w:trPr>
          <w:tblHeader w:val="0"/>
        </w:trPr>
        <w:tc>
          <w:tcPr>
            <w:tcW w:w="2785" w:type="dxa"/>
            <w:vMerge w:val="restart"/>
            <w:hideMark/>
          </w:tcPr>
          <w:p w14:paraId="420DC87E" w14:textId="77777777" w:rsidR="006B1681" w:rsidRPr="00332DF6" w:rsidRDefault="006B1681" w:rsidP="00332DF6">
            <w:pPr>
              <w:pStyle w:val="TableTextEntries"/>
            </w:pPr>
            <w:r w:rsidRPr="00332DF6">
              <w:t xml:space="preserve">Private Enterprise Partnerships </w:t>
            </w:r>
            <w:r w:rsidRPr="00332DF6">
              <w:lastRenderedPageBreak/>
              <w:t>Pacific</w:t>
            </w:r>
          </w:p>
        </w:tc>
        <w:tc>
          <w:tcPr>
            <w:tcW w:w="887" w:type="dxa"/>
            <w:vMerge w:val="restart"/>
            <w:noWrap/>
            <w:hideMark/>
          </w:tcPr>
          <w:p w14:paraId="420DC87F" w14:textId="77777777" w:rsidR="006B1681" w:rsidRPr="00332DF6" w:rsidRDefault="006B1681" w:rsidP="00332DF6">
            <w:pPr>
              <w:pStyle w:val="TableTextEntries"/>
            </w:pPr>
            <w:r w:rsidRPr="00332DF6">
              <w:lastRenderedPageBreak/>
              <w:t>ING600</w:t>
            </w:r>
          </w:p>
        </w:tc>
        <w:tc>
          <w:tcPr>
            <w:tcW w:w="1840" w:type="dxa"/>
            <w:vMerge w:val="restart"/>
            <w:hideMark/>
          </w:tcPr>
          <w:p w14:paraId="420DC880" w14:textId="77777777" w:rsidR="006B1681" w:rsidRPr="00332DF6" w:rsidRDefault="006B1681" w:rsidP="00332DF6">
            <w:pPr>
              <w:pStyle w:val="TableTextEntries"/>
            </w:pPr>
            <w:r w:rsidRPr="00332DF6">
              <w:t>$16,000,000.00</w:t>
            </w:r>
          </w:p>
        </w:tc>
        <w:tc>
          <w:tcPr>
            <w:tcW w:w="1128" w:type="dxa"/>
            <w:vMerge w:val="restart"/>
            <w:noWrap/>
            <w:hideMark/>
          </w:tcPr>
          <w:p w14:paraId="420DC881" w14:textId="77777777" w:rsidR="006B1681" w:rsidRPr="00332DF6" w:rsidRDefault="006B1681" w:rsidP="00332DF6">
            <w:pPr>
              <w:pStyle w:val="TableTextEntries"/>
            </w:pPr>
            <w:r w:rsidRPr="00332DF6">
              <w:t>2006</w:t>
            </w:r>
            <w:r w:rsidR="00C40272" w:rsidRPr="00332DF6">
              <w:t>–</w:t>
            </w:r>
            <w:r w:rsidRPr="00332DF6">
              <w:t>12</w:t>
            </w:r>
          </w:p>
        </w:tc>
        <w:tc>
          <w:tcPr>
            <w:tcW w:w="920" w:type="dxa"/>
            <w:noWrap/>
            <w:hideMark/>
          </w:tcPr>
          <w:p w14:paraId="420DC882"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883"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884"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85"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86"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87"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88" w14:textId="77777777" w:rsidR="006B1681" w:rsidRPr="00332DF6" w:rsidRDefault="006B1681" w:rsidP="00152088">
            <w:pPr>
              <w:pStyle w:val="TableTextEntries"/>
              <w:jc w:val="center"/>
            </w:pPr>
            <w:r w:rsidRPr="00332DF6">
              <w:t>3</w:t>
            </w:r>
          </w:p>
        </w:tc>
      </w:tr>
      <w:tr w:rsidR="006B1681" w:rsidRPr="00250BC3" w14:paraId="420DC89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8A" w14:textId="77777777" w:rsidR="006B1681" w:rsidRPr="00332DF6" w:rsidRDefault="006B1681" w:rsidP="00332DF6">
            <w:pPr>
              <w:pStyle w:val="TableTextEntries"/>
            </w:pPr>
          </w:p>
        </w:tc>
        <w:tc>
          <w:tcPr>
            <w:tcW w:w="887" w:type="dxa"/>
            <w:vMerge/>
            <w:hideMark/>
          </w:tcPr>
          <w:p w14:paraId="420DC88B" w14:textId="77777777" w:rsidR="006B1681" w:rsidRPr="00332DF6" w:rsidRDefault="006B1681" w:rsidP="00332DF6">
            <w:pPr>
              <w:pStyle w:val="TableTextEntries"/>
            </w:pPr>
          </w:p>
        </w:tc>
        <w:tc>
          <w:tcPr>
            <w:tcW w:w="1840" w:type="dxa"/>
            <w:vMerge/>
            <w:hideMark/>
          </w:tcPr>
          <w:p w14:paraId="420DC88C" w14:textId="77777777" w:rsidR="006B1681" w:rsidRPr="00332DF6" w:rsidRDefault="006B1681" w:rsidP="00332DF6">
            <w:pPr>
              <w:pStyle w:val="TableTextEntries"/>
            </w:pPr>
          </w:p>
        </w:tc>
        <w:tc>
          <w:tcPr>
            <w:tcW w:w="1128" w:type="dxa"/>
            <w:vMerge/>
            <w:hideMark/>
          </w:tcPr>
          <w:p w14:paraId="420DC88D" w14:textId="77777777" w:rsidR="006B1681" w:rsidRPr="00332DF6" w:rsidRDefault="006B1681" w:rsidP="00332DF6">
            <w:pPr>
              <w:pStyle w:val="TableTextEntries"/>
            </w:pPr>
          </w:p>
        </w:tc>
        <w:tc>
          <w:tcPr>
            <w:tcW w:w="920" w:type="dxa"/>
            <w:noWrap/>
            <w:hideMark/>
          </w:tcPr>
          <w:p w14:paraId="420DC88E" w14:textId="77777777" w:rsidR="006B1681" w:rsidRPr="00332DF6" w:rsidRDefault="006B1681" w:rsidP="00332DF6">
            <w:pPr>
              <w:pStyle w:val="TableTextEntries"/>
            </w:pPr>
            <w:r w:rsidRPr="00332DF6">
              <w:t>2012</w:t>
            </w:r>
          </w:p>
        </w:tc>
        <w:tc>
          <w:tcPr>
            <w:tcW w:w="894" w:type="dxa"/>
            <w:shd w:val="clear" w:color="auto" w:fill="92D050"/>
            <w:noWrap/>
            <w:hideMark/>
          </w:tcPr>
          <w:p w14:paraId="420DC88F"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90"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9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9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93"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894" w14:textId="77777777" w:rsidR="006B1681" w:rsidRPr="00332DF6" w:rsidRDefault="006B1681" w:rsidP="00152088">
            <w:pPr>
              <w:pStyle w:val="TableTextEntries"/>
              <w:jc w:val="center"/>
            </w:pPr>
            <w:r w:rsidRPr="00332DF6">
              <w:t>3</w:t>
            </w:r>
          </w:p>
        </w:tc>
      </w:tr>
      <w:tr w:rsidR="006B1681" w:rsidRPr="00250BC3" w14:paraId="420DC8A1" w14:textId="77777777" w:rsidTr="00A84A34">
        <w:trPr>
          <w:tblHeader w:val="0"/>
        </w:trPr>
        <w:tc>
          <w:tcPr>
            <w:tcW w:w="2785" w:type="dxa"/>
            <w:vMerge w:val="restart"/>
            <w:hideMark/>
          </w:tcPr>
          <w:p w14:paraId="420DC896" w14:textId="77777777" w:rsidR="006B1681" w:rsidRPr="00332DF6" w:rsidRDefault="006B1681" w:rsidP="00332DF6">
            <w:pPr>
              <w:pStyle w:val="TableTextEntries"/>
            </w:pPr>
            <w:r w:rsidRPr="00332DF6">
              <w:lastRenderedPageBreak/>
              <w:t>Pacific Technical Assistance Mechanism</w:t>
            </w:r>
          </w:p>
        </w:tc>
        <w:tc>
          <w:tcPr>
            <w:tcW w:w="887" w:type="dxa"/>
            <w:vMerge w:val="restart"/>
            <w:noWrap/>
            <w:hideMark/>
          </w:tcPr>
          <w:p w14:paraId="420DC897" w14:textId="77777777" w:rsidR="006B1681" w:rsidRPr="00332DF6" w:rsidRDefault="006B1681" w:rsidP="00332DF6">
            <w:pPr>
              <w:pStyle w:val="TableTextEntries"/>
            </w:pPr>
            <w:r w:rsidRPr="00332DF6">
              <w:t>ING854</w:t>
            </w:r>
          </w:p>
        </w:tc>
        <w:tc>
          <w:tcPr>
            <w:tcW w:w="1840" w:type="dxa"/>
            <w:vMerge w:val="restart"/>
            <w:hideMark/>
          </w:tcPr>
          <w:p w14:paraId="420DC898" w14:textId="77777777" w:rsidR="006B1681" w:rsidRPr="00332DF6" w:rsidRDefault="006B1681" w:rsidP="00332DF6">
            <w:pPr>
              <w:pStyle w:val="TableTextEntries"/>
            </w:pPr>
            <w:r w:rsidRPr="00332DF6">
              <w:t>$5,781,369.39</w:t>
            </w:r>
          </w:p>
        </w:tc>
        <w:tc>
          <w:tcPr>
            <w:tcW w:w="1128" w:type="dxa"/>
            <w:vMerge w:val="restart"/>
            <w:noWrap/>
            <w:hideMark/>
          </w:tcPr>
          <w:p w14:paraId="420DC899" w14:textId="77777777" w:rsidR="006B1681" w:rsidRPr="00332DF6" w:rsidRDefault="006B1681" w:rsidP="00332DF6">
            <w:pPr>
              <w:pStyle w:val="TableTextEntries"/>
            </w:pPr>
            <w:r w:rsidRPr="00332DF6">
              <w:t>2006</w:t>
            </w:r>
            <w:r w:rsidR="00C40272" w:rsidRPr="00332DF6">
              <w:t>–</w:t>
            </w:r>
            <w:r w:rsidRPr="00332DF6">
              <w:t>14</w:t>
            </w:r>
          </w:p>
        </w:tc>
        <w:tc>
          <w:tcPr>
            <w:tcW w:w="920" w:type="dxa"/>
            <w:noWrap/>
            <w:hideMark/>
          </w:tcPr>
          <w:p w14:paraId="420DC89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89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89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89D"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89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89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8A0" w14:textId="77777777" w:rsidR="006B1681" w:rsidRPr="00332DF6" w:rsidRDefault="006B1681" w:rsidP="00152088">
            <w:pPr>
              <w:pStyle w:val="TableTextEntries"/>
              <w:jc w:val="center"/>
            </w:pPr>
            <w:r w:rsidRPr="00332DF6">
              <w:t>5</w:t>
            </w:r>
          </w:p>
        </w:tc>
      </w:tr>
      <w:tr w:rsidR="006B1681" w:rsidRPr="00250BC3" w14:paraId="420DC8A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A2" w14:textId="77777777" w:rsidR="006B1681" w:rsidRPr="00332DF6" w:rsidRDefault="006B1681" w:rsidP="00332DF6">
            <w:pPr>
              <w:pStyle w:val="TableTextEntries"/>
            </w:pPr>
          </w:p>
        </w:tc>
        <w:tc>
          <w:tcPr>
            <w:tcW w:w="887" w:type="dxa"/>
            <w:vMerge/>
            <w:hideMark/>
          </w:tcPr>
          <w:p w14:paraId="420DC8A3" w14:textId="77777777" w:rsidR="006B1681" w:rsidRPr="00332DF6" w:rsidRDefault="006B1681" w:rsidP="00332DF6">
            <w:pPr>
              <w:pStyle w:val="TableTextEntries"/>
            </w:pPr>
          </w:p>
        </w:tc>
        <w:tc>
          <w:tcPr>
            <w:tcW w:w="1840" w:type="dxa"/>
            <w:vMerge/>
            <w:hideMark/>
          </w:tcPr>
          <w:p w14:paraId="420DC8A4" w14:textId="77777777" w:rsidR="006B1681" w:rsidRPr="00332DF6" w:rsidRDefault="006B1681" w:rsidP="00332DF6">
            <w:pPr>
              <w:pStyle w:val="TableTextEntries"/>
            </w:pPr>
          </w:p>
        </w:tc>
        <w:tc>
          <w:tcPr>
            <w:tcW w:w="1128" w:type="dxa"/>
            <w:vMerge/>
            <w:hideMark/>
          </w:tcPr>
          <w:p w14:paraId="420DC8A5" w14:textId="77777777" w:rsidR="006B1681" w:rsidRPr="00332DF6" w:rsidRDefault="006B1681" w:rsidP="00332DF6">
            <w:pPr>
              <w:pStyle w:val="TableTextEntries"/>
            </w:pPr>
          </w:p>
        </w:tc>
        <w:tc>
          <w:tcPr>
            <w:tcW w:w="920" w:type="dxa"/>
            <w:noWrap/>
            <w:hideMark/>
          </w:tcPr>
          <w:p w14:paraId="420DC8A6" w14:textId="77777777" w:rsidR="006B1681" w:rsidRPr="00332DF6" w:rsidRDefault="006B1681" w:rsidP="00332DF6">
            <w:pPr>
              <w:pStyle w:val="TableTextEntries"/>
            </w:pPr>
            <w:r w:rsidRPr="00332DF6">
              <w:t>2012</w:t>
            </w:r>
          </w:p>
        </w:tc>
        <w:tc>
          <w:tcPr>
            <w:tcW w:w="894" w:type="dxa"/>
            <w:noWrap/>
            <w:hideMark/>
          </w:tcPr>
          <w:p w14:paraId="420DC8A7" w14:textId="77777777" w:rsidR="006B1681" w:rsidRPr="00332DF6" w:rsidRDefault="006B1681" w:rsidP="00152088">
            <w:pPr>
              <w:pStyle w:val="TableTextEntries"/>
              <w:jc w:val="center"/>
            </w:pPr>
            <w:r w:rsidRPr="00332DF6">
              <w:t>Exempt</w:t>
            </w:r>
          </w:p>
        </w:tc>
        <w:tc>
          <w:tcPr>
            <w:tcW w:w="894" w:type="dxa"/>
            <w:noWrap/>
            <w:hideMark/>
          </w:tcPr>
          <w:p w14:paraId="420DC8A8" w14:textId="77777777" w:rsidR="006B1681" w:rsidRPr="00332DF6" w:rsidRDefault="006B1681" w:rsidP="00152088">
            <w:pPr>
              <w:pStyle w:val="TableTextEntries"/>
              <w:jc w:val="center"/>
            </w:pPr>
            <w:r w:rsidRPr="00332DF6">
              <w:t>Exempt</w:t>
            </w:r>
          </w:p>
        </w:tc>
        <w:tc>
          <w:tcPr>
            <w:tcW w:w="894" w:type="dxa"/>
            <w:noWrap/>
            <w:hideMark/>
          </w:tcPr>
          <w:p w14:paraId="420DC8A9" w14:textId="77777777" w:rsidR="006B1681" w:rsidRPr="00332DF6" w:rsidRDefault="006B1681" w:rsidP="00152088">
            <w:pPr>
              <w:pStyle w:val="TableTextEntries"/>
              <w:jc w:val="center"/>
            </w:pPr>
            <w:r w:rsidRPr="00332DF6">
              <w:t>Exempt</w:t>
            </w:r>
          </w:p>
        </w:tc>
        <w:tc>
          <w:tcPr>
            <w:tcW w:w="894" w:type="dxa"/>
            <w:noWrap/>
            <w:hideMark/>
          </w:tcPr>
          <w:p w14:paraId="420DC8AA" w14:textId="77777777" w:rsidR="006B1681" w:rsidRPr="00332DF6" w:rsidRDefault="006B1681" w:rsidP="00152088">
            <w:pPr>
              <w:pStyle w:val="TableTextEntries"/>
              <w:jc w:val="center"/>
            </w:pPr>
            <w:r w:rsidRPr="00332DF6">
              <w:t>Exempt</w:t>
            </w:r>
          </w:p>
        </w:tc>
        <w:tc>
          <w:tcPr>
            <w:tcW w:w="894" w:type="dxa"/>
            <w:noWrap/>
            <w:hideMark/>
          </w:tcPr>
          <w:p w14:paraId="420DC8AB" w14:textId="77777777" w:rsidR="006B1681" w:rsidRPr="00332DF6" w:rsidRDefault="006B1681" w:rsidP="00152088">
            <w:pPr>
              <w:pStyle w:val="TableTextEntries"/>
              <w:jc w:val="center"/>
            </w:pPr>
            <w:r w:rsidRPr="00332DF6">
              <w:t>Exempt</w:t>
            </w:r>
          </w:p>
        </w:tc>
        <w:tc>
          <w:tcPr>
            <w:tcW w:w="894" w:type="dxa"/>
            <w:noWrap/>
            <w:hideMark/>
          </w:tcPr>
          <w:p w14:paraId="420DC8AC" w14:textId="77777777" w:rsidR="006B1681" w:rsidRPr="00332DF6" w:rsidRDefault="006B1681" w:rsidP="00152088">
            <w:pPr>
              <w:pStyle w:val="TableTextEntries"/>
              <w:jc w:val="center"/>
            </w:pPr>
            <w:r w:rsidRPr="00332DF6">
              <w:t>Exempt</w:t>
            </w:r>
          </w:p>
        </w:tc>
      </w:tr>
      <w:tr w:rsidR="006B1681" w:rsidRPr="00250BC3" w14:paraId="420DC8B9" w14:textId="77777777" w:rsidTr="00A84A34">
        <w:trPr>
          <w:tblHeader w:val="0"/>
        </w:trPr>
        <w:tc>
          <w:tcPr>
            <w:tcW w:w="2785" w:type="dxa"/>
            <w:vMerge w:val="restart"/>
            <w:hideMark/>
          </w:tcPr>
          <w:p w14:paraId="420DC8AE" w14:textId="77777777" w:rsidR="006B1681" w:rsidRPr="00332DF6" w:rsidRDefault="006B1681" w:rsidP="00332DF6">
            <w:pPr>
              <w:pStyle w:val="TableTextEntries"/>
            </w:pPr>
            <w:r w:rsidRPr="00332DF6">
              <w:t>Pacific Malaria Initiative</w:t>
            </w:r>
            <w:r w:rsidR="00464D90" w:rsidRPr="00332DF6">
              <w:t>—</w:t>
            </w:r>
            <w:r w:rsidRPr="00332DF6">
              <w:t>Regional Research</w:t>
            </w:r>
          </w:p>
        </w:tc>
        <w:tc>
          <w:tcPr>
            <w:tcW w:w="887" w:type="dxa"/>
            <w:vMerge w:val="restart"/>
            <w:noWrap/>
            <w:hideMark/>
          </w:tcPr>
          <w:p w14:paraId="420DC8AF" w14:textId="77777777" w:rsidR="006B1681" w:rsidRPr="00332DF6" w:rsidRDefault="006B1681" w:rsidP="00332DF6">
            <w:pPr>
              <w:pStyle w:val="TableTextEntries"/>
            </w:pPr>
            <w:r w:rsidRPr="00332DF6">
              <w:t>INH413</w:t>
            </w:r>
          </w:p>
        </w:tc>
        <w:tc>
          <w:tcPr>
            <w:tcW w:w="1840" w:type="dxa"/>
            <w:vMerge w:val="restart"/>
            <w:hideMark/>
          </w:tcPr>
          <w:p w14:paraId="420DC8B0" w14:textId="77777777" w:rsidR="006B1681" w:rsidRPr="00332DF6" w:rsidRDefault="006B1681" w:rsidP="00332DF6">
            <w:pPr>
              <w:pStyle w:val="TableTextEntries"/>
            </w:pPr>
            <w:r w:rsidRPr="00332DF6">
              <w:t>$10,504,500.04</w:t>
            </w:r>
          </w:p>
        </w:tc>
        <w:tc>
          <w:tcPr>
            <w:tcW w:w="1128" w:type="dxa"/>
            <w:vMerge w:val="restart"/>
            <w:noWrap/>
            <w:hideMark/>
          </w:tcPr>
          <w:p w14:paraId="420DC8B1" w14:textId="77777777" w:rsidR="006B1681" w:rsidRPr="00332DF6" w:rsidRDefault="006B1681" w:rsidP="00332DF6">
            <w:pPr>
              <w:pStyle w:val="TableTextEntries"/>
            </w:pPr>
            <w:r w:rsidRPr="00332DF6">
              <w:t>2007</w:t>
            </w:r>
            <w:r w:rsidR="00C40272" w:rsidRPr="00332DF6">
              <w:t>–</w:t>
            </w:r>
            <w:r w:rsidRPr="00332DF6">
              <w:t>12</w:t>
            </w:r>
          </w:p>
        </w:tc>
        <w:tc>
          <w:tcPr>
            <w:tcW w:w="920" w:type="dxa"/>
            <w:noWrap/>
            <w:hideMark/>
          </w:tcPr>
          <w:p w14:paraId="420DC8B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8B3"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8B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8B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8B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8B7"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B8" w14:textId="77777777" w:rsidR="006B1681" w:rsidRPr="00332DF6" w:rsidRDefault="006B1681" w:rsidP="00152088">
            <w:pPr>
              <w:pStyle w:val="TableTextEntries"/>
              <w:jc w:val="center"/>
            </w:pPr>
            <w:r w:rsidRPr="00332DF6">
              <w:t>3</w:t>
            </w:r>
          </w:p>
        </w:tc>
      </w:tr>
      <w:tr w:rsidR="006B1681" w:rsidRPr="00250BC3" w14:paraId="420DC8C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BA" w14:textId="77777777" w:rsidR="006B1681" w:rsidRPr="00332DF6" w:rsidRDefault="006B1681" w:rsidP="00332DF6">
            <w:pPr>
              <w:pStyle w:val="TableTextEntries"/>
            </w:pPr>
          </w:p>
        </w:tc>
        <w:tc>
          <w:tcPr>
            <w:tcW w:w="887" w:type="dxa"/>
            <w:vMerge/>
            <w:hideMark/>
          </w:tcPr>
          <w:p w14:paraId="420DC8BB" w14:textId="77777777" w:rsidR="006B1681" w:rsidRPr="00332DF6" w:rsidRDefault="006B1681" w:rsidP="00332DF6">
            <w:pPr>
              <w:pStyle w:val="TableTextEntries"/>
            </w:pPr>
          </w:p>
        </w:tc>
        <w:tc>
          <w:tcPr>
            <w:tcW w:w="1840" w:type="dxa"/>
            <w:vMerge/>
            <w:hideMark/>
          </w:tcPr>
          <w:p w14:paraId="420DC8BC" w14:textId="77777777" w:rsidR="006B1681" w:rsidRPr="00332DF6" w:rsidRDefault="006B1681" w:rsidP="00332DF6">
            <w:pPr>
              <w:pStyle w:val="TableTextEntries"/>
            </w:pPr>
          </w:p>
        </w:tc>
        <w:tc>
          <w:tcPr>
            <w:tcW w:w="1128" w:type="dxa"/>
            <w:vMerge/>
            <w:hideMark/>
          </w:tcPr>
          <w:p w14:paraId="420DC8BD" w14:textId="77777777" w:rsidR="006B1681" w:rsidRPr="00332DF6" w:rsidRDefault="006B1681" w:rsidP="00332DF6">
            <w:pPr>
              <w:pStyle w:val="TableTextEntries"/>
            </w:pPr>
          </w:p>
        </w:tc>
        <w:tc>
          <w:tcPr>
            <w:tcW w:w="920" w:type="dxa"/>
            <w:noWrap/>
            <w:hideMark/>
          </w:tcPr>
          <w:p w14:paraId="420DC8BE" w14:textId="77777777" w:rsidR="006B1681" w:rsidRPr="00332DF6" w:rsidRDefault="006B1681" w:rsidP="00332DF6">
            <w:pPr>
              <w:pStyle w:val="TableTextEntries"/>
            </w:pPr>
            <w:r w:rsidRPr="00332DF6">
              <w:t>2012</w:t>
            </w:r>
          </w:p>
        </w:tc>
        <w:tc>
          <w:tcPr>
            <w:tcW w:w="894" w:type="dxa"/>
            <w:noWrap/>
            <w:hideMark/>
          </w:tcPr>
          <w:p w14:paraId="420DC8BF" w14:textId="77777777" w:rsidR="006B1681" w:rsidRPr="00332DF6" w:rsidRDefault="006B1681" w:rsidP="00152088">
            <w:pPr>
              <w:pStyle w:val="TableTextEntries"/>
              <w:jc w:val="center"/>
            </w:pPr>
            <w:r w:rsidRPr="00332DF6">
              <w:t>Exempt</w:t>
            </w:r>
          </w:p>
        </w:tc>
        <w:tc>
          <w:tcPr>
            <w:tcW w:w="894" w:type="dxa"/>
            <w:noWrap/>
            <w:hideMark/>
          </w:tcPr>
          <w:p w14:paraId="420DC8C0" w14:textId="77777777" w:rsidR="006B1681" w:rsidRPr="00332DF6" w:rsidRDefault="006B1681" w:rsidP="00152088">
            <w:pPr>
              <w:pStyle w:val="TableTextEntries"/>
              <w:jc w:val="center"/>
            </w:pPr>
            <w:r w:rsidRPr="00332DF6">
              <w:t>Exempt</w:t>
            </w:r>
          </w:p>
        </w:tc>
        <w:tc>
          <w:tcPr>
            <w:tcW w:w="894" w:type="dxa"/>
            <w:noWrap/>
            <w:hideMark/>
          </w:tcPr>
          <w:p w14:paraId="420DC8C1" w14:textId="77777777" w:rsidR="006B1681" w:rsidRPr="00332DF6" w:rsidRDefault="006B1681" w:rsidP="00152088">
            <w:pPr>
              <w:pStyle w:val="TableTextEntries"/>
              <w:jc w:val="center"/>
            </w:pPr>
            <w:r w:rsidRPr="00332DF6">
              <w:t>Exempt</w:t>
            </w:r>
          </w:p>
        </w:tc>
        <w:tc>
          <w:tcPr>
            <w:tcW w:w="894" w:type="dxa"/>
            <w:noWrap/>
            <w:hideMark/>
          </w:tcPr>
          <w:p w14:paraId="420DC8C2" w14:textId="77777777" w:rsidR="006B1681" w:rsidRPr="00332DF6" w:rsidRDefault="006B1681" w:rsidP="00152088">
            <w:pPr>
              <w:pStyle w:val="TableTextEntries"/>
              <w:jc w:val="center"/>
            </w:pPr>
            <w:r w:rsidRPr="00332DF6">
              <w:t>Exempt</w:t>
            </w:r>
          </w:p>
        </w:tc>
        <w:tc>
          <w:tcPr>
            <w:tcW w:w="894" w:type="dxa"/>
            <w:noWrap/>
            <w:hideMark/>
          </w:tcPr>
          <w:p w14:paraId="420DC8C3" w14:textId="77777777" w:rsidR="006B1681" w:rsidRPr="00332DF6" w:rsidRDefault="006B1681" w:rsidP="00152088">
            <w:pPr>
              <w:pStyle w:val="TableTextEntries"/>
              <w:jc w:val="center"/>
            </w:pPr>
            <w:r w:rsidRPr="00332DF6">
              <w:t>Exempt</w:t>
            </w:r>
          </w:p>
        </w:tc>
        <w:tc>
          <w:tcPr>
            <w:tcW w:w="894" w:type="dxa"/>
            <w:noWrap/>
            <w:hideMark/>
          </w:tcPr>
          <w:p w14:paraId="420DC8C4" w14:textId="77777777" w:rsidR="006B1681" w:rsidRPr="00332DF6" w:rsidRDefault="006B1681" w:rsidP="00152088">
            <w:pPr>
              <w:pStyle w:val="TableTextEntries"/>
              <w:jc w:val="center"/>
            </w:pPr>
            <w:r w:rsidRPr="00332DF6">
              <w:t>Exempt</w:t>
            </w:r>
          </w:p>
        </w:tc>
      </w:tr>
      <w:tr w:rsidR="006B1681" w:rsidRPr="00250BC3" w14:paraId="420DC8D1" w14:textId="77777777" w:rsidTr="00A84A34">
        <w:trPr>
          <w:tblHeader w:val="0"/>
        </w:trPr>
        <w:tc>
          <w:tcPr>
            <w:tcW w:w="2785" w:type="dxa"/>
            <w:vMerge w:val="restart"/>
            <w:hideMark/>
          </w:tcPr>
          <w:p w14:paraId="420DC8C6" w14:textId="77777777" w:rsidR="006B1681" w:rsidRPr="00332DF6" w:rsidRDefault="006B1681" w:rsidP="00332DF6">
            <w:pPr>
              <w:pStyle w:val="TableTextEntries"/>
            </w:pPr>
            <w:r w:rsidRPr="00332DF6">
              <w:t xml:space="preserve">PACER Plus </w:t>
            </w:r>
            <w:r w:rsidR="00E96687" w:rsidRPr="00332DF6">
              <w:t>s</w:t>
            </w:r>
            <w:r w:rsidRPr="00332DF6">
              <w:t>upport</w:t>
            </w:r>
          </w:p>
        </w:tc>
        <w:tc>
          <w:tcPr>
            <w:tcW w:w="887" w:type="dxa"/>
            <w:vMerge w:val="restart"/>
            <w:noWrap/>
            <w:hideMark/>
          </w:tcPr>
          <w:p w14:paraId="420DC8C7" w14:textId="77777777" w:rsidR="006B1681" w:rsidRPr="00332DF6" w:rsidRDefault="006B1681" w:rsidP="00332DF6">
            <w:pPr>
              <w:pStyle w:val="TableTextEntries"/>
            </w:pPr>
            <w:r w:rsidRPr="00332DF6">
              <w:t>INH524</w:t>
            </w:r>
          </w:p>
        </w:tc>
        <w:tc>
          <w:tcPr>
            <w:tcW w:w="1840" w:type="dxa"/>
            <w:vMerge w:val="restart"/>
            <w:hideMark/>
          </w:tcPr>
          <w:p w14:paraId="420DC8C8" w14:textId="77777777" w:rsidR="006B1681" w:rsidRPr="00332DF6" w:rsidRDefault="006B1681" w:rsidP="00332DF6">
            <w:pPr>
              <w:pStyle w:val="TableTextEntries"/>
            </w:pPr>
            <w:r w:rsidRPr="00332DF6">
              <w:t>$13,952,981.38</w:t>
            </w:r>
          </w:p>
        </w:tc>
        <w:tc>
          <w:tcPr>
            <w:tcW w:w="1128" w:type="dxa"/>
            <w:vMerge w:val="restart"/>
            <w:noWrap/>
            <w:hideMark/>
          </w:tcPr>
          <w:p w14:paraId="420DC8C9" w14:textId="77777777" w:rsidR="006B1681" w:rsidRPr="00332DF6" w:rsidRDefault="006B1681" w:rsidP="00332DF6">
            <w:pPr>
              <w:pStyle w:val="TableTextEntries"/>
            </w:pPr>
            <w:r w:rsidRPr="00332DF6">
              <w:t>2007</w:t>
            </w:r>
            <w:r w:rsidR="00C40272" w:rsidRPr="00332DF6">
              <w:t>–</w:t>
            </w:r>
            <w:r w:rsidRPr="00332DF6">
              <w:t>13</w:t>
            </w:r>
          </w:p>
        </w:tc>
        <w:tc>
          <w:tcPr>
            <w:tcW w:w="920" w:type="dxa"/>
            <w:noWrap/>
            <w:hideMark/>
          </w:tcPr>
          <w:p w14:paraId="420DC8C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8C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8C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8C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8CE"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CF"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8D0" w14:textId="77777777" w:rsidR="006B1681" w:rsidRPr="00332DF6" w:rsidRDefault="006B1681" w:rsidP="00152088">
            <w:pPr>
              <w:pStyle w:val="TableTextEntries"/>
              <w:jc w:val="center"/>
            </w:pPr>
            <w:r w:rsidRPr="00332DF6">
              <w:t>4</w:t>
            </w:r>
          </w:p>
        </w:tc>
      </w:tr>
      <w:tr w:rsidR="006B1681" w:rsidRPr="00250BC3" w14:paraId="420DC8D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D2" w14:textId="77777777" w:rsidR="006B1681" w:rsidRPr="00332DF6" w:rsidRDefault="006B1681" w:rsidP="00332DF6">
            <w:pPr>
              <w:pStyle w:val="TableTextEntries"/>
            </w:pPr>
          </w:p>
        </w:tc>
        <w:tc>
          <w:tcPr>
            <w:tcW w:w="887" w:type="dxa"/>
            <w:vMerge/>
            <w:hideMark/>
          </w:tcPr>
          <w:p w14:paraId="420DC8D3" w14:textId="77777777" w:rsidR="006B1681" w:rsidRPr="00332DF6" w:rsidRDefault="006B1681" w:rsidP="00332DF6">
            <w:pPr>
              <w:pStyle w:val="TableTextEntries"/>
            </w:pPr>
          </w:p>
        </w:tc>
        <w:tc>
          <w:tcPr>
            <w:tcW w:w="1840" w:type="dxa"/>
            <w:vMerge/>
            <w:hideMark/>
          </w:tcPr>
          <w:p w14:paraId="420DC8D4" w14:textId="77777777" w:rsidR="006B1681" w:rsidRPr="00332DF6" w:rsidRDefault="006B1681" w:rsidP="00332DF6">
            <w:pPr>
              <w:pStyle w:val="TableTextEntries"/>
            </w:pPr>
          </w:p>
        </w:tc>
        <w:tc>
          <w:tcPr>
            <w:tcW w:w="1128" w:type="dxa"/>
            <w:vMerge/>
            <w:hideMark/>
          </w:tcPr>
          <w:p w14:paraId="420DC8D5" w14:textId="77777777" w:rsidR="006B1681" w:rsidRPr="00332DF6" w:rsidRDefault="006B1681" w:rsidP="00332DF6">
            <w:pPr>
              <w:pStyle w:val="TableTextEntries"/>
            </w:pPr>
          </w:p>
        </w:tc>
        <w:tc>
          <w:tcPr>
            <w:tcW w:w="920" w:type="dxa"/>
            <w:noWrap/>
            <w:hideMark/>
          </w:tcPr>
          <w:p w14:paraId="420DC8D6" w14:textId="77777777" w:rsidR="006B1681" w:rsidRPr="00332DF6" w:rsidRDefault="006B1681" w:rsidP="00332DF6">
            <w:pPr>
              <w:pStyle w:val="TableTextEntries"/>
            </w:pPr>
            <w:r w:rsidRPr="00332DF6">
              <w:t>2012</w:t>
            </w:r>
          </w:p>
        </w:tc>
        <w:tc>
          <w:tcPr>
            <w:tcW w:w="894" w:type="dxa"/>
            <w:shd w:val="clear" w:color="auto" w:fill="92D050"/>
            <w:noWrap/>
            <w:hideMark/>
          </w:tcPr>
          <w:p w14:paraId="420DC8D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D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D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D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DB"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8DC" w14:textId="77777777" w:rsidR="006B1681" w:rsidRPr="00332DF6" w:rsidRDefault="006B1681" w:rsidP="00152088">
            <w:pPr>
              <w:pStyle w:val="TableTextEntries"/>
              <w:jc w:val="center"/>
            </w:pPr>
            <w:r w:rsidRPr="00332DF6">
              <w:t>3</w:t>
            </w:r>
          </w:p>
        </w:tc>
      </w:tr>
      <w:tr w:rsidR="006B1681" w:rsidRPr="00250BC3" w14:paraId="420DC8E9" w14:textId="77777777" w:rsidTr="00A84A34">
        <w:trPr>
          <w:tblHeader w:val="0"/>
        </w:trPr>
        <w:tc>
          <w:tcPr>
            <w:tcW w:w="2785" w:type="dxa"/>
            <w:vMerge w:val="restart"/>
            <w:hideMark/>
          </w:tcPr>
          <w:p w14:paraId="420DC8DE" w14:textId="77777777" w:rsidR="006B1681" w:rsidRPr="00332DF6" w:rsidRDefault="006B1681" w:rsidP="00332DF6">
            <w:pPr>
              <w:pStyle w:val="TableTextEntries"/>
            </w:pPr>
            <w:r w:rsidRPr="00332DF6">
              <w:t>Labour Mobility</w:t>
            </w:r>
            <w:r w:rsidR="00D12BCD" w:rsidRPr="00332DF6">
              <w:t>—</w:t>
            </w:r>
            <w:r w:rsidR="00E96687" w:rsidRPr="00332DF6">
              <w:t>seasonal worker pilot scheme</w:t>
            </w:r>
          </w:p>
        </w:tc>
        <w:tc>
          <w:tcPr>
            <w:tcW w:w="887" w:type="dxa"/>
            <w:vMerge w:val="restart"/>
            <w:noWrap/>
            <w:hideMark/>
          </w:tcPr>
          <w:p w14:paraId="420DC8DF" w14:textId="77777777" w:rsidR="006B1681" w:rsidRPr="00332DF6" w:rsidRDefault="006B1681" w:rsidP="00332DF6">
            <w:pPr>
              <w:pStyle w:val="TableTextEntries"/>
            </w:pPr>
            <w:r w:rsidRPr="00332DF6">
              <w:t>INI174</w:t>
            </w:r>
          </w:p>
        </w:tc>
        <w:tc>
          <w:tcPr>
            <w:tcW w:w="1840" w:type="dxa"/>
            <w:vMerge w:val="restart"/>
            <w:hideMark/>
          </w:tcPr>
          <w:p w14:paraId="420DC8E0" w14:textId="77777777" w:rsidR="006B1681" w:rsidRPr="00332DF6" w:rsidRDefault="006B1681" w:rsidP="00332DF6">
            <w:pPr>
              <w:pStyle w:val="TableTextEntries"/>
            </w:pPr>
            <w:r w:rsidRPr="00332DF6">
              <w:t>$6,722,294.15</w:t>
            </w:r>
          </w:p>
        </w:tc>
        <w:tc>
          <w:tcPr>
            <w:tcW w:w="1128" w:type="dxa"/>
            <w:vMerge w:val="restart"/>
            <w:noWrap/>
            <w:hideMark/>
          </w:tcPr>
          <w:p w14:paraId="420DC8E1" w14:textId="77777777" w:rsidR="006B1681" w:rsidRPr="00332DF6" w:rsidRDefault="006B1681" w:rsidP="00332DF6">
            <w:pPr>
              <w:pStyle w:val="TableTextEntries"/>
            </w:pPr>
            <w:r w:rsidRPr="00332DF6">
              <w:t>2008</w:t>
            </w:r>
            <w:r w:rsidR="00C40272" w:rsidRPr="00332DF6">
              <w:t>–</w:t>
            </w:r>
            <w:r w:rsidRPr="00332DF6">
              <w:t>12</w:t>
            </w:r>
          </w:p>
        </w:tc>
        <w:tc>
          <w:tcPr>
            <w:tcW w:w="920" w:type="dxa"/>
            <w:noWrap/>
            <w:hideMark/>
          </w:tcPr>
          <w:p w14:paraId="420DC8E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8E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8E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8E5"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8E6"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8E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8E8" w14:textId="77777777" w:rsidR="006B1681" w:rsidRPr="00332DF6" w:rsidRDefault="006B1681" w:rsidP="00152088">
            <w:pPr>
              <w:pStyle w:val="TableTextEntries"/>
              <w:jc w:val="center"/>
            </w:pPr>
            <w:r w:rsidRPr="00332DF6">
              <w:t>3</w:t>
            </w:r>
          </w:p>
        </w:tc>
      </w:tr>
      <w:tr w:rsidR="006B1681" w:rsidRPr="00250BC3" w14:paraId="420DC8F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8EA" w14:textId="77777777" w:rsidR="006B1681" w:rsidRPr="00332DF6" w:rsidRDefault="006B1681" w:rsidP="00332DF6">
            <w:pPr>
              <w:pStyle w:val="TableTextEntries"/>
            </w:pPr>
          </w:p>
        </w:tc>
        <w:tc>
          <w:tcPr>
            <w:tcW w:w="887" w:type="dxa"/>
            <w:vMerge/>
            <w:hideMark/>
          </w:tcPr>
          <w:p w14:paraId="420DC8EB" w14:textId="77777777" w:rsidR="006B1681" w:rsidRPr="00332DF6" w:rsidRDefault="006B1681" w:rsidP="00332DF6">
            <w:pPr>
              <w:pStyle w:val="TableTextEntries"/>
            </w:pPr>
          </w:p>
        </w:tc>
        <w:tc>
          <w:tcPr>
            <w:tcW w:w="1840" w:type="dxa"/>
            <w:vMerge/>
            <w:hideMark/>
          </w:tcPr>
          <w:p w14:paraId="420DC8EC" w14:textId="77777777" w:rsidR="006B1681" w:rsidRPr="00332DF6" w:rsidRDefault="006B1681" w:rsidP="00332DF6">
            <w:pPr>
              <w:pStyle w:val="TableTextEntries"/>
            </w:pPr>
          </w:p>
        </w:tc>
        <w:tc>
          <w:tcPr>
            <w:tcW w:w="1128" w:type="dxa"/>
            <w:vMerge/>
            <w:hideMark/>
          </w:tcPr>
          <w:p w14:paraId="420DC8ED" w14:textId="77777777" w:rsidR="006B1681" w:rsidRPr="00332DF6" w:rsidRDefault="006B1681" w:rsidP="00332DF6">
            <w:pPr>
              <w:pStyle w:val="TableTextEntries"/>
            </w:pPr>
          </w:p>
        </w:tc>
        <w:tc>
          <w:tcPr>
            <w:tcW w:w="920" w:type="dxa"/>
            <w:noWrap/>
            <w:hideMark/>
          </w:tcPr>
          <w:p w14:paraId="420DC8EE" w14:textId="77777777" w:rsidR="006B1681" w:rsidRPr="00332DF6" w:rsidRDefault="006B1681" w:rsidP="00332DF6">
            <w:pPr>
              <w:pStyle w:val="TableTextEntries"/>
            </w:pPr>
            <w:r w:rsidRPr="00332DF6">
              <w:t>2012</w:t>
            </w:r>
          </w:p>
        </w:tc>
        <w:tc>
          <w:tcPr>
            <w:tcW w:w="894" w:type="dxa"/>
            <w:shd w:val="clear" w:color="auto" w:fill="92D050"/>
            <w:noWrap/>
            <w:hideMark/>
          </w:tcPr>
          <w:p w14:paraId="420DC8EF"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F0"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8F1"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8F2" w14:textId="77777777" w:rsidR="006B1681" w:rsidRPr="00332DF6" w:rsidRDefault="006B1681" w:rsidP="00152088">
            <w:pPr>
              <w:pStyle w:val="TableTextEntries"/>
              <w:jc w:val="center"/>
            </w:pPr>
            <w:r w:rsidRPr="00332DF6">
              <w:t>3</w:t>
            </w:r>
          </w:p>
        </w:tc>
        <w:tc>
          <w:tcPr>
            <w:tcW w:w="894" w:type="dxa"/>
            <w:shd w:val="clear" w:color="auto" w:fill="92D050"/>
            <w:noWrap/>
            <w:hideMark/>
          </w:tcPr>
          <w:p w14:paraId="420DC8F3"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8F4" w14:textId="77777777" w:rsidR="006B1681" w:rsidRPr="00332DF6" w:rsidRDefault="006B1681" w:rsidP="00152088">
            <w:pPr>
              <w:pStyle w:val="TableTextEntries"/>
              <w:jc w:val="center"/>
            </w:pPr>
            <w:r w:rsidRPr="00332DF6">
              <w:t>4</w:t>
            </w:r>
          </w:p>
        </w:tc>
      </w:tr>
      <w:tr w:rsidR="006B1681" w:rsidRPr="00250BC3" w14:paraId="420DC901" w14:textId="77777777" w:rsidTr="00332DF6">
        <w:trPr>
          <w:tblHeader w:val="0"/>
        </w:trPr>
        <w:tc>
          <w:tcPr>
            <w:tcW w:w="2785" w:type="dxa"/>
            <w:vMerge w:val="restart"/>
            <w:hideMark/>
          </w:tcPr>
          <w:p w14:paraId="420DC8F6" w14:textId="77777777" w:rsidR="006B1681" w:rsidRPr="00332DF6" w:rsidRDefault="006B1681" w:rsidP="00332DF6">
            <w:pPr>
              <w:pStyle w:val="TableTextEntries"/>
            </w:pPr>
            <w:r w:rsidRPr="00332DF6">
              <w:t>Pacific Education Management and Review</w:t>
            </w:r>
          </w:p>
        </w:tc>
        <w:tc>
          <w:tcPr>
            <w:tcW w:w="887" w:type="dxa"/>
            <w:vMerge w:val="restart"/>
            <w:noWrap/>
            <w:hideMark/>
          </w:tcPr>
          <w:p w14:paraId="420DC8F7" w14:textId="77777777" w:rsidR="006B1681" w:rsidRPr="00332DF6" w:rsidRDefault="006B1681" w:rsidP="00332DF6">
            <w:pPr>
              <w:pStyle w:val="TableTextEntries"/>
            </w:pPr>
            <w:r w:rsidRPr="00332DF6">
              <w:t>INI462</w:t>
            </w:r>
          </w:p>
        </w:tc>
        <w:tc>
          <w:tcPr>
            <w:tcW w:w="1840" w:type="dxa"/>
            <w:vMerge w:val="restart"/>
            <w:hideMark/>
          </w:tcPr>
          <w:p w14:paraId="420DC8F8" w14:textId="77777777" w:rsidR="006B1681" w:rsidRPr="00332DF6" w:rsidRDefault="006B1681" w:rsidP="00332DF6">
            <w:pPr>
              <w:pStyle w:val="TableTextEntries"/>
            </w:pPr>
            <w:r w:rsidRPr="00332DF6">
              <w:t>$7,815,482.78</w:t>
            </w:r>
          </w:p>
        </w:tc>
        <w:tc>
          <w:tcPr>
            <w:tcW w:w="1128" w:type="dxa"/>
            <w:vMerge w:val="restart"/>
            <w:noWrap/>
            <w:hideMark/>
          </w:tcPr>
          <w:p w14:paraId="420DC8F9" w14:textId="77777777" w:rsidR="006B1681" w:rsidRPr="00332DF6" w:rsidRDefault="006B1681" w:rsidP="00332DF6">
            <w:pPr>
              <w:pStyle w:val="TableTextEntries"/>
            </w:pPr>
            <w:r w:rsidRPr="00332DF6">
              <w:t>2009</w:t>
            </w:r>
            <w:r w:rsidR="00C40272" w:rsidRPr="00332DF6">
              <w:t>–</w:t>
            </w:r>
            <w:r w:rsidRPr="00332DF6">
              <w:t>16</w:t>
            </w:r>
          </w:p>
        </w:tc>
        <w:tc>
          <w:tcPr>
            <w:tcW w:w="920" w:type="dxa"/>
            <w:noWrap/>
            <w:hideMark/>
          </w:tcPr>
          <w:p w14:paraId="420DC8FA" w14:textId="77777777" w:rsidR="006B1681" w:rsidRPr="00332DF6" w:rsidRDefault="006B1681" w:rsidP="00332DF6">
            <w:pPr>
              <w:pStyle w:val="TableTextEntries"/>
            </w:pPr>
            <w:r w:rsidRPr="00332DF6">
              <w:t>2011</w:t>
            </w:r>
          </w:p>
        </w:tc>
        <w:tc>
          <w:tcPr>
            <w:tcW w:w="894" w:type="dxa"/>
            <w:noWrap/>
            <w:hideMark/>
          </w:tcPr>
          <w:p w14:paraId="420DC8FB" w14:textId="77777777" w:rsidR="006B1681" w:rsidRPr="00332DF6" w:rsidRDefault="006B1681" w:rsidP="00152088">
            <w:pPr>
              <w:pStyle w:val="TableTextEntries"/>
              <w:jc w:val="center"/>
            </w:pPr>
            <w:r w:rsidRPr="00332DF6">
              <w:t>Exempt</w:t>
            </w:r>
          </w:p>
        </w:tc>
        <w:tc>
          <w:tcPr>
            <w:tcW w:w="894" w:type="dxa"/>
            <w:noWrap/>
            <w:hideMark/>
          </w:tcPr>
          <w:p w14:paraId="420DC8FC" w14:textId="77777777" w:rsidR="006B1681" w:rsidRPr="00332DF6" w:rsidRDefault="006B1681" w:rsidP="00152088">
            <w:pPr>
              <w:pStyle w:val="TableTextEntries"/>
              <w:jc w:val="center"/>
            </w:pPr>
            <w:r w:rsidRPr="00332DF6">
              <w:t>Exempt</w:t>
            </w:r>
          </w:p>
        </w:tc>
        <w:tc>
          <w:tcPr>
            <w:tcW w:w="894" w:type="dxa"/>
            <w:noWrap/>
            <w:hideMark/>
          </w:tcPr>
          <w:p w14:paraId="420DC8FD" w14:textId="77777777" w:rsidR="006B1681" w:rsidRPr="00332DF6" w:rsidRDefault="006B1681" w:rsidP="00152088">
            <w:pPr>
              <w:pStyle w:val="TableTextEntries"/>
              <w:jc w:val="center"/>
            </w:pPr>
            <w:r w:rsidRPr="00332DF6">
              <w:t>Exempt</w:t>
            </w:r>
          </w:p>
        </w:tc>
        <w:tc>
          <w:tcPr>
            <w:tcW w:w="894" w:type="dxa"/>
            <w:noWrap/>
            <w:hideMark/>
          </w:tcPr>
          <w:p w14:paraId="420DC8FE" w14:textId="77777777" w:rsidR="006B1681" w:rsidRPr="00332DF6" w:rsidRDefault="006B1681" w:rsidP="00152088">
            <w:pPr>
              <w:pStyle w:val="TableTextEntries"/>
              <w:jc w:val="center"/>
            </w:pPr>
            <w:r w:rsidRPr="00332DF6">
              <w:t>Exempt</w:t>
            </w:r>
          </w:p>
        </w:tc>
        <w:tc>
          <w:tcPr>
            <w:tcW w:w="894" w:type="dxa"/>
            <w:noWrap/>
            <w:hideMark/>
          </w:tcPr>
          <w:p w14:paraId="420DC8FF" w14:textId="77777777" w:rsidR="006B1681" w:rsidRPr="00332DF6" w:rsidRDefault="006B1681" w:rsidP="00152088">
            <w:pPr>
              <w:pStyle w:val="TableTextEntries"/>
              <w:jc w:val="center"/>
            </w:pPr>
            <w:r w:rsidRPr="00332DF6">
              <w:t>Exempt</w:t>
            </w:r>
          </w:p>
        </w:tc>
        <w:tc>
          <w:tcPr>
            <w:tcW w:w="894" w:type="dxa"/>
            <w:noWrap/>
            <w:hideMark/>
          </w:tcPr>
          <w:p w14:paraId="420DC900" w14:textId="77777777" w:rsidR="006B1681" w:rsidRPr="00332DF6" w:rsidRDefault="006B1681" w:rsidP="00152088">
            <w:pPr>
              <w:pStyle w:val="TableTextEntries"/>
              <w:jc w:val="center"/>
            </w:pPr>
            <w:r w:rsidRPr="00332DF6">
              <w:t>Exempt</w:t>
            </w:r>
          </w:p>
        </w:tc>
      </w:tr>
      <w:tr w:rsidR="006B1681" w:rsidRPr="00250BC3" w14:paraId="420DC90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02" w14:textId="77777777" w:rsidR="006B1681" w:rsidRPr="00332DF6" w:rsidRDefault="006B1681" w:rsidP="00332DF6">
            <w:pPr>
              <w:pStyle w:val="TableTextEntries"/>
            </w:pPr>
          </w:p>
        </w:tc>
        <w:tc>
          <w:tcPr>
            <w:tcW w:w="887" w:type="dxa"/>
            <w:vMerge/>
            <w:hideMark/>
          </w:tcPr>
          <w:p w14:paraId="420DC903" w14:textId="77777777" w:rsidR="006B1681" w:rsidRPr="00332DF6" w:rsidRDefault="006B1681" w:rsidP="00332DF6">
            <w:pPr>
              <w:pStyle w:val="TableTextEntries"/>
            </w:pPr>
          </w:p>
        </w:tc>
        <w:tc>
          <w:tcPr>
            <w:tcW w:w="1840" w:type="dxa"/>
            <w:vMerge/>
            <w:hideMark/>
          </w:tcPr>
          <w:p w14:paraId="420DC904" w14:textId="77777777" w:rsidR="006B1681" w:rsidRPr="00332DF6" w:rsidRDefault="006B1681" w:rsidP="00332DF6">
            <w:pPr>
              <w:pStyle w:val="TableTextEntries"/>
            </w:pPr>
          </w:p>
        </w:tc>
        <w:tc>
          <w:tcPr>
            <w:tcW w:w="1128" w:type="dxa"/>
            <w:vMerge/>
            <w:hideMark/>
          </w:tcPr>
          <w:p w14:paraId="420DC905" w14:textId="77777777" w:rsidR="006B1681" w:rsidRPr="00332DF6" w:rsidRDefault="006B1681" w:rsidP="00332DF6">
            <w:pPr>
              <w:pStyle w:val="TableTextEntries"/>
            </w:pPr>
          </w:p>
        </w:tc>
        <w:tc>
          <w:tcPr>
            <w:tcW w:w="920" w:type="dxa"/>
            <w:noWrap/>
            <w:hideMark/>
          </w:tcPr>
          <w:p w14:paraId="420DC906" w14:textId="77777777" w:rsidR="006B1681" w:rsidRPr="00332DF6" w:rsidRDefault="006B1681" w:rsidP="00332DF6">
            <w:pPr>
              <w:pStyle w:val="TableTextEntries"/>
            </w:pPr>
            <w:r w:rsidRPr="00332DF6">
              <w:t>2012</w:t>
            </w:r>
          </w:p>
        </w:tc>
        <w:tc>
          <w:tcPr>
            <w:tcW w:w="894" w:type="dxa"/>
            <w:noWrap/>
            <w:hideMark/>
          </w:tcPr>
          <w:p w14:paraId="420DC907" w14:textId="77777777" w:rsidR="006B1681" w:rsidRPr="00332DF6" w:rsidRDefault="006B1681" w:rsidP="00152088">
            <w:pPr>
              <w:pStyle w:val="TableTextEntries"/>
              <w:jc w:val="center"/>
            </w:pPr>
            <w:r w:rsidRPr="00332DF6">
              <w:t>Exempt</w:t>
            </w:r>
          </w:p>
        </w:tc>
        <w:tc>
          <w:tcPr>
            <w:tcW w:w="894" w:type="dxa"/>
            <w:noWrap/>
            <w:hideMark/>
          </w:tcPr>
          <w:p w14:paraId="420DC908" w14:textId="77777777" w:rsidR="006B1681" w:rsidRPr="00332DF6" w:rsidRDefault="006B1681" w:rsidP="00152088">
            <w:pPr>
              <w:pStyle w:val="TableTextEntries"/>
              <w:jc w:val="center"/>
            </w:pPr>
            <w:r w:rsidRPr="00332DF6">
              <w:t>Exempt</w:t>
            </w:r>
          </w:p>
        </w:tc>
        <w:tc>
          <w:tcPr>
            <w:tcW w:w="894" w:type="dxa"/>
            <w:noWrap/>
            <w:hideMark/>
          </w:tcPr>
          <w:p w14:paraId="420DC909" w14:textId="77777777" w:rsidR="006B1681" w:rsidRPr="00332DF6" w:rsidRDefault="006B1681" w:rsidP="00152088">
            <w:pPr>
              <w:pStyle w:val="TableTextEntries"/>
              <w:jc w:val="center"/>
            </w:pPr>
            <w:r w:rsidRPr="00332DF6">
              <w:t>Exempt</w:t>
            </w:r>
          </w:p>
        </w:tc>
        <w:tc>
          <w:tcPr>
            <w:tcW w:w="894" w:type="dxa"/>
            <w:noWrap/>
            <w:hideMark/>
          </w:tcPr>
          <w:p w14:paraId="420DC90A" w14:textId="77777777" w:rsidR="006B1681" w:rsidRPr="00332DF6" w:rsidRDefault="006B1681" w:rsidP="00152088">
            <w:pPr>
              <w:pStyle w:val="TableTextEntries"/>
              <w:jc w:val="center"/>
            </w:pPr>
            <w:r w:rsidRPr="00332DF6">
              <w:t>Exempt</w:t>
            </w:r>
          </w:p>
        </w:tc>
        <w:tc>
          <w:tcPr>
            <w:tcW w:w="894" w:type="dxa"/>
            <w:noWrap/>
            <w:hideMark/>
          </w:tcPr>
          <w:p w14:paraId="420DC90B" w14:textId="77777777" w:rsidR="006B1681" w:rsidRPr="00332DF6" w:rsidRDefault="006B1681" w:rsidP="00152088">
            <w:pPr>
              <w:pStyle w:val="TableTextEntries"/>
              <w:jc w:val="center"/>
            </w:pPr>
            <w:r w:rsidRPr="00332DF6">
              <w:t>Exempt</w:t>
            </w:r>
          </w:p>
        </w:tc>
        <w:tc>
          <w:tcPr>
            <w:tcW w:w="894" w:type="dxa"/>
            <w:noWrap/>
            <w:hideMark/>
          </w:tcPr>
          <w:p w14:paraId="420DC90C" w14:textId="77777777" w:rsidR="006B1681" w:rsidRPr="00332DF6" w:rsidRDefault="006B1681" w:rsidP="00152088">
            <w:pPr>
              <w:pStyle w:val="TableTextEntries"/>
              <w:jc w:val="center"/>
            </w:pPr>
            <w:r w:rsidRPr="00332DF6">
              <w:t>Exempt</w:t>
            </w:r>
          </w:p>
        </w:tc>
      </w:tr>
      <w:tr w:rsidR="006B1681" w:rsidRPr="00250BC3" w14:paraId="420DC919" w14:textId="77777777" w:rsidTr="00A84A34">
        <w:trPr>
          <w:tblHeader w:val="0"/>
        </w:trPr>
        <w:tc>
          <w:tcPr>
            <w:tcW w:w="2785" w:type="dxa"/>
            <w:vMerge w:val="restart"/>
            <w:hideMark/>
          </w:tcPr>
          <w:p w14:paraId="420DC90E" w14:textId="77777777" w:rsidR="006B1681" w:rsidRPr="00332DF6" w:rsidRDefault="006B1681" w:rsidP="00332DF6">
            <w:pPr>
              <w:pStyle w:val="TableTextEntries"/>
            </w:pPr>
            <w:r w:rsidRPr="00332DF6">
              <w:t>Pacific Regional Agricultural Market Access</w:t>
            </w:r>
          </w:p>
        </w:tc>
        <w:tc>
          <w:tcPr>
            <w:tcW w:w="887" w:type="dxa"/>
            <w:vMerge w:val="restart"/>
            <w:noWrap/>
            <w:hideMark/>
          </w:tcPr>
          <w:p w14:paraId="420DC90F" w14:textId="77777777" w:rsidR="006B1681" w:rsidRPr="00332DF6" w:rsidRDefault="006B1681" w:rsidP="00332DF6">
            <w:pPr>
              <w:pStyle w:val="TableTextEntries"/>
            </w:pPr>
            <w:r w:rsidRPr="00332DF6">
              <w:t>INI851</w:t>
            </w:r>
          </w:p>
        </w:tc>
        <w:tc>
          <w:tcPr>
            <w:tcW w:w="1840" w:type="dxa"/>
            <w:vMerge w:val="restart"/>
            <w:hideMark/>
          </w:tcPr>
          <w:p w14:paraId="420DC910" w14:textId="77777777" w:rsidR="006B1681" w:rsidRPr="00332DF6" w:rsidRDefault="006B1681" w:rsidP="00332DF6">
            <w:pPr>
              <w:pStyle w:val="TableTextEntries"/>
            </w:pPr>
            <w:r w:rsidRPr="00332DF6">
              <w:t>$30,823,232.39</w:t>
            </w:r>
          </w:p>
        </w:tc>
        <w:tc>
          <w:tcPr>
            <w:tcW w:w="1128" w:type="dxa"/>
            <w:vMerge w:val="restart"/>
            <w:noWrap/>
            <w:hideMark/>
          </w:tcPr>
          <w:p w14:paraId="420DC911" w14:textId="77777777" w:rsidR="006B1681" w:rsidRPr="00332DF6" w:rsidRDefault="006B1681" w:rsidP="00332DF6">
            <w:pPr>
              <w:pStyle w:val="TableTextEntries"/>
            </w:pPr>
            <w:r w:rsidRPr="00332DF6">
              <w:t>2009</w:t>
            </w:r>
            <w:r w:rsidR="00C40272" w:rsidRPr="00332DF6">
              <w:t>–</w:t>
            </w:r>
            <w:r w:rsidRPr="00332DF6">
              <w:t>13</w:t>
            </w:r>
          </w:p>
        </w:tc>
        <w:tc>
          <w:tcPr>
            <w:tcW w:w="920" w:type="dxa"/>
            <w:noWrap/>
            <w:hideMark/>
          </w:tcPr>
          <w:p w14:paraId="420DC91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91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1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15"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91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1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18" w14:textId="77777777" w:rsidR="006B1681" w:rsidRPr="00332DF6" w:rsidRDefault="006B1681" w:rsidP="00152088">
            <w:pPr>
              <w:pStyle w:val="TableTextEntries"/>
              <w:jc w:val="center"/>
            </w:pPr>
            <w:r w:rsidRPr="00332DF6">
              <w:t>4</w:t>
            </w:r>
          </w:p>
        </w:tc>
      </w:tr>
      <w:tr w:rsidR="006B1681" w:rsidRPr="00250BC3" w14:paraId="420DC92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1A" w14:textId="77777777" w:rsidR="006B1681" w:rsidRPr="00332DF6" w:rsidRDefault="006B1681" w:rsidP="00332DF6">
            <w:pPr>
              <w:pStyle w:val="TableTextEntries"/>
            </w:pPr>
          </w:p>
        </w:tc>
        <w:tc>
          <w:tcPr>
            <w:tcW w:w="887" w:type="dxa"/>
            <w:vMerge/>
            <w:hideMark/>
          </w:tcPr>
          <w:p w14:paraId="420DC91B" w14:textId="77777777" w:rsidR="006B1681" w:rsidRPr="00332DF6" w:rsidRDefault="006B1681" w:rsidP="00332DF6">
            <w:pPr>
              <w:pStyle w:val="TableTextEntries"/>
            </w:pPr>
          </w:p>
        </w:tc>
        <w:tc>
          <w:tcPr>
            <w:tcW w:w="1840" w:type="dxa"/>
            <w:vMerge/>
            <w:hideMark/>
          </w:tcPr>
          <w:p w14:paraId="420DC91C" w14:textId="77777777" w:rsidR="006B1681" w:rsidRPr="00332DF6" w:rsidRDefault="006B1681" w:rsidP="00332DF6">
            <w:pPr>
              <w:pStyle w:val="TableTextEntries"/>
            </w:pPr>
          </w:p>
        </w:tc>
        <w:tc>
          <w:tcPr>
            <w:tcW w:w="1128" w:type="dxa"/>
            <w:vMerge/>
            <w:hideMark/>
          </w:tcPr>
          <w:p w14:paraId="420DC91D" w14:textId="77777777" w:rsidR="006B1681" w:rsidRPr="00332DF6" w:rsidRDefault="006B1681" w:rsidP="00332DF6">
            <w:pPr>
              <w:pStyle w:val="TableTextEntries"/>
            </w:pPr>
          </w:p>
        </w:tc>
        <w:tc>
          <w:tcPr>
            <w:tcW w:w="920" w:type="dxa"/>
            <w:noWrap/>
            <w:hideMark/>
          </w:tcPr>
          <w:p w14:paraId="420DC91E" w14:textId="77777777" w:rsidR="006B1681" w:rsidRPr="00332DF6" w:rsidRDefault="006B1681" w:rsidP="00332DF6">
            <w:pPr>
              <w:pStyle w:val="TableTextEntries"/>
            </w:pPr>
            <w:r w:rsidRPr="00332DF6">
              <w:t>2012</w:t>
            </w:r>
          </w:p>
        </w:tc>
        <w:tc>
          <w:tcPr>
            <w:tcW w:w="894" w:type="dxa"/>
            <w:shd w:val="clear" w:color="auto" w:fill="92D050"/>
            <w:noWrap/>
            <w:hideMark/>
          </w:tcPr>
          <w:p w14:paraId="420DC91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20"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21"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2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23"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924" w14:textId="77777777" w:rsidR="006B1681" w:rsidRPr="00332DF6" w:rsidRDefault="006B1681" w:rsidP="00152088">
            <w:pPr>
              <w:pStyle w:val="TableTextEntries"/>
              <w:jc w:val="center"/>
            </w:pPr>
            <w:r w:rsidRPr="00332DF6">
              <w:t>3</w:t>
            </w:r>
          </w:p>
        </w:tc>
      </w:tr>
      <w:tr w:rsidR="006B1681" w:rsidRPr="00250BC3" w14:paraId="420DC931" w14:textId="77777777" w:rsidTr="00A84A34">
        <w:trPr>
          <w:tblHeader w:val="0"/>
        </w:trPr>
        <w:tc>
          <w:tcPr>
            <w:tcW w:w="2785" w:type="dxa"/>
            <w:vMerge w:val="restart"/>
            <w:hideMark/>
          </w:tcPr>
          <w:p w14:paraId="420DC926" w14:textId="77777777" w:rsidR="006B1681" w:rsidRPr="00332DF6" w:rsidRDefault="006B1681" w:rsidP="00332DF6">
            <w:pPr>
              <w:pStyle w:val="TableTextEntries"/>
            </w:pPr>
            <w:r w:rsidRPr="00332DF6">
              <w:t>Pacific Public Sector Linkages Program</w:t>
            </w:r>
          </w:p>
        </w:tc>
        <w:tc>
          <w:tcPr>
            <w:tcW w:w="887" w:type="dxa"/>
            <w:vMerge w:val="restart"/>
            <w:noWrap/>
            <w:hideMark/>
          </w:tcPr>
          <w:p w14:paraId="420DC927" w14:textId="77777777" w:rsidR="006B1681" w:rsidRPr="00332DF6" w:rsidRDefault="006B1681" w:rsidP="00332DF6">
            <w:pPr>
              <w:pStyle w:val="TableTextEntries"/>
            </w:pPr>
            <w:r w:rsidRPr="00332DF6">
              <w:t>INI864</w:t>
            </w:r>
          </w:p>
        </w:tc>
        <w:tc>
          <w:tcPr>
            <w:tcW w:w="1840" w:type="dxa"/>
            <w:vMerge w:val="restart"/>
            <w:hideMark/>
          </w:tcPr>
          <w:p w14:paraId="420DC928" w14:textId="77777777" w:rsidR="006B1681" w:rsidRPr="00332DF6" w:rsidRDefault="006B1681" w:rsidP="00332DF6">
            <w:pPr>
              <w:pStyle w:val="TableTextEntries"/>
            </w:pPr>
            <w:r w:rsidRPr="00332DF6">
              <w:t>$27,012,015.56</w:t>
            </w:r>
          </w:p>
        </w:tc>
        <w:tc>
          <w:tcPr>
            <w:tcW w:w="1128" w:type="dxa"/>
            <w:vMerge w:val="restart"/>
            <w:noWrap/>
            <w:hideMark/>
          </w:tcPr>
          <w:p w14:paraId="420DC929" w14:textId="77777777" w:rsidR="006B1681" w:rsidRPr="00332DF6" w:rsidRDefault="006B1681" w:rsidP="00332DF6">
            <w:pPr>
              <w:pStyle w:val="TableTextEntries"/>
            </w:pPr>
            <w:r w:rsidRPr="00332DF6">
              <w:t>2009</w:t>
            </w:r>
            <w:r w:rsidR="00C40272" w:rsidRPr="00332DF6">
              <w:t>–</w:t>
            </w:r>
            <w:r w:rsidRPr="00332DF6">
              <w:t>14</w:t>
            </w:r>
          </w:p>
        </w:tc>
        <w:tc>
          <w:tcPr>
            <w:tcW w:w="920" w:type="dxa"/>
            <w:noWrap/>
            <w:hideMark/>
          </w:tcPr>
          <w:p w14:paraId="420DC92A"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92B"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2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2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92E"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92F"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930" w14:textId="77777777" w:rsidR="006B1681" w:rsidRPr="00332DF6" w:rsidRDefault="006B1681" w:rsidP="00152088">
            <w:pPr>
              <w:pStyle w:val="TableTextEntries"/>
              <w:jc w:val="center"/>
            </w:pPr>
            <w:r w:rsidRPr="00332DF6">
              <w:t>4</w:t>
            </w:r>
          </w:p>
        </w:tc>
      </w:tr>
      <w:tr w:rsidR="006B1681" w:rsidRPr="00250BC3" w14:paraId="420DC93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32" w14:textId="77777777" w:rsidR="006B1681" w:rsidRPr="00332DF6" w:rsidRDefault="006B1681" w:rsidP="00332DF6">
            <w:pPr>
              <w:pStyle w:val="TableTextEntries"/>
            </w:pPr>
          </w:p>
        </w:tc>
        <w:tc>
          <w:tcPr>
            <w:tcW w:w="887" w:type="dxa"/>
            <w:vMerge/>
            <w:hideMark/>
          </w:tcPr>
          <w:p w14:paraId="420DC933" w14:textId="77777777" w:rsidR="006B1681" w:rsidRPr="00332DF6" w:rsidRDefault="006B1681" w:rsidP="00332DF6">
            <w:pPr>
              <w:pStyle w:val="TableTextEntries"/>
            </w:pPr>
          </w:p>
        </w:tc>
        <w:tc>
          <w:tcPr>
            <w:tcW w:w="1840" w:type="dxa"/>
            <w:vMerge/>
            <w:hideMark/>
          </w:tcPr>
          <w:p w14:paraId="420DC934" w14:textId="77777777" w:rsidR="006B1681" w:rsidRPr="00332DF6" w:rsidRDefault="006B1681" w:rsidP="00332DF6">
            <w:pPr>
              <w:pStyle w:val="TableTextEntries"/>
            </w:pPr>
          </w:p>
        </w:tc>
        <w:tc>
          <w:tcPr>
            <w:tcW w:w="1128" w:type="dxa"/>
            <w:vMerge/>
            <w:hideMark/>
          </w:tcPr>
          <w:p w14:paraId="420DC935" w14:textId="77777777" w:rsidR="006B1681" w:rsidRPr="00332DF6" w:rsidRDefault="006B1681" w:rsidP="00332DF6">
            <w:pPr>
              <w:pStyle w:val="TableTextEntries"/>
            </w:pPr>
          </w:p>
        </w:tc>
        <w:tc>
          <w:tcPr>
            <w:tcW w:w="920" w:type="dxa"/>
            <w:noWrap/>
            <w:hideMark/>
          </w:tcPr>
          <w:p w14:paraId="420DC936" w14:textId="77777777" w:rsidR="006B1681" w:rsidRPr="00332DF6" w:rsidRDefault="006B1681" w:rsidP="00332DF6">
            <w:pPr>
              <w:pStyle w:val="TableTextEntries"/>
            </w:pPr>
            <w:r w:rsidRPr="00332DF6">
              <w:t>2012</w:t>
            </w:r>
          </w:p>
        </w:tc>
        <w:tc>
          <w:tcPr>
            <w:tcW w:w="894" w:type="dxa"/>
            <w:shd w:val="clear" w:color="auto" w:fill="FFFF00"/>
            <w:noWrap/>
            <w:hideMark/>
          </w:tcPr>
          <w:p w14:paraId="420DC937"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3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39"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93A"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93B"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93C" w14:textId="77777777" w:rsidR="006B1681" w:rsidRPr="00332DF6" w:rsidRDefault="006B1681" w:rsidP="00152088">
            <w:pPr>
              <w:pStyle w:val="TableTextEntries"/>
              <w:jc w:val="center"/>
            </w:pPr>
            <w:r w:rsidRPr="00332DF6">
              <w:t>3</w:t>
            </w:r>
          </w:p>
        </w:tc>
      </w:tr>
      <w:tr w:rsidR="006B1681" w:rsidRPr="00250BC3" w14:paraId="420DC949" w14:textId="77777777" w:rsidTr="00332DF6">
        <w:trPr>
          <w:tblHeader w:val="0"/>
        </w:trPr>
        <w:tc>
          <w:tcPr>
            <w:tcW w:w="2785" w:type="dxa"/>
            <w:vMerge w:val="restart"/>
            <w:hideMark/>
          </w:tcPr>
          <w:p w14:paraId="420DC93E" w14:textId="77777777" w:rsidR="006B1681" w:rsidRPr="00332DF6" w:rsidRDefault="006B1681" w:rsidP="00332DF6">
            <w:pPr>
              <w:pStyle w:val="TableTextEntries"/>
            </w:pPr>
            <w:r w:rsidRPr="00332DF6">
              <w:t>Australian Support for UNDP P</w:t>
            </w:r>
            <w:r w:rsidR="00E96687" w:rsidRPr="00332DF6">
              <w:t xml:space="preserve">acific </w:t>
            </w:r>
            <w:r w:rsidRPr="00332DF6">
              <w:t>F</w:t>
            </w:r>
            <w:r w:rsidR="00E96687" w:rsidRPr="00332DF6">
              <w:t xml:space="preserve">inancial </w:t>
            </w:r>
            <w:r w:rsidRPr="00332DF6">
              <w:t>I</w:t>
            </w:r>
            <w:r w:rsidR="00E96687" w:rsidRPr="00332DF6">
              <w:t xml:space="preserve">nclusion </w:t>
            </w:r>
            <w:r w:rsidRPr="00332DF6">
              <w:t>P</w:t>
            </w:r>
            <w:r w:rsidR="00E96687" w:rsidRPr="00332DF6">
              <w:t>rogram</w:t>
            </w:r>
          </w:p>
        </w:tc>
        <w:tc>
          <w:tcPr>
            <w:tcW w:w="887" w:type="dxa"/>
            <w:vMerge w:val="restart"/>
            <w:noWrap/>
            <w:hideMark/>
          </w:tcPr>
          <w:p w14:paraId="420DC93F" w14:textId="77777777" w:rsidR="006B1681" w:rsidRPr="00332DF6" w:rsidRDefault="006B1681" w:rsidP="00332DF6">
            <w:pPr>
              <w:pStyle w:val="TableTextEntries"/>
            </w:pPr>
            <w:r w:rsidRPr="00332DF6">
              <w:t>INI898</w:t>
            </w:r>
          </w:p>
        </w:tc>
        <w:tc>
          <w:tcPr>
            <w:tcW w:w="1840" w:type="dxa"/>
            <w:vMerge w:val="restart"/>
            <w:hideMark/>
          </w:tcPr>
          <w:p w14:paraId="420DC940" w14:textId="77777777" w:rsidR="006B1681" w:rsidRPr="00332DF6" w:rsidRDefault="006B1681" w:rsidP="00332DF6">
            <w:pPr>
              <w:pStyle w:val="TableTextEntries"/>
            </w:pPr>
            <w:r w:rsidRPr="00332DF6">
              <w:t>$5,315,000.00</w:t>
            </w:r>
          </w:p>
        </w:tc>
        <w:tc>
          <w:tcPr>
            <w:tcW w:w="1128" w:type="dxa"/>
            <w:vMerge w:val="restart"/>
            <w:noWrap/>
            <w:hideMark/>
          </w:tcPr>
          <w:p w14:paraId="420DC941" w14:textId="77777777" w:rsidR="006B1681" w:rsidRPr="00332DF6" w:rsidRDefault="006B1681" w:rsidP="00332DF6">
            <w:pPr>
              <w:pStyle w:val="TableTextEntries"/>
            </w:pPr>
            <w:r w:rsidRPr="00332DF6">
              <w:t>2009</w:t>
            </w:r>
            <w:r w:rsidR="00C40272" w:rsidRPr="00332DF6">
              <w:t>–</w:t>
            </w:r>
            <w:r w:rsidRPr="00332DF6">
              <w:t>14</w:t>
            </w:r>
          </w:p>
        </w:tc>
        <w:tc>
          <w:tcPr>
            <w:tcW w:w="920" w:type="dxa"/>
            <w:noWrap/>
            <w:hideMark/>
          </w:tcPr>
          <w:p w14:paraId="420DC942" w14:textId="77777777" w:rsidR="006B1681" w:rsidRPr="00332DF6" w:rsidRDefault="006B1681" w:rsidP="00332DF6">
            <w:pPr>
              <w:pStyle w:val="TableTextEntries"/>
            </w:pPr>
            <w:r w:rsidRPr="00332DF6">
              <w:t>2011</w:t>
            </w:r>
          </w:p>
        </w:tc>
        <w:tc>
          <w:tcPr>
            <w:tcW w:w="894" w:type="dxa"/>
            <w:noWrap/>
            <w:hideMark/>
          </w:tcPr>
          <w:p w14:paraId="420DC943" w14:textId="77777777" w:rsidR="006B1681" w:rsidRPr="00332DF6" w:rsidRDefault="006B1681" w:rsidP="00152088">
            <w:pPr>
              <w:pStyle w:val="TableTextEntries"/>
              <w:jc w:val="center"/>
            </w:pPr>
            <w:r w:rsidRPr="00332DF6">
              <w:t>Expired</w:t>
            </w:r>
          </w:p>
        </w:tc>
        <w:tc>
          <w:tcPr>
            <w:tcW w:w="894" w:type="dxa"/>
            <w:noWrap/>
            <w:hideMark/>
          </w:tcPr>
          <w:p w14:paraId="420DC944" w14:textId="77777777" w:rsidR="006B1681" w:rsidRPr="00332DF6" w:rsidRDefault="006B1681" w:rsidP="00152088">
            <w:pPr>
              <w:pStyle w:val="TableTextEntries"/>
              <w:jc w:val="center"/>
            </w:pPr>
            <w:r w:rsidRPr="00332DF6">
              <w:t>Expired</w:t>
            </w:r>
          </w:p>
        </w:tc>
        <w:tc>
          <w:tcPr>
            <w:tcW w:w="894" w:type="dxa"/>
            <w:noWrap/>
            <w:hideMark/>
          </w:tcPr>
          <w:p w14:paraId="420DC945" w14:textId="77777777" w:rsidR="006B1681" w:rsidRPr="00332DF6" w:rsidRDefault="006B1681" w:rsidP="00152088">
            <w:pPr>
              <w:pStyle w:val="TableTextEntries"/>
              <w:jc w:val="center"/>
            </w:pPr>
            <w:r w:rsidRPr="00332DF6">
              <w:t>Expired</w:t>
            </w:r>
          </w:p>
        </w:tc>
        <w:tc>
          <w:tcPr>
            <w:tcW w:w="894" w:type="dxa"/>
            <w:noWrap/>
            <w:hideMark/>
          </w:tcPr>
          <w:p w14:paraId="420DC946" w14:textId="77777777" w:rsidR="006B1681" w:rsidRPr="00332DF6" w:rsidRDefault="006B1681" w:rsidP="00152088">
            <w:pPr>
              <w:pStyle w:val="TableTextEntries"/>
              <w:jc w:val="center"/>
            </w:pPr>
            <w:r w:rsidRPr="00332DF6">
              <w:t>Expired</w:t>
            </w:r>
          </w:p>
        </w:tc>
        <w:tc>
          <w:tcPr>
            <w:tcW w:w="894" w:type="dxa"/>
            <w:noWrap/>
            <w:hideMark/>
          </w:tcPr>
          <w:p w14:paraId="420DC947" w14:textId="77777777" w:rsidR="006B1681" w:rsidRPr="00332DF6" w:rsidRDefault="006B1681" w:rsidP="00152088">
            <w:pPr>
              <w:pStyle w:val="TableTextEntries"/>
              <w:jc w:val="center"/>
            </w:pPr>
            <w:r w:rsidRPr="00332DF6">
              <w:t>Expired</w:t>
            </w:r>
          </w:p>
        </w:tc>
        <w:tc>
          <w:tcPr>
            <w:tcW w:w="894" w:type="dxa"/>
            <w:noWrap/>
            <w:hideMark/>
          </w:tcPr>
          <w:p w14:paraId="420DC948" w14:textId="77777777" w:rsidR="006B1681" w:rsidRPr="00332DF6" w:rsidRDefault="006B1681" w:rsidP="00152088">
            <w:pPr>
              <w:pStyle w:val="TableTextEntries"/>
              <w:jc w:val="center"/>
            </w:pPr>
            <w:r w:rsidRPr="00332DF6">
              <w:t>Expired</w:t>
            </w:r>
          </w:p>
        </w:tc>
      </w:tr>
      <w:tr w:rsidR="006B1681" w:rsidRPr="00250BC3" w14:paraId="420DC95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4A" w14:textId="77777777" w:rsidR="006B1681" w:rsidRPr="00332DF6" w:rsidRDefault="006B1681" w:rsidP="00332DF6">
            <w:pPr>
              <w:pStyle w:val="TableTextEntries"/>
            </w:pPr>
          </w:p>
        </w:tc>
        <w:tc>
          <w:tcPr>
            <w:tcW w:w="887" w:type="dxa"/>
            <w:vMerge/>
            <w:hideMark/>
          </w:tcPr>
          <w:p w14:paraId="420DC94B" w14:textId="77777777" w:rsidR="006B1681" w:rsidRPr="00332DF6" w:rsidRDefault="006B1681" w:rsidP="00332DF6">
            <w:pPr>
              <w:pStyle w:val="TableTextEntries"/>
            </w:pPr>
          </w:p>
        </w:tc>
        <w:tc>
          <w:tcPr>
            <w:tcW w:w="1840" w:type="dxa"/>
            <w:vMerge/>
            <w:hideMark/>
          </w:tcPr>
          <w:p w14:paraId="420DC94C" w14:textId="77777777" w:rsidR="006B1681" w:rsidRPr="00332DF6" w:rsidRDefault="006B1681" w:rsidP="00332DF6">
            <w:pPr>
              <w:pStyle w:val="TableTextEntries"/>
            </w:pPr>
          </w:p>
        </w:tc>
        <w:tc>
          <w:tcPr>
            <w:tcW w:w="1128" w:type="dxa"/>
            <w:vMerge/>
            <w:hideMark/>
          </w:tcPr>
          <w:p w14:paraId="420DC94D" w14:textId="77777777" w:rsidR="006B1681" w:rsidRPr="00332DF6" w:rsidRDefault="006B1681" w:rsidP="00332DF6">
            <w:pPr>
              <w:pStyle w:val="TableTextEntries"/>
            </w:pPr>
          </w:p>
        </w:tc>
        <w:tc>
          <w:tcPr>
            <w:tcW w:w="920" w:type="dxa"/>
            <w:noWrap/>
            <w:hideMark/>
          </w:tcPr>
          <w:p w14:paraId="420DC94E" w14:textId="77777777" w:rsidR="006B1681" w:rsidRPr="00332DF6" w:rsidRDefault="006B1681" w:rsidP="00332DF6">
            <w:pPr>
              <w:pStyle w:val="TableTextEntries"/>
            </w:pPr>
            <w:r w:rsidRPr="00332DF6">
              <w:t>2012</w:t>
            </w:r>
          </w:p>
        </w:tc>
        <w:tc>
          <w:tcPr>
            <w:tcW w:w="894" w:type="dxa"/>
            <w:shd w:val="clear" w:color="auto" w:fill="92D050"/>
            <w:noWrap/>
            <w:hideMark/>
          </w:tcPr>
          <w:p w14:paraId="420DC94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50"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51"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5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53"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954" w14:textId="77777777" w:rsidR="006B1681" w:rsidRPr="00332DF6" w:rsidRDefault="006B1681" w:rsidP="00152088">
            <w:pPr>
              <w:pStyle w:val="TableTextEntries"/>
              <w:jc w:val="center"/>
            </w:pPr>
            <w:r w:rsidRPr="00332DF6">
              <w:t>5</w:t>
            </w:r>
          </w:p>
        </w:tc>
      </w:tr>
      <w:tr w:rsidR="006B1681" w:rsidRPr="00250BC3" w14:paraId="420DC961" w14:textId="77777777" w:rsidTr="00A84A34">
        <w:trPr>
          <w:tblHeader w:val="0"/>
        </w:trPr>
        <w:tc>
          <w:tcPr>
            <w:tcW w:w="2785" w:type="dxa"/>
            <w:vMerge w:val="restart"/>
            <w:hideMark/>
          </w:tcPr>
          <w:p w14:paraId="420DC956" w14:textId="77777777" w:rsidR="006B1681" w:rsidRPr="00332DF6" w:rsidRDefault="006B1681" w:rsidP="00332DF6">
            <w:pPr>
              <w:pStyle w:val="TableTextEntries"/>
            </w:pPr>
            <w:r w:rsidRPr="00332DF6">
              <w:t>World Bank Pacific Facility</w:t>
            </w:r>
          </w:p>
        </w:tc>
        <w:tc>
          <w:tcPr>
            <w:tcW w:w="887" w:type="dxa"/>
            <w:vMerge w:val="restart"/>
            <w:noWrap/>
            <w:hideMark/>
          </w:tcPr>
          <w:p w14:paraId="420DC957" w14:textId="77777777" w:rsidR="006B1681" w:rsidRPr="00332DF6" w:rsidRDefault="006B1681" w:rsidP="00332DF6">
            <w:pPr>
              <w:pStyle w:val="TableTextEntries"/>
            </w:pPr>
            <w:r w:rsidRPr="00332DF6">
              <w:t>INI976</w:t>
            </w:r>
          </w:p>
        </w:tc>
        <w:tc>
          <w:tcPr>
            <w:tcW w:w="1840" w:type="dxa"/>
            <w:vMerge w:val="restart"/>
            <w:hideMark/>
          </w:tcPr>
          <w:p w14:paraId="420DC958" w14:textId="77777777" w:rsidR="006B1681" w:rsidRPr="00332DF6" w:rsidRDefault="006B1681" w:rsidP="00332DF6">
            <w:pPr>
              <w:pStyle w:val="TableTextEntries"/>
            </w:pPr>
            <w:r w:rsidRPr="00332DF6">
              <w:t>$22,640,000.00</w:t>
            </w:r>
          </w:p>
        </w:tc>
        <w:tc>
          <w:tcPr>
            <w:tcW w:w="1128" w:type="dxa"/>
            <w:vMerge w:val="restart"/>
            <w:noWrap/>
            <w:hideMark/>
          </w:tcPr>
          <w:p w14:paraId="420DC959" w14:textId="77777777" w:rsidR="006B1681" w:rsidRPr="00332DF6" w:rsidRDefault="006B1681" w:rsidP="00332DF6">
            <w:pPr>
              <w:pStyle w:val="TableTextEntries"/>
            </w:pPr>
            <w:r w:rsidRPr="00332DF6">
              <w:t>2009</w:t>
            </w:r>
            <w:r w:rsidR="00C40272" w:rsidRPr="00332DF6">
              <w:t>–</w:t>
            </w:r>
            <w:r w:rsidRPr="00332DF6">
              <w:t>13</w:t>
            </w:r>
          </w:p>
        </w:tc>
        <w:tc>
          <w:tcPr>
            <w:tcW w:w="920" w:type="dxa"/>
            <w:noWrap/>
            <w:hideMark/>
          </w:tcPr>
          <w:p w14:paraId="420DC95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95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95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95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95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5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60" w14:textId="77777777" w:rsidR="006B1681" w:rsidRPr="00332DF6" w:rsidRDefault="006B1681" w:rsidP="00152088">
            <w:pPr>
              <w:pStyle w:val="TableTextEntries"/>
              <w:jc w:val="center"/>
            </w:pPr>
            <w:r w:rsidRPr="00332DF6">
              <w:t>4</w:t>
            </w:r>
          </w:p>
        </w:tc>
      </w:tr>
      <w:tr w:rsidR="006B1681" w:rsidRPr="00250BC3" w14:paraId="420DC96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62" w14:textId="77777777" w:rsidR="006B1681" w:rsidRPr="00332DF6" w:rsidRDefault="006B1681" w:rsidP="00332DF6">
            <w:pPr>
              <w:pStyle w:val="TableTextEntries"/>
            </w:pPr>
          </w:p>
        </w:tc>
        <w:tc>
          <w:tcPr>
            <w:tcW w:w="887" w:type="dxa"/>
            <w:vMerge/>
            <w:hideMark/>
          </w:tcPr>
          <w:p w14:paraId="420DC963" w14:textId="77777777" w:rsidR="006B1681" w:rsidRPr="00332DF6" w:rsidRDefault="006B1681" w:rsidP="00332DF6">
            <w:pPr>
              <w:pStyle w:val="TableTextEntries"/>
            </w:pPr>
          </w:p>
        </w:tc>
        <w:tc>
          <w:tcPr>
            <w:tcW w:w="1840" w:type="dxa"/>
            <w:vMerge/>
            <w:hideMark/>
          </w:tcPr>
          <w:p w14:paraId="420DC964" w14:textId="77777777" w:rsidR="006B1681" w:rsidRPr="00332DF6" w:rsidRDefault="006B1681" w:rsidP="00332DF6">
            <w:pPr>
              <w:pStyle w:val="TableTextEntries"/>
            </w:pPr>
          </w:p>
        </w:tc>
        <w:tc>
          <w:tcPr>
            <w:tcW w:w="1128" w:type="dxa"/>
            <w:vMerge/>
            <w:hideMark/>
          </w:tcPr>
          <w:p w14:paraId="420DC965" w14:textId="77777777" w:rsidR="006B1681" w:rsidRPr="00332DF6" w:rsidRDefault="006B1681" w:rsidP="00332DF6">
            <w:pPr>
              <w:pStyle w:val="TableTextEntries"/>
            </w:pPr>
          </w:p>
        </w:tc>
        <w:tc>
          <w:tcPr>
            <w:tcW w:w="920" w:type="dxa"/>
            <w:noWrap/>
            <w:hideMark/>
          </w:tcPr>
          <w:p w14:paraId="420DC966" w14:textId="77777777" w:rsidR="006B1681" w:rsidRPr="00332DF6" w:rsidRDefault="006B1681" w:rsidP="00332DF6">
            <w:pPr>
              <w:pStyle w:val="TableTextEntries"/>
            </w:pPr>
            <w:r w:rsidRPr="00332DF6">
              <w:t>2012</w:t>
            </w:r>
          </w:p>
        </w:tc>
        <w:tc>
          <w:tcPr>
            <w:tcW w:w="894" w:type="dxa"/>
            <w:shd w:val="clear" w:color="auto" w:fill="92D050"/>
            <w:noWrap/>
            <w:hideMark/>
          </w:tcPr>
          <w:p w14:paraId="420DC96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68"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969"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6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6B"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6C" w14:textId="77777777" w:rsidR="006B1681" w:rsidRPr="00332DF6" w:rsidRDefault="006B1681" w:rsidP="00152088">
            <w:pPr>
              <w:pStyle w:val="TableTextEntries"/>
              <w:jc w:val="center"/>
            </w:pPr>
            <w:r w:rsidRPr="00332DF6">
              <w:t>4</w:t>
            </w:r>
          </w:p>
        </w:tc>
      </w:tr>
      <w:tr w:rsidR="006B1681" w:rsidRPr="00250BC3" w14:paraId="420DC979" w14:textId="77777777" w:rsidTr="00A84A34">
        <w:trPr>
          <w:tblHeader w:val="0"/>
        </w:trPr>
        <w:tc>
          <w:tcPr>
            <w:tcW w:w="2785" w:type="dxa"/>
            <w:vMerge w:val="restart"/>
            <w:hideMark/>
          </w:tcPr>
          <w:p w14:paraId="420DC96E" w14:textId="77777777" w:rsidR="006B1681" w:rsidRPr="00332DF6" w:rsidRDefault="006B1681" w:rsidP="00332DF6">
            <w:pPr>
              <w:pStyle w:val="TableTextEntries"/>
            </w:pPr>
            <w:r w:rsidRPr="00332DF6">
              <w:t xml:space="preserve">Pacific Islands Centre for Public Administration </w:t>
            </w:r>
            <w:r w:rsidR="00D12BCD" w:rsidRPr="00332DF6">
              <w:t xml:space="preserve">Phase </w:t>
            </w:r>
            <w:r w:rsidRPr="00332DF6">
              <w:t>2</w:t>
            </w:r>
          </w:p>
        </w:tc>
        <w:tc>
          <w:tcPr>
            <w:tcW w:w="887" w:type="dxa"/>
            <w:vMerge w:val="restart"/>
            <w:noWrap/>
            <w:hideMark/>
          </w:tcPr>
          <w:p w14:paraId="420DC96F" w14:textId="77777777" w:rsidR="006B1681" w:rsidRPr="00332DF6" w:rsidRDefault="006B1681" w:rsidP="00332DF6">
            <w:pPr>
              <w:pStyle w:val="TableTextEntries"/>
            </w:pPr>
            <w:r w:rsidRPr="00332DF6">
              <w:t>INJ075</w:t>
            </w:r>
          </w:p>
        </w:tc>
        <w:tc>
          <w:tcPr>
            <w:tcW w:w="1840" w:type="dxa"/>
            <w:vMerge w:val="restart"/>
            <w:hideMark/>
          </w:tcPr>
          <w:p w14:paraId="420DC970" w14:textId="77777777" w:rsidR="006B1681" w:rsidRPr="00332DF6" w:rsidRDefault="006B1681" w:rsidP="00332DF6">
            <w:pPr>
              <w:pStyle w:val="TableTextEntries"/>
            </w:pPr>
            <w:r w:rsidRPr="00332DF6">
              <w:t>$2,544,027.18</w:t>
            </w:r>
          </w:p>
        </w:tc>
        <w:tc>
          <w:tcPr>
            <w:tcW w:w="1128" w:type="dxa"/>
            <w:vMerge w:val="restart"/>
            <w:noWrap/>
            <w:hideMark/>
          </w:tcPr>
          <w:p w14:paraId="420DC971" w14:textId="77777777" w:rsidR="006B1681" w:rsidRPr="00332DF6" w:rsidRDefault="006B1681" w:rsidP="00332DF6">
            <w:pPr>
              <w:pStyle w:val="TableTextEntries"/>
            </w:pPr>
            <w:r w:rsidRPr="00332DF6">
              <w:t>2009</w:t>
            </w:r>
            <w:r w:rsidR="00464D90" w:rsidRPr="00332DF6">
              <w:t>–</w:t>
            </w:r>
            <w:r w:rsidRPr="00332DF6">
              <w:t>13</w:t>
            </w:r>
          </w:p>
        </w:tc>
        <w:tc>
          <w:tcPr>
            <w:tcW w:w="920" w:type="dxa"/>
            <w:noWrap/>
            <w:hideMark/>
          </w:tcPr>
          <w:p w14:paraId="420DC972" w14:textId="77777777" w:rsidR="006B1681" w:rsidRPr="00332DF6" w:rsidRDefault="006B1681" w:rsidP="00332DF6">
            <w:pPr>
              <w:pStyle w:val="TableTextEntries"/>
            </w:pPr>
            <w:r w:rsidRPr="00332DF6">
              <w:t>2011</w:t>
            </w:r>
          </w:p>
        </w:tc>
        <w:tc>
          <w:tcPr>
            <w:tcW w:w="894" w:type="dxa"/>
            <w:tcBorders>
              <w:top w:val="nil"/>
              <w:bottom w:val="nil"/>
            </w:tcBorders>
            <w:shd w:val="clear" w:color="auto" w:fill="F79646" w:themeFill="accent6"/>
            <w:noWrap/>
            <w:hideMark/>
          </w:tcPr>
          <w:p w14:paraId="420DC973"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0000"/>
            <w:noWrap/>
            <w:hideMark/>
          </w:tcPr>
          <w:p w14:paraId="420DC974"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FF0000"/>
            <w:noWrap/>
            <w:hideMark/>
          </w:tcPr>
          <w:p w14:paraId="420DC975"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FF0000"/>
            <w:noWrap/>
            <w:hideMark/>
          </w:tcPr>
          <w:p w14:paraId="420DC976"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FF0000"/>
            <w:noWrap/>
            <w:hideMark/>
          </w:tcPr>
          <w:p w14:paraId="420DC977"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FFFF00"/>
            <w:noWrap/>
            <w:hideMark/>
          </w:tcPr>
          <w:p w14:paraId="420DC978" w14:textId="77777777" w:rsidR="006B1681" w:rsidRPr="00332DF6" w:rsidRDefault="006B1681" w:rsidP="00152088">
            <w:pPr>
              <w:pStyle w:val="TableTextEntries"/>
              <w:jc w:val="center"/>
            </w:pPr>
            <w:r w:rsidRPr="00332DF6">
              <w:t>4</w:t>
            </w:r>
          </w:p>
        </w:tc>
      </w:tr>
      <w:tr w:rsidR="006B1681" w:rsidRPr="00250BC3" w14:paraId="420DC98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7A" w14:textId="77777777" w:rsidR="006B1681" w:rsidRPr="00332DF6" w:rsidRDefault="006B1681" w:rsidP="00332DF6">
            <w:pPr>
              <w:pStyle w:val="TableTextEntries"/>
            </w:pPr>
          </w:p>
        </w:tc>
        <w:tc>
          <w:tcPr>
            <w:tcW w:w="887" w:type="dxa"/>
            <w:vMerge/>
            <w:hideMark/>
          </w:tcPr>
          <w:p w14:paraId="420DC97B" w14:textId="77777777" w:rsidR="006B1681" w:rsidRPr="00332DF6" w:rsidRDefault="006B1681" w:rsidP="00332DF6">
            <w:pPr>
              <w:pStyle w:val="TableTextEntries"/>
            </w:pPr>
          </w:p>
        </w:tc>
        <w:tc>
          <w:tcPr>
            <w:tcW w:w="1840" w:type="dxa"/>
            <w:vMerge/>
            <w:hideMark/>
          </w:tcPr>
          <w:p w14:paraId="420DC97C" w14:textId="77777777" w:rsidR="006B1681" w:rsidRPr="00332DF6" w:rsidRDefault="006B1681" w:rsidP="00332DF6">
            <w:pPr>
              <w:pStyle w:val="TableTextEntries"/>
            </w:pPr>
          </w:p>
        </w:tc>
        <w:tc>
          <w:tcPr>
            <w:tcW w:w="1128" w:type="dxa"/>
            <w:vMerge/>
            <w:hideMark/>
          </w:tcPr>
          <w:p w14:paraId="420DC97D" w14:textId="77777777" w:rsidR="006B1681" w:rsidRPr="00332DF6" w:rsidRDefault="006B1681" w:rsidP="00332DF6">
            <w:pPr>
              <w:pStyle w:val="TableTextEntries"/>
            </w:pPr>
          </w:p>
        </w:tc>
        <w:tc>
          <w:tcPr>
            <w:tcW w:w="920" w:type="dxa"/>
            <w:noWrap/>
            <w:hideMark/>
          </w:tcPr>
          <w:p w14:paraId="420DC97E" w14:textId="77777777" w:rsidR="006B1681" w:rsidRPr="00332DF6" w:rsidRDefault="006B1681" w:rsidP="00332DF6">
            <w:pPr>
              <w:pStyle w:val="TableTextEntries"/>
            </w:pPr>
            <w:r w:rsidRPr="00332DF6">
              <w:t>2012</w:t>
            </w:r>
          </w:p>
        </w:tc>
        <w:tc>
          <w:tcPr>
            <w:tcW w:w="894" w:type="dxa"/>
            <w:noWrap/>
            <w:hideMark/>
          </w:tcPr>
          <w:p w14:paraId="420DC97F" w14:textId="77777777" w:rsidR="006B1681" w:rsidRPr="00332DF6" w:rsidRDefault="006B1681" w:rsidP="00152088">
            <w:pPr>
              <w:pStyle w:val="TableTextEntries"/>
              <w:jc w:val="center"/>
            </w:pPr>
            <w:r w:rsidRPr="00332DF6">
              <w:t>N/A</w:t>
            </w:r>
          </w:p>
        </w:tc>
        <w:tc>
          <w:tcPr>
            <w:tcW w:w="894" w:type="dxa"/>
            <w:noWrap/>
            <w:hideMark/>
          </w:tcPr>
          <w:p w14:paraId="420DC980" w14:textId="77777777" w:rsidR="006B1681" w:rsidRPr="00332DF6" w:rsidRDefault="006B1681" w:rsidP="00152088">
            <w:pPr>
              <w:pStyle w:val="TableTextEntries"/>
              <w:jc w:val="center"/>
            </w:pPr>
            <w:r w:rsidRPr="00332DF6">
              <w:t>N/A</w:t>
            </w:r>
          </w:p>
        </w:tc>
        <w:tc>
          <w:tcPr>
            <w:tcW w:w="894" w:type="dxa"/>
            <w:noWrap/>
            <w:hideMark/>
          </w:tcPr>
          <w:p w14:paraId="420DC981" w14:textId="77777777" w:rsidR="006B1681" w:rsidRPr="00332DF6" w:rsidRDefault="006B1681" w:rsidP="00152088">
            <w:pPr>
              <w:pStyle w:val="TableTextEntries"/>
              <w:jc w:val="center"/>
            </w:pPr>
            <w:r w:rsidRPr="00332DF6">
              <w:t>N/A</w:t>
            </w:r>
          </w:p>
        </w:tc>
        <w:tc>
          <w:tcPr>
            <w:tcW w:w="894" w:type="dxa"/>
            <w:noWrap/>
            <w:hideMark/>
          </w:tcPr>
          <w:p w14:paraId="420DC982" w14:textId="77777777" w:rsidR="006B1681" w:rsidRPr="00332DF6" w:rsidRDefault="006B1681" w:rsidP="00152088">
            <w:pPr>
              <w:pStyle w:val="TableTextEntries"/>
              <w:jc w:val="center"/>
            </w:pPr>
            <w:r w:rsidRPr="00332DF6">
              <w:t>N/A</w:t>
            </w:r>
          </w:p>
        </w:tc>
        <w:tc>
          <w:tcPr>
            <w:tcW w:w="894" w:type="dxa"/>
            <w:noWrap/>
            <w:hideMark/>
          </w:tcPr>
          <w:p w14:paraId="420DC983" w14:textId="77777777" w:rsidR="006B1681" w:rsidRPr="00332DF6" w:rsidRDefault="006B1681" w:rsidP="00152088">
            <w:pPr>
              <w:pStyle w:val="TableTextEntries"/>
              <w:jc w:val="center"/>
            </w:pPr>
            <w:r w:rsidRPr="00332DF6">
              <w:t>N/A</w:t>
            </w:r>
          </w:p>
        </w:tc>
        <w:tc>
          <w:tcPr>
            <w:tcW w:w="894" w:type="dxa"/>
            <w:noWrap/>
            <w:hideMark/>
          </w:tcPr>
          <w:p w14:paraId="420DC984" w14:textId="77777777" w:rsidR="006B1681" w:rsidRPr="00332DF6" w:rsidRDefault="006B1681" w:rsidP="00152088">
            <w:pPr>
              <w:pStyle w:val="TableTextEntries"/>
              <w:jc w:val="center"/>
            </w:pPr>
            <w:r w:rsidRPr="00332DF6">
              <w:t>N/A</w:t>
            </w:r>
          </w:p>
        </w:tc>
      </w:tr>
      <w:tr w:rsidR="006B1681" w:rsidRPr="00250BC3" w14:paraId="420DC991" w14:textId="77777777" w:rsidTr="00332DF6">
        <w:trPr>
          <w:tblHeader w:val="0"/>
        </w:trPr>
        <w:tc>
          <w:tcPr>
            <w:tcW w:w="2785" w:type="dxa"/>
            <w:vMerge w:val="restart"/>
            <w:hideMark/>
          </w:tcPr>
          <w:p w14:paraId="420DC986" w14:textId="6170C3CA" w:rsidR="006B1681" w:rsidRPr="00332DF6" w:rsidRDefault="006B1681" w:rsidP="00332DF6">
            <w:pPr>
              <w:pStyle w:val="TableTextEntries"/>
            </w:pPr>
            <w:r w:rsidRPr="00332DF6">
              <w:t>AusAID secondments to the ADB</w:t>
            </w:r>
          </w:p>
        </w:tc>
        <w:tc>
          <w:tcPr>
            <w:tcW w:w="887" w:type="dxa"/>
            <w:vMerge w:val="restart"/>
            <w:noWrap/>
            <w:hideMark/>
          </w:tcPr>
          <w:p w14:paraId="420DC987" w14:textId="77777777" w:rsidR="006B1681" w:rsidRPr="00332DF6" w:rsidRDefault="006B1681" w:rsidP="00332DF6">
            <w:pPr>
              <w:pStyle w:val="TableTextEntries"/>
            </w:pPr>
            <w:r w:rsidRPr="00332DF6">
              <w:t>INJ083</w:t>
            </w:r>
          </w:p>
        </w:tc>
        <w:tc>
          <w:tcPr>
            <w:tcW w:w="1840" w:type="dxa"/>
            <w:vMerge w:val="restart"/>
            <w:hideMark/>
          </w:tcPr>
          <w:p w14:paraId="420DC988" w14:textId="77777777" w:rsidR="006B1681" w:rsidRPr="00332DF6" w:rsidRDefault="006B1681" w:rsidP="00332DF6">
            <w:pPr>
              <w:pStyle w:val="TableTextEntries"/>
            </w:pPr>
            <w:r w:rsidRPr="00332DF6">
              <w:t>$857,577.04</w:t>
            </w:r>
          </w:p>
        </w:tc>
        <w:tc>
          <w:tcPr>
            <w:tcW w:w="1128" w:type="dxa"/>
            <w:vMerge w:val="restart"/>
            <w:noWrap/>
            <w:hideMark/>
          </w:tcPr>
          <w:p w14:paraId="420DC989" w14:textId="77777777" w:rsidR="006B1681" w:rsidRPr="00332DF6" w:rsidRDefault="006B1681" w:rsidP="00332DF6">
            <w:pPr>
              <w:pStyle w:val="TableTextEntries"/>
            </w:pPr>
            <w:r w:rsidRPr="00332DF6">
              <w:t>2009</w:t>
            </w:r>
            <w:r w:rsidR="00464D90" w:rsidRPr="00332DF6">
              <w:t>–</w:t>
            </w:r>
            <w:r w:rsidRPr="00332DF6">
              <w:t>16</w:t>
            </w:r>
          </w:p>
        </w:tc>
        <w:tc>
          <w:tcPr>
            <w:tcW w:w="920" w:type="dxa"/>
            <w:noWrap/>
            <w:hideMark/>
          </w:tcPr>
          <w:p w14:paraId="420DC98A" w14:textId="77777777" w:rsidR="006B1681" w:rsidRPr="00332DF6" w:rsidRDefault="006B1681" w:rsidP="00332DF6">
            <w:pPr>
              <w:pStyle w:val="TableTextEntries"/>
            </w:pPr>
            <w:r w:rsidRPr="00332DF6">
              <w:t>2011</w:t>
            </w:r>
          </w:p>
        </w:tc>
        <w:tc>
          <w:tcPr>
            <w:tcW w:w="894" w:type="dxa"/>
            <w:noWrap/>
            <w:hideMark/>
          </w:tcPr>
          <w:p w14:paraId="420DC98B" w14:textId="77777777" w:rsidR="006B1681" w:rsidRPr="00332DF6" w:rsidRDefault="006B1681" w:rsidP="00152088">
            <w:pPr>
              <w:pStyle w:val="TableTextEntries"/>
              <w:jc w:val="center"/>
            </w:pPr>
            <w:r w:rsidRPr="00332DF6">
              <w:t>Exempt</w:t>
            </w:r>
          </w:p>
        </w:tc>
        <w:tc>
          <w:tcPr>
            <w:tcW w:w="894" w:type="dxa"/>
            <w:noWrap/>
            <w:hideMark/>
          </w:tcPr>
          <w:p w14:paraId="420DC98C" w14:textId="77777777" w:rsidR="006B1681" w:rsidRPr="00332DF6" w:rsidRDefault="006B1681" w:rsidP="00152088">
            <w:pPr>
              <w:pStyle w:val="TableTextEntries"/>
              <w:jc w:val="center"/>
            </w:pPr>
            <w:r w:rsidRPr="00332DF6">
              <w:t>Exempt</w:t>
            </w:r>
          </w:p>
        </w:tc>
        <w:tc>
          <w:tcPr>
            <w:tcW w:w="894" w:type="dxa"/>
            <w:noWrap/>
            <w:hideMark/>
          </w:tcPr>
          <w:p w14:paraId="420DC98D" w14:textId="77777777" w:rsidR="006B1681" w:rsidRPr="00332DF6" w:rsidRDefault="006B1681" w:rsidP="00152088">
            <w:pPr>
              <w:pStyle w:val="TableTextEntries"/>
              <w:jc w:val="center"/>
            </w:pPr>
            <w:r w:rsidRPr="00332DF6">
              <w:t>Exempt</w:t>
            </w:r>
          </w:p>
        </w:tc>
        <w:tc>
          <w:tcPr>
            <w:tcW w:w="894" w:type="dxa"/>
            <w:noWrap/>
            <w:hideMark/>
          </w:tcPr>
          <w:p w14:paraId="420DC98E" w14:textId="77777777" w:rsidR="006B1681" w:rsidRPr="00332DF6" w:rsidRDefault="006B1681" w:rsidP="00152088">
            <w:pPr>
              <w:pStyle w:val="TableTextEntries"/>
              <w:jc w:val="center"/>
            </w:pPr>
            <w:r w:rsidRPr="00332DF6">
              <w:t>Exempt</w:t>
            </w:r>
          </w:p>
        </w:tc>
        <w:tc>
          <w:tcPr>
            <w:tcW w:w="894" w:type="dxa"/>
            <w:noWrap/>
            <w:hideMark/>
          </w:tcPr>
          <w:p w14:paraId="420DC98F" w14:textId="77777777" w:rsidR="006B1681" w:rsidRPr="00332DF6" w:rsidRDefault="006B1681" w:rsidP="00152088">
            <w:pPr>
              <w:pStyle w:val="TableTextEntries"/>
              <w:jc w:val="center"/>
            </w:pPr>
            <w:r w:rsidRPr="00332DF6">
              <w:t>Exempt</w:t>
            </w:r>
          </w:p>
        </w:tc>
        <w:tc>
          <w:tcPr>
            <w:tcW w:w="894" w:type="dxa"/>
            <w:noWrap/>
            <w:hideMark/>
          </w:tcPr>
          <w:p w14:paraId="420DC990" w14:textId="77777777" w:rsidR="006B1681" w:rsidRPr="00332DF6" w:rsidRDefault="006B1681" w:rsidP="00152088">
            <w:pPr>
              <w:pStyle w:val="TableTextEntries"/>
              <w:jc w:val="center"/>
            </w:pPr>
            <w:r w:rsidRPr="00332DF6">
              <w:t>Exempt</w:t>
            </w:r>
          </w:p>
        </w:tc>
      </w:tr>
      <w:tr w:rsidR="006B1681" w:rsidRPr="00250BC3" w14:paraId="420DC99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92" w14:textId="77777777" w:rsidR="006B1681" w:rsidRPr="00332DF6" w:rsidRDefault="006B1681" w:rsidP="00332DF6">
            <w:pPr>
              <w:pStyle w:val="TableTextEntries"/>
            </w:pPr>
          </w:p>
        </w:tc>
        <w:tc>
          <w:tcPr>
            <w:tcW w:w="887" w:type="dxa"/>
            <w:vMerge/>
            <w:hideMark/>
          </w:tcPr>
          <w:p w14:paraId="420DC993" w14:textId="77777777" w:rsidR="006B1681" w:rsidRPr="00332DF6" w:rsidRDefault="006B1681" w:rsidP="00332DF6">
            <w:pPr>
              <w:pStyle w:val="TableTextEntries"/>
            </w:pPr>
          </w:p>
        </w:tc>
        <w:tc>
          <w:tcPr>
            <w:tcW w:w="1840" w:type="dxa"/>
            <w:vMerge/>
            <w:hideMark/>
          </w:tcPr>
          <w:p w14:paraId="420DC994" w14:textId="77777777" w:rsidR="006B1681" w:rsidRPr="00332DF6" w:rsidRDefault="006B1681" w:rsidP="00332DF6">
            <w:pPr>
              <w:pStyle w:val="TableTextEntries"/>
            </w:pPr>
          </w:p>
        </w:tc>
        <w:tc>
          <w:tcPr>
            <w:tcW w:w="1128" w:type="dxa"/>
            <w:vMerge/>
            <w:hideMark/>
          </w:tcPr>
          <w:p w14:paraId="420DC995" w14:textId="77777777" w:rsidR="006B1681" w:rsidRPr="00332DF6" w:rsidRDefault="006B1681" w:rsidP="00332DF6">
            <w:pPr>
              <w:pStyle w:val="TableTextEntries"/>
            </w:pPr>
          </w:p>
        </w:tc>
        <w:tc>
          <w:tcPr>
            <w:tcW w:w="920" w:type="dxa"/>
            <w:noWrap/>
            <w:hideMark/>
          </w:tcPr>
          <w:p w14:paraId="420DC996" w14:textId="77777777" w:rsidR="006B1681" w:rsidRPr="00332DF6" w:rsidRDefault="006B1681" w:rsidP="00332DF6">
            <w:pPr>
              <w:pStyle w:val="TableTextEntries"/>
            </w:pPr>
            <w:r w:rsidRPr="00332DF6">
              <w:t>2012</w:t>
            </w:r>
          </w:p>
        </w:tc>
        <w:tc>
          <w:tcPr>
            <w:tcW w:w="894" w:type="dxa"/>
            <w:noWrap/>
            <w:hideMark/>
          </w:tcPr>
          <w:p w14:paraId="420DC997" w14:textId="77777777" w:rsidR="006B1681" w:rsidRPr="00332DF6" w:rsidRDefault="006B1681" w:rsidP="00152088">
            <w:pPr>
              <w:pStyle w:val="TableTextEntries"/>
              <w:jc w:val="center"/>
            </w:pPr>
            <w:r w:rsidRPr="00332DF6">
              <w:t>Exempt</w:t>
            </w:r>
          </w:p>
        </w:tc>
        <w:tc>
          <w:tcPr>
            <w:tcW w:w="894" w:type="dxa"/>
            <w:noWrap/>
            <w:hideMark/>
          </w:tcPr>
          <w:p w14:paraId="420DC998" w14:textId="77777777" w:rsidR="006B1681" w:rsidRPr="00332DF6" w:rsidRDefault="006B1681" w:rsidP="00152088">
            <w:pPr>
              <w:pStyle w:val="TableTextEntries"/>
              <w:jc w:val="center"/>
            </w:pPr>
            <w:r w:rsidRPr="00332DF6">
              <w:t>Exempt</w:t>
            </w:r>
          </w:p>
        </w:tc>
        <w:tc>
          <w:tcPr>
            <w:tcW w:w="894" w:type="dxa"/>
            <w:noWrap/>
            <w:hideMark/>
          </w:tcPr>
          <w:p w14:paraId="420DC999" w14:textId="77777777" w:rsidR="006B1681" w:rsidRPr="00332DF6" w:rsidRDefault="006B1681" w:rsidP="00152088">
            <w:pPr>
              <w:pStyle w:val="TableTextEntries"/>
              <w:jc w:val="center"/>
            </w:pPr>
            <w:r w:rsidRPr="00332DF6">
              <w:t>Exempt</w:t>
            </w:r>
          </w:p>
        </w:tc>
        <w:tc>
          <w:tcPr>
            <w:tcW w:w="894" w:type="dxa"/>
            <w:noWrap/>
            <w:hideMark/>
          </w:tcPr>
          <w:p w14:paraId="420DC99A" w14:textId="77777777" w:rsidR="006B1681" w:rsidRPr="00332DF6" w:rsidRDefault="006B1681" w:rsidP="00152088">
            <w:pPr>
              <w:pStyle w:val="TableTextEntries"/>
              <w:jc w:val="center"/>
            </w:pPr>
            <w:r w:rsidRPr="00332DF6">
              <w:t>Exempt</w:t>
            </w:r>
          </w:p>
        </w:tc>
        <w:tc>
          <w:tcPr>
            <w:tcW w:w="894" w:type="dxa"/>
            <w:noWrap/>
            <w:hideMark/>
          </w:tcPr>
          <w:p w14:paraId="420DC99B" w14:textId="77777777" w:rsidR="006B1681" w:rsidRPr="00332DF6" w:rsidRDefault="006B1681" w:rsidP="00152088">
            <w:pPr>
              <w:pStyle w:val="TableTextEntries"/>
              <w:jc w:val="center"/>
            </w:pPr>
            <w:r w:rsidRPr="00332DF6">
              <w:t>Exempt</w:t>
            </w:r>
          </w:p>
        </w:tc>
        <w:tc>
          <w:tcPr>
            <w:tcW w:w="894" w:type="dxa"/>
            <w:noWrap/>
            <w:hideMark/>
          </w:tcPr>
          <w:p w14:paraId="420DC99C" w14:textId="77777777" w:rsidR="006B1681" w:rsidRPr="00332DF6" w:rsidRDefault="006B1681" w:rsidP="00152088">
            <w:pPr>
              <w:pStyle w:val="TableTextEntries"/>
              <w:jc w:val="center"/>
            </w:pPr>
            <w:r w:rsidRPr="00332DF6">
              <w:t>Exempt</w:t>
            </w:r>
          </w:p>
        </w:tc>
      </w:tr>
      <w:tr w:rsidR="006B1681" w:rsidRPr="00250BC3" w14:paraId="420DC9A9" w14:textId="77777777" w:rsidTr="00A84A34">
        <w:trPr>
          <w:tblHeader w:val="0"/>
        </w:trPr>
        <w:tc>
          <w:tcPr>
            <w:tcW w:w="2785" w:type="dxa"/>
            <w:vMerge w:val="restart"/>
            <w:hideMark/>
          </w:tcPr>
          <w:p w14:paraId="420DC99E" w14:textId="77777777" w:rsidR="006B1681" w:rsidRPr="00332DF6" w:rsidRDefault="00E96687" w:rsidP="00332DF6">
            <w:pPr>
              <w:pStyle w:val="TableTextEntries"/>
            </w:pPr>
            <w:r w:rsidRPr="00332DF6">
              <w:lastRenderedPageBreak/>
              <w:t>Forum Fisheries Agency</w:t>
            </w:r>
            <w:r w:rsidR="00D12BCD" w:rsidRPr="00332DF6">
              <w:t>—</w:t>
            </w:r>
            <w:r w:rsidRPr="00332DF6">
              <w:t>c</w:t>
            </w:r>
            <w:r w:rsidR="006B1681" w:rsidRPr="00332DF6">
              <w:t>ore budget support</w:t>
            </w:r>
          </w:p>
        </w:tc>
        <w:tc>
          <w:tcPr>
            <w:tcW w:w="887" w:type="dxa"/>
            <w:vMerge w:val="restart"/>
            <w:noWrap/>
            <w:hideMark/>
          </w:tcPr>
          <w:p w14:paraId="420DC99F" w14:textId="77777777" w:rsidR="006B1681" w:rsidRPr="00332DF6" w:rsidRDefault="006B1681" w:rsidP="00332DF6">
            <w:pPr>
              <w:pStyle w:val="TableTextEntries"/>
            </w:pPr>
            <w:r w:rsidRPr="00332DF6">
              <w:t>INJ091</w:t>
            </w:r>
          </w:p>
        </w:tc>
        <w:tc>
          <w:tcPr>
            <w:tcW w:w="1840" w:type="dxa"/>
            <w:vMerge w:val="restart"/>
            <w:hideMark/>
          </w:tcPr>
          <w:p w14:paraId="420DC9A0" w14:textId="77777777" w:rsidR="006B1681" w:rsidRPr="00332DF6" w:rsidRDefault="006B1681" w:rsidP="00332DF6">
            <w:pPr>
              <w:pStyle w:val="TableTextEntries"/>
            </w:pPr>
            <w:r w:rsidRPr="00332DF6">
              <w:t>$7,800,000.00</w:t>
            </w:r>
          </w:p>
        </w:tc>
        <w:tc>
          <w:tcPr>
            <w:tcW w:w="1128" w:type="dxa"/>
            <w:vMerge w:val="restart"/>
            <w:noWrap/>
            <w:hideMark/>
          </w:tcPr>
          <w:p w14:paraId="420DC9A1" w14:textId="77777777" w:rsidR="006B1681" w:rsidRPr="00332DF6" w:rsidRDefault="006B1681" w:rsidP="00332DF6">
            <w:pPr>
              <w:pStyle w:val="TableTextEntries"/>
            </w:pPr>
            <w:r w:rsidRPr="00332DF6">
              <w:t>2010</w:t>
            </w:r>
            <w:r w:rsidR="00464D90" w:rsidRPr="00332DF6">
              <w:t>–</w:t>
            </w:r>
            <w:r w:rsidRPr="00332DF6">
              <w:t>12</w:t>
            </w:r>
          </w:p>
        </w:tc>
        <w:tc>
          <w:tcPr>
            <w:tcW w:w="920" w:type="dxa"/>
            <w:noWrap/>
            <w:hideMark/>
          </w:tcPr>
          <w:p w14:paraId="420DC9A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9A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A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9A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A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A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A8" w14:textId="77777777" w:rsidR="006B1681" w:rsidRPr="00332DF6" w:rsidRDefault="006B1681" w:rsidP="00152088">
            <w:pPr>
              <w:pStyle w:val="TableTextEntries"/>
              <w:jc w:val="center"/>
            </w:pPr>
            <w:r w:rsidRPr="00332DF6">
              <w:t>4</w:t>
            </w:r>
          </w:p>
        </w:tc>
      </w:tr>
      <w:tr w:rsidR="006B1681" w:rsidRPr="00250BC3" w14:paraId="420DC9B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AA" w14:textId="77777777" w:rsidR="006B1681" w:rsidRPr="00332DF6" w:rsidRDefault="006B1681" w:rsidP="00332DF6">
            <w:pPr>
              <w:pStyle w:val="TableTextEntries"/>
            </w:pPr>
          </w:p>
        </w:tc>
        <w:tc>
          <w:tcPr>
            <w:tcW w:w="887" w:type="dxa"/>
            <w:vMerge/>
            <w:hideMark/>
          </w:tcPr>
          <w:p w14:paraId="420DC9AB" w14:textId="77777777" w:rsidR="006B1681" w:rsidRPr="00332DF6" w:rsidRDefault="006B1681" w:rsidP="00332DF6">
            <w:pPr>
              <w:pStyle w:val="TableTextEntries"/>
            </w:pPr>
          </w:p>
        </w:tc>
        <w:tc>
          <w:tcPr>
            <w:tcW w:w="1840" w:type="dxa"/>
            <w:vMerge/>
            <w:hideMark/>
          </w:tcPr>
          <w:p w14:paraId="420DC9AC" w14:textId="77777777" w:rsidR="006B1681" w:rsidRPr="00332DF6" w:rsidRDefault="006B1681" w:rsidP="00332DF6">
            <w:pPr>
              <w:pStyle w:val="TableTextEntries"/>
            </w:pPr>
          </w:p>
        </w:tc>
        <w:tc>
          <w:tcPr>
            <w:tcW w:w="1128" w:type="dxa"/>
            <w:vMerge/>
            <w:hideMark/>
          </w:tcPr>
          <w:p w14:paraId="420DC9AD" w14:textId="77777777" w:rsidR="006B1681" w:rsidRPr="00332DF6" w:rsidRDefault="006B1681" w:rsidP="00332DF6">
            <w:pPr>
              <w:pStyle w:val="TableTextEntries"/>
            </w:pPr>
          </w:p>
        </w:tc>
        <w:tc>
          <w:tcPr>
            <w:tcW w:w="920" w:type="dxa"/>
            <w:noWrap/>
            <w:hideMark/>
          </w:tcPr>
          <w:p w14:paraId="420DC9AE" w14:textId="77777777" w:rsidR="006B1681" w:rsidRPr="00332DF6" w:rsidRDefault="006B1681" w:rsidP="00332DF6">
            <w:pPr>
              <w:pStyle w:val="TableTextEntries"/>
            </w:pPr>
            <w:r w:rsidRPr="00332DF6">
              <w:t>2012</w:t>
            </w:r>
          </w:p>
        </w:tc>
        <w:tc>
          <w:tcPr>
            <w:tcW w:w="894" w:type="dxa"/>
            <w:shd w:val="clear" w:color="auto" w:fill="92D050"/>
            <w:noWrap/>
            <w:hideMark/>
          </w:tcPr>
          <w:p w14:paraId="420DC9A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B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B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B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B3"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B4" w14:textId="77777777" w:rsidR="006B1681" w:rsidRPr="00332DF6" w:rsidRDefault="006B1681" w:rsidP="00152088">
            <w:pPr>
              <w:pStyle w:val="TableTextEntries"/>
              <w:jc w:val="center"/>
            </w:pPr>
            <w:r w:rsidRPr="00332DF6">
              <w:t>4</w:t>
            </w:r>
          </w:p>
        </w:tc>
      </w:tr>
      <w:tr w:rsidR="006B1681" w:rsidRPr="00250BC3" w14:paraId="420DC9C1" w14:textId="77777777" w:rsidTr="00152088">
        <w:trPr>
          <w:tblHeader w:val="0"/>
        </w:trPr>
        <w:tc>
          <w:tcPr>
            <w:tcW w:w="2785" w:type="dxa"/>
            <w:vMerge w:val="restart"/>
            <w:hideMark/>
          </w:tcPr>
          <w:p w14:paraId="420DC9B6" w14:textId="77777777" w:rsidR="006B1681" w:rsidRPr="00332DF6" w:rsidRDefault="006B1681" w:rsidP="00332DF6">
            <w:pPr>
              <w:pStyle w:val="TableTextEntries"/>
            </w:pPr>
            <w:r w:rsidRPr="00332DF6">
              <w:t xml:space="preserve">Private Sector Development Initiative Phase 2 </w:t>
            </w:r>
          </w:p>
        </w:tc>
        <w:tc>
          <w:tcPr>
            <w:tcW w:w="887" w:type="dxa"/>
            <w:vMerge w:val="restart"/>
            <w:noWrap/>
            <w:hideMark/>
          </w:tcPr>
          <w:p w14:paraId="420DC9B7" w14:textId="77777777" w:rsidR="006B1681" w:rsidRPr="00332DF6" w:rsidRDefault="006B1681" w:rsidP="00332DF6">
            <w:pPr>
              <w:pStyle w:val="TableTextEntries"/>
            </w:pPr>
            <w:r w:rsidRPr="00332DF6">
              <w:t>INJ147</w:t>
            </w:r>
          </w:p>
        </w:tc>
        <w:tc>
          <w:tcPr>
            <w:tcW w:w="1840" w:type="dxa"/>
            <w:vMerge w:val="restart"/>
            <w:hideMark/>
          </w:tcPr>
          <w:p w14:paraId="420DC9B8" w14:textId="77777777" w:rsidR="006B1681" w:rsidRPr="00332DF6" w:rsidRDefault="006B1681" w:rsidP="00332DF6">
            <w:pPr>
              <w:pStyle w:val="TableTextEntries"/>
            </w:pPr>
            <w:r w:rsidRPr="00332DF6">
              <w:t>$11,000,000.00</w:t>
            </w:r>
          </w:p>
        </w:tc>
        <w:tc>
          <w:tcPr>
            <w:tcW w:w="1128" w:type="dxa"/>
            <w:vMerge w:val="restart"/>
            <w:noWrap/>
            <w:hideMark/>
          </w:tcPr>
          <w:p w14:paraId="420DC9B9" w14:textId="77777777" w:rsidR="006B1681" w:rsidRPr="00332DF6" w:rsidRDefault="006B1681" w:rsidP="00332DF6">
            <w:pPr>
              <w:pStyle w:val="TableTextEntries"/>
            </w:pPr>
            <w:r w:rsidRPr="00332DF6">
              <w:t>2010</w:t>
            </w:r>
            <w:r w:rsidR="00464D90" w:rsidRPr="00332DF6">
              <w:t>–</w:t>
            </w:r>
            <w:r w:rsidRPr="00332DF6">
              <w:t>13</w:t>
            </w:r>
          </w:p>
        </w:tc>
        <w:tc>
          <w:tcPr>
            <w:tcW w:w="920" w:type="dxa"/>
            <w:noWrap/>
            <w:hideMark/>
          </w:tcPr>
          <w:p w14:paraId="420DC9B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9B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BC"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B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BE"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BF"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C0" w14:textId="77777777" w:rsidR="006B1681" w:rsidRPr="00332DF6" w:rsidRDefault="006B1681" w:rsidP="00152088">
            <w:pPr>
              <w:pStyle w:val="TableTextEntries"/>
              <w:jc w:val="center"/>
            </w:pPr>
            <w:r w:rsidRPr="00332DF6">
              <w:t>5</w:t>
            </w:r>
          </w:p>
        </w:tc>
      </w:tr>
      <w:tr w:rsidR="006B1681" w:rsidRPr="00250BC3" w14:paraId="420DC9C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C2" w14:textId="77777777" w:rsidR="006B1681" w:rsidRPr="00332DF6" w:rsidRDefault="006B1681" w:rsidP="00332DF6">
            <w:pPr>
              <w:pStyle w:val="TableTextEntries"/>
            </w:pPr>
          </w:p>
        </w:tc>
        <w:tc>
          <w:tcPr>
            <w:tcW w:w="887" w:type="dxa"/>
            <w:vMerge/>
            <w:hideMark/>
          </w:tcPr>
          <w:p w14:paraId="420DC9C3" w14:textId="77777777" w:rsidR="006B1681" w:rsidRPr="00332DF6" w:rsidRDefault="006B1681" w:rsidP="00332DF6">
            <w:pPr>
              <w:pStyle w:val="TableTextEntries"/>
            </w:pPr>
          </w:p>
        </w:tc>
        <w:tc>
          <w:tcPr>
            <w:tcW w:w="1840" w:type="dxa"/>
            <w:vMerge/>
            <w:hideMark/>
          </w:tcPr>
          <w:p w14:paraId="420DC9C4" w14:textId="77777777" w:rsidR="006B1681" w:rsidRPr="00332DF6" w:rsidRDefault="006B1681" w:rsidP="00332DF6">
            <w:pPr>
              <w:pStyle w:val="TableTextEntries"/>
            </w:pPr>
          </w:p>
        </w:tc>
        <w:tc>
          <w:tcPr>
            <w:tcW w:w="1128" w:type="dxa"/>
            <w:vMerge/>
            <w:hideMark/>
          </w:tcPr>
          <w:p w14:paraId="420DC9C5" w14:textId="77777777" w:rsidR="006B1681" w:rsidRPr="00332DF6" w:rsidRDefault="006B1681" w:rsidP="00332DF6">
            <w:pPr>
              <w:pStyle w:val="TableTextEntries"/>
            </w:pPr>
          </w:p>
        </w:tc>
        <w:tc>
          <w:tcPr>
            <w:tcW w:w="920" w:type="dxa"/>
            <w:noWrap/>
            <w:hideMark/>
          </w:tcPr>
          <w:p w14:paraId="420DC9C6" w14:textId="77777777" w:rsidR="006B1681" w:rsidRPr="00332DF6" w:rsidRDefault="006B1681" w:rsidP="00332DF6">
            <w:pPr>
              <w:pStyle w:val="TableTextEntries"/>
            </w:pPr>
            <w:r w:rsidRPr="00332DF6">
              <w:t>2012</w:t>
            </w:r>
          </w:p>
        </w:tc>
        <w:tc>
          <w:tcPr>
            <w:tcW w:w="894" w:type="dxa"/>
            <w:shd w:val="clear" w:color="auto" w:fill="92D050"/>
            <w:noWrap/>
            <w:hideMark/>
          </w:tcPr>
          <w:p w14:paraId="420DC9C7"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C8"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9C9"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CA"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CB"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CC" w14:textId="77777777" w:rsidR="006B1681" w:rsidRPr="00332DF6" w:rsidRDefault="006B1681" w:rsidP="00152088">
            <w:pPr>
              <w:pStyle w:val="TableTextEntries"/>
              <w:jc w:val="center"/>
            </w:pPr>
            <w:r w:rsidRPr="00332DF6">
              <w:t>4</w:t>
            </w:r>
          </w:p>
        </w:tc>
      </w:tr>
      <w:tr w:rsidR="006B1681" w:rsidRPr="00250BC3" w14:paraId="420DC9D9" w14:textId="77777777" w:rsidTr="00A84A34">
        <w:trPr>
          <w:tblHeader w:val="0"/>
        </w:trPr>
        <w:tc>
          <w:tcPr>
            <w:tcW w:w="2785" w:type="dxa"/>
            <w:vMerge w:val="restart"/>
            <w:hideMark/>
          </w:tcPr>
          <w:p w14:paraId="420DC9CE" w14:textId="77777777" w:rsidR="006B1681" w:rsidRPr="00332DF6" w:rsidRDefault="006B1681" w:rsidP="00332DF6">
            <w:pPr>
              <w:pStyle w:val="TableTextEntries"/>
            </w:pPr>
            <w:r w:rsidRPr="00332DF6">
              <w:t xml:space="preserve">Pacific Fisheries and Food Security </w:t>
            </w:r>
          </w:p>
        </w:tc>
        <w:tc>
          <w:tcPr>
            <w:tcW w:w="887" w:type="dxa"/>
            <w:vMerge w:val="restart"/>
            <w:noWrap/>
            <w:hideMark/>
          </w:tcPr>
          <w:p w14:paraId="420DC9CF" w14:textId="77777777" w:rsidR="006B1681" w:rsidRPr="00332DF6" w:rsidRDefault="006B1681" w:rsidP="00332DF6">
            <w:pPr>
              <w:pStyle w:val="TableTextEntries"/>
            </w:pPr>
            <w:r w:rsidRPr="00332DF6">
              <w:t>INJ201</w:t>
            </w:r>
          </w:p>
        </w:tc>
        <w:tc>
          <w:tcPr>
            <w:tcW w:w="1840" w:type="dxa"/>
            <w:vMerge w:val="restart"/>
            <w:hideMark/>
          </w:tcPr>
          <w:p w14:paraId="420DC9D0" w14:textId="77777777" w:rsidR="006B1681" w:rsidRPr="00332DF6" w:rsidRDefault="006B1681" w:rsidP="00332DF6">
            <w:pPr>
              <w:pStyle w:val="TableTextEntries"/>
            </w:pPr>
            <w:r w:rsidRPr="00332DF6">
              <w:t>$25,100,000.00</w:t>
            </w:r>
          </w:p>
        </w:tc>
        <w:tc>
          <w:tcPr>
            <w:tcW w:w="1128" w:type="dxa"/>
            <w:vMerge w:val="restart"/>
            <w:noWrap/>
            <w:hideMark/>
          </w:tcPr>
          <w:p w14:paraId="420DC9D1" w14:textId="77777777" w:rsidR="006B1681" w:rsidRPr="00332DF6" w:rsidRDefault="006B1681" w:rsidP="00332DF6">
            <w:pPr>
              <w:pStyle w:val="TableTextEntries"/>
            </w:pPr>
            <w:r w:rsidRPr="00332DF6">
              <w:t>2010</w:t>
            </w:r>
            <w:r w:rsidR="00464D90" w:rsidRPr="00332DF6">
              <w:t>–</w:t>
            </w:r>
            <w:r w:rsidRPr="00332DF6">
              <w:t>14</w:t>
            </w:r>
          </w:p>
        </w:tc>
        <w:tc>
          <w:tcPr>
            <w:tcW w:w="920" w:type="dxa"/>
            <w:noWrap/>
            <w:hideMark/>
          </w:tcPr>
          <w:p w14:paraId="420DC9D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9D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9D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9D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D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D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D8" w14:textId="77777777" w:rsidR="006B1681" w:rsidRPr="00332DF6" w:rsidRDefault="006B1681" w:rsidP="00152088">
            <w:pPr>
              <w:pStyle w:val="TableTextEntries"/>
              <w:jc w:val="center"/>
            </w:pPr>
            <w:r w:rsidRPr="00332DF6">
              <w:t>4</w:t>
            </w:r>
          </w:p>
        </w:tc>
      </w:tr>
      <w:tr w:rsidR="006B1681" w:rsidRPr="00250BC3" w14:paraId="420DC9E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DA" w14:textId="77777777" w:rsidR="006B1681" w:rsidRPr="00332DF6" w:rsidRDefault="006B1681" w:rsidP="00332DF6">
            <w:pPr>
              <w:pStyle w:val="TableTextEntries"/>
            </w:pPr>
          </w:p>
        </w:tc>
        <w:tc>
          <w:tcPr>
            <w:tcW w:w="887" w:type="dxa"/>
            <w:vMerge/>
            <w:hideMark/>
          </w:tcPr>
          <w:p w14:paraId="420DC9DB" w14:textId="77777777" w:rsidR="006B1681" w:rsidRPr="00332DF6" w:rsidRDefault="006B1681" w:rsidP="00332DF6">
            <w:pPr>
              <w:pStyle w:val="TableTextEntries"/>
            </w:pPr>
          </w:p>
        </w:tc>
        <w:tc>
          <w:tcPr>
            <w:tcW w:w="1840" w:type="dxa"/>
            <w:vMerge/>
            <w:hideMark/>
          </w:tcPr>
          <w:p w14:paraId="420DC9DC" w14:textId="77777777" w:rsidR="006B1681" w:rsidRPr="00332DF6" w:rsidRDefault="006B1681" w:rsidP="00332DF6">
            <w:pPr>
              <w:pStyle w:val="TableTextEntries"/>
            </w:pPr>
          </w:p>
        </w:tc>
        <w:tc>
          <w:tcPr>
            <w:tcW w:w="1128" w:type="dxa"/>
            <w:vMerge/>
            <w:hideMark/>
          </w:tcPr>
          <w:p w14:paraId="420DC9DD" w14:textId="77777777" w:rsidR="006B1681" w:rsidRPr="00332DF6" w:rsidRDefault="006B1681" w:rsidP="00332DF6">
            <w:pPr>
              <w:pStyle w:val="TableTextEntries"/>
            </w:pPr>
          </w:p>
        </w:tc>
        <w:tc>
          <w:tcPr>
            <w:tcW w:w="920" w:type="dxa"/>
            <w:noWrap/>
            <w:hideMark/>
          </w:tcPr>
          <w:p w14:paraId="420DC9DE" w14:textId="77777777" w:rsidR="006B1681" w:rsidRPr="00332DF6" w:rsidRDefault="006B1681" w:rsidP="00332DF6">
            <w:pPr>
              <w:pStyle w:val="TableTextEntries"/>
            </w:pPr>
            <w:r w:rsidRPr="00332DF6">
              <w:t>2012</w:t>
            </w:r>
          </w:p>
        </w:tc>
        <w:tc>
          <w:tcPr>
            <w:tcW w:w="894" w:type="dxa"/>
            <w:shd w:val="clear" w:color="auto" w:fill="92D050"/>
            <w:noWrap/>
            <w:hideMark/>
          </w:tcPr>
          <w:p w14:paraId="420DC9D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9E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E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E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E3"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E4" w14:textId="77777777" w:rsidR="006B1681" w:rsidRPr="00332DF6" w:rsidRDefault="006B1681" w:rsidP="00152088">
            <w:pPr>
              <w:pStyle w:val="TableTextEntries"/>
              <w:jc w:val="center"/>
            </w:pPr>
            <w:r w:rsidRPr="00332DF6">
              <w:t>4</w:t>
            </w:r>
          </w:p>
        </w:tc>
      </w:tr>
      <w:tr w:rsidR="006B1681" w:rsidRPr="00250BC3" w14:paraId="420DC9F1" w14:textId="77777777" w:rsidTr="00A84A34">
        <w:trPr>
          <w:tblHeader w:val="0"/>
        </w:trPr>
        <w:tc>
          <w:tcPr>
            <w:tcW w:w="2785" w:type="dxa"/>
            <w:vMerge w:val="restart"/>
            <w:hideMark/>
          </w:tcPr>
          <w:p w14:paraId="420DC9E6" w14:textId="77777777" w:rsidR="006B1681" w:rsidRPr="00332DF6" w:rsidRDefault="006B1681" w:rsidP="00332DF6">
            <w:pPr>
              <w:pStyle w:val="TableTextEntries"/>
            </w:pPr>
            <w:r w:rsidRPr="00332DF6">
              <w:t>Program to Strengthen Pacific Statistics</w:t>
            </w:r>
          </w:p>
        </w:tc>
        <w:tc>
          <w:tcPr>
            <w:tcW w:w="887" w:type="dxa"/>
            <w:vMerge w:val="restart"/>
            <w:noWrap/>
            <w:hideMark/>
          </w:tcPr>
          <w:p w14:paraId="420DC9E7" w14:textId="77777777" w:rsidR="006B1681" w:rsidRPr="00332DF6" w:rsidRDefault="006B1681" w:rsidP="00332DF6">
            <w:pPr>
              <w:pStyle w:val="TableTextEntries"/>
            </w:pPr>
            <w:r w:rsidRPr="00332DF6">
              <w:t>INJ209</w:t>
            </w:r>
          </w:p>
        </w:tc>
        <w:tc>
          <w:tcPr>
            <w:tcW w:w="1840" w:type="dxa"/>
            <w:vMerge w:val="restart"/>
            <w:hideMark/>
          </w:tcPr>
          <w:p w14:paraId="420DC9E8" w14:textId="77777777" w:rsidR="006B1681" w:rsidRPr="00332DF6" w:rsidRDefault="006B1681" w:rsidP="00332DF6">
            <w:pPr>
              <w:pStyle w:val="TableTextEntries"/>
            </w:pPr>
            <w:r w:rsidRPr="00332DF6">
              <w:t>$11,009,087.26</w:t>
            </w:r>
          </w:p>
        </w:tc>
        <w:tc>
          <w:tcPr>
            <w:tcW w:w="1128" w:type="dxa"/>
            <w:vMerge w:val="restart"/>
            <w:noWrap/>
            <w:hideMark/>
          </w:tcPr>
          <w:p w14:paraId="420DC9E9" w14:textId="77777777" w:rsidR="006B1681" w:rsidRPr="00332DF6" w:rsidRDefault="006B1681" w:rsidP="00332DF6">
            <w:pPr>
              <w:pStyle w:val="TableTextEntries"/>
            </w:pPr>
            <w:r w:rsidRPr="00332DF6">
              <w:t>2010</w:t>
            </w:r>
            <w:r w:rsidR="00464D90" w:rsidRPr="00332DF6">
              <w:t>–</w:t>
            </w:r>
            <w:r w:rsidRPr="00332DF6">
              <w:t>13</w:t>
            </w:r>
          </w:p>
        </w:tc>
        <w:tc>
          <w:tcPr>
            <w:tcW w:w="920" w:type="dxa"/>
            <w:noWrap/>
            <w:hideMark/>
          </w:tcPr>
          <w:p w14:paraId="420DC9E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9E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79646" w:themeFill="accent6"/>
            <w:noWrap/>
            <w:hideMark/>
          </w:tcPr>
          <w:p w14:paraId="420DC9EC"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9E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9E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9EF"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9F0" w14:textId="77777777" w:rsidR="006B1681" w:rsidRPr="00332DF6" w:rsidRDefault="006B1681" w:rsidP="00152088">
            <w:pPr>
              <w:pStyle w:val="TableTextEntries"/>
              <w:jc w:val="center"/>
            </w:pPr>
            <w:r w:rsidRPr="00332DF6">
              <w:t>4</w:t>
            </w:r>
          </w:p>
        </w:tc>
      </w:tr>
      <w:tr w:rsidR="006B1681" w:rsidRPr="00250BC3" w14:paraId="420DC9F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9F2" w14:textId="77777777" w:rsidR="006B1681" w:rsidRPr="00332DF6" w:rsidRDefault="006B1681" w:rsidP="00332DF6">
            <w:pPr>
              <w:pStyle w:val="TableTextEntries"/>
            </w:pPr>
          </w:p>
        </w:tc>
        <w:tc>
          <w:tcPr>
            <w:tcW w:w="887" w:type="dxa"/>
            <w:vMerge/>
            <w:hideMark/>
          </w:tcPr>
          <w:p w14:paraId="420DC9F3" w14:textId="77777777" w:rsidR="006B1681" w:rsidRPr="00332DF6" w:rsidRDefault="006B1681" w:rsidP="00332DF6">
            <w:pPr>
              <w:pStyle w:val="TableTextEntries"/>
            </w:pPr>
          </w:p>
        </w:tc>
        <w:tc>
          <w:tcPr>
            <w:tcW w:w="1840" w:type="dxa"/>
            <w:vMerge/>
            <w:hideMark/>
          </w:tcPr>
          <w:p w14:paraId="420DC9F4" w14:textId="77777777" w:rsidR="006B1681" w:rsidRPr="00332DF6" w:rsidRDefault="006B1681" w:rsidP="00332DF6">
            <w:pPr>
              <w:pStyle w:val="TableTextEntries"/>
            </w:pPr>
          </w:p>
        </w:tc>
        <w:tc>
          <w:tcPr>
            <w:tcW w:w="1128" w:type="dxa"/>
            <w:vMerge/>
            <w:hideMark/>
          </w:tcPr>
          <w:p w14:paraId="420DC9F5" w14:textId="77777777" w:rsidR="006B1681" w:rsidRPr="00332DF6" w:rsidRDefault="006B1681" w:rsidP="00332DF6">
            <w:pPr>
              <w:pStyle w:val="TableTextEntries"/>
            </w:pPr>
          </w:p>
        </w:tc>
        <w:tc>
          <w:tcPr>
            <w:tcW w:w="920" w:type="dxa"/>
            <w:noWrap/>
            <w:hideMark/>
          </w:tcPr>
          <w:p w14:paraId="420DC9F6" w14:textId="77777777" w:rsidR="006B1681" w:rsidRPr="00332DF6" w:rsidRDefault="006B1681" w:rsidP="00332DF6">
            <w:pPr>
              <w:pStyle w:val="TableTextEntries"/>
            </w:pPr>
            <w:r w:rsidRPr="00332DF6">
              <w:t>2012</w:t>
            </w:r>
          </w:p>
        </w:tc>
        <w:tc>
          <w:tcPr>
            <w:tcW w:w="894" w:type="dxa"/>
            <w:shd w:val="clear" w:color="auto" w:fill="92D050"/>
            <w:noWrap/>
            <w:hideMark/>
          </w:tcPr>
          <w:p w14:paraId="420DC9F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9F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F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9FA"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9FB" w14:textId="77777777" w:rsidR="006B1681" w:rsidRPr="00332DF6" w:rsidRDefault="006B1681" w:rsidP="00152088">
            <w:pPr>
              <w:pStyle w:val="TableTextEntries"/>
              <w:jc w:val="center"/>
            </w:pPr>
            <w:r w:rsidRPr="00332DF6">
              <w:t>3</w:t>
            </w:r>
          </w:p>
        </w:tc>
        <w:tc>
          <w:tcPr>
            <w:tcW w:w="894" w:type="dxa"/>
            <w:shd w:val="clear" w:color="auto" w:fill="92D050"/>
            <w:noWrap/>
            <w:hideMark/>
          </w:tcPr>
          <w:p w14:paraId="420DC9FC" w14:textId="77777777" w:rsidR="006B1681" w:rsidRPr="00332DF6" w:rsidRDefault="006B1681" w:rsidP="00152088">
            <w:pPr>
              <w:pStyle w:val="TableTextEntries"/>
              <w:jc w:val="center"/>
            </w:pPr>
            <w:r w:rsidRPr="00332DF6">
              <w:t>5</w:t>
            </w:r>
          </w:p>
        </w:tc>
      </w:tr>
      <w:tr w:rsidR="006B1681" w:rsidRPr="00250BC3" w14:paraId="420DCA09" w14:textId="77777777" w:rsidTr="00A84A34">
        <w:trPr>
          <w:tblHeader w:val="0"/>
        </w:trPr>
        <w:tc>
          <w:tcPr>
            <w:tcW w:w="2785" w:type="dxa"/>
            <w:vMerge w:val="restart"/>
            <w:hideMark/>
          </w:tcPr>
          <w:p w14:paraId="420DC9FE" w14:textId="77777777" w:rsidR="006B1681" w:rsidRPr="00332DF6" w:rsidRDefault="006B1681" w:rsidP="00332DF6">
            <w:pPr>
              <w:pStyle w:val="TableTextEntries"/>
            </w:pPr>
            <w:r w:rsidRPr="00332DF6">
              <w:t xml:space="preserve">Scholarships French </w:t>
            </w:r>
            <w:proofErr w:type="spellStart"/>
            <w:r w:rsidRPr="00332DF6">
              <w:t>Collectivities</w:t>
            </w:r>
            <w:proofErr w:type="spellEnd"/>
            <w:r w:rsidRPr="00332DF6">
              <w:t xml:space="preserve"> ADS</w:t>
            </w:r>
            <w:r w:rsidR="00464D90" w:rsidRPr="00332DF6">
              <w:t>—</w:t>
            </w:r>
            <w:r w:rsidR="00D12BCD" w:rsidRPr="00332DF6">
              <w:t>i</w:t>
            </w:r>
            <w:r w:rsidRPr="00332DF6">
              <w:t>nitial</w:t>
            </w:r>
          </w:p>
        </w:tc>
        <w:tc>
          <w:tcPr>
            <w:tcW w:w="887" w:type="dxa"/>
            <w:vMerge w:val="restart"/>
            <w:noWrap/>
            <w:hideMark/>
          </w:tcPr>
          <w:p w14:paraId="420DC9FF" w14:textId="77777777" w:rsidR="006B1681" w:rsidRPr="00332DF6" w:rsidRDefault="006B1681" w:rsidP="00332DF6">
            <w:pPr>
              <w:pStyle w:val="TableTextEntries"/>
            </w:pPr>
            <w:r w:rsidRPr="00332DF6">
              <w:t>INJ261</w:t>
            </w:r>
          </w:p>
        </w:tc>
        <w:tc>
          <w:tcPr>
            <w:tcW w:w="1840" w:type="dxa"/>
            <w:vMerge w:val="restart"/>
            <w:hideMark/>
          </w:tcPr>
          <w:p w14:paraId="420DCA00" w14:textId="77777777" w:rsidR="006B1681" w:rsidRPr="00332DF6" w:rsidRDefault="006B1681" w:rsidP="00332DF6">
            <w:pPr>
              <w:pStyle w:val="TableTextEntries"/>
            </w:pPr>
            <w:r w:rsidRPr="00332DF6">
              <w:t>$4,614,147.93</w:t>
            </w:r>
          </w:p>
        </w:tc>
        <w:tc>
          <w:tcPr>
            <w:tcW w:w="1128" w:type="dxa"/>
            <w:vMerge w:val="restart"/>
            <w:noWrap/>
            <w:hideMark/>
          </w:tcPr>
          <w:p w14:paraId="420DCA01" w14:textId="77777777" w:rsidR="006B1681" w:rsidRPr="00332DF6" w:rsidRDefault="006B1681" w:rsidP="00332DF6">
            <w:pPr>
              <w:pStyle w:val="TableTextEntries"/>
            </w:pPr>
            <w:r w:rsidRPr="00332DF6">
              <w:t>2010</w:t>
            </w:r>
            <w:r w:rsidR="00464D90" w:rsidRPr="00332DF6">
              <w:t>–</w:t>
            </w:r>
            <w:r w:rsidRPr="00332DF6">
              <w:t>17</w:t>
            </w:r>
          </w:p>
        </w:tc>
        <w:tc>
          <w:tcPr>
            <w:tcW w:w="920" w:type="dxa"/>
            <w:noWrap/>
            <w:hideMark/>
          </w:tcPr>
          <w:p w14:paraId="420DCA02"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A03"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04"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A0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0000"/>
            <w:noWrap/>
            <w:hideMark/>
          </w:tcPr>
          <w:p w14:paraId="420DCA06"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92D050"/>
            <w:noWrap/>
            <w:hideMark/>
          </w:tcPr>
          <w:p w14:paraId="420DCA07"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A08" w14:textId="77777777" w:rsidR="006B1681" w:rsidRPr="00332DF6" w:rsidRDefault="006B1681" w:rsidP="00152088">
            <w:pPr>
              <w:pStyle w:val="TableTextEntries"/>
              <w:jc w:val="center"/>
            </w:pPr>
            <w:r w:rsidRPr="00332DF6">
              <w:t>6</w:t>
            </w:r>
          </w:p>
        </w:tc>
      </w:tr>
      <w:tr w:rsidR="006B1681" w:rsidRPr="00250BC3" w14:paraId="420DCA1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0A" w14:textId="77777777" w:rsidR="006B1681" w:rsidRPr="00332DF6" w:rsidRDefault="006B1681" w:rsidP="00332DF6">
            <w:pPr>
              <w:pStyle w:val="TableTextEntries"/>
            </w:pPr>
          </w:p>
        </w:tc>
        <w:tc>
          <w:tcPr>
            <w:tcW w:w="887" w:type="dxa"/>
            <w:vMerge/>
            <w:hideMark/>
          </w:tcPr>
          <w:p w14:paraId="420DCA0B" w14:textId="77777777" w:rsidR="006B1681" w:rsidRPr="00332DF6" w:rsidRDefault="006B1681" w:rsidP="00332DF6">
            <w:pPr>
              <w:pStyle w:val="TableTextEntries"/>
            </w:pPr>
          </w:p>
        </w:tc>
        <w:tc>
          <w:tcPr>
            <w:tcW w:w="1840" w:type="dxa"/>
            <w:vMerge/>
            <w:hideMark/>
          </w:tcPr>
          <w:p w14:paraId="420DCA0C" w14:textId="77777777" w:rsidR="006B1681" w:rsidRPr="00332DF6" w:rsidRDefault="006B1681" w:rsidP="00332DF6">
            <w:pPr>
              <w:pStyle w:val="TableTextEntries"/>
            </w:pPr>
          </w:p>
        </w:tc>
        <w:tc>
          <w:tcPr>
            <w:tcW w:w="1128" w:type="dxa"/>
            <w:vMerge/>
            <w:hideMark/>
          </w:tcPr>
          <w:p w14:paraId="420DCA0D" w14:textId="77777777" w:rsidR="006B1681" w:rsidRPr="00332DF6" w:rsidRDefault="006B1681" w:rsidP="00332DF6">
            <w:pPr>
              <w:pStyle w:val="TableTextEntries"/>
            </w:pPr>
          </w:p>
        </w:tc>
        <w:tc>
          <w:tcPr>
            <w:tcW w:w="920" w:type="dxa"/>
            <w:noWrap/>
            <w:hideMark/>
          </w:tcPr>
          <w:p w14:paraId="420DCA0E" w14:textId="77777777" w:rsidR="006B1681" w:rsidRPr="00332DF6" w:rsidRDefault="006B1681" w:rsidP="00332DF6">
            <w:pPr>
              <w:pStyle w:val="TableTextEntries"/>
            </w:pPr>
            <w:r w:rsidRPr="00332DF6">
              <w:t>2012</w:t>
            </w:r>
          </w:p>
        </w:tc>
        <w:tc>
          <w:tcPr>
            <w:tcW w:w="894" w:type="dxa"/>
            <w:shd w:val="clear" w:color="auto" w:fill="F79646" w:themeFill="accent6"/>
            <w:noWrap/>
            <w:hideMark/>
          </w:tcPr>
          <w:p w14:paraId="420DCA0F"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A10"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A11"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A12"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A13"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14" w14:textId="77777777" w:rsidR="006B1681" w:rsidRPr="00332DF6" w:rsidRDefault="006B1681" w:rsidP="00152088">
            <w:pPr>
              <w:pStyle w:val="TableTextEntries"/>
              <w:jc w:val="center"/>
            </w:pPr>
            <w:r w:rsidRPr="00332DF6">
              <w:t>4</w:t>
            </w:r>
          </w:p>
        </w:tc>
      </w:tr>
      <w:tr w:rsidR="006B1681" w:rsidRPr="00250BC3" w14:paraId="420DCA21" w14:textId="77777777" w:rsidTr="00A84A34">
        <w:trPr>
          <w:tblHeader w:val="0"/>
        </w:trPr>
        <w:tc>
          <w:tcPr>
            <w:tcW w:w="2785" w:type="dxa"/>
            <w:vMerge w:val="restart"/>
            <w:hideMark/>
          </w:tcPr>
          <w:p w14:paraId="420DCA16" w14:textId="77777777" w:rsidR="006B1681" w:rsidRPr="00332DF6" w:rsidRDefault="006B1681" w:rsidP="00332DF6">
            <w:pPr>
              <w:pStyle w:val="TableTextEntries"/>
            </w:pPr>
            <w:r w:rsidRPr="00332DF6">
              <w:t>Pacific Microfinance Initiative</w:t>
            </w:r>
          </w:p>
        </w:tc>
        <w:tc>
          <w:tcPr>
            <w:tcW w:w="887" w:type="dxa"/>
            <w:vMerge w:val="restart"/>
            <w:noWrap/>
            <w:hideMark/>
          </w:tcPr>
          <w:p w14:paraId="420DCA17" w14:textId="77777777" w:rsidR="006B1681" w:rsidRPr="00332DF6" w:rsidRDefault="006B1681" w:rsidP="00332DF6">
            <w:pPr>
              <w:pStyle w:val="TableTextEntries"/>
            </w:pPr>
            <w:r w:rsidRPr="00332DF6">
              <w:t>INJ277</w:t>
            </w:r>
          </w:p>
        </w:tc>
        <w:tc>
          <w:tcPr>
            <w:tcW w:w="1840" w:type="dxa"/>
            <w:vMerge w:val="restart"/>
            <w:hideMark/>
          </w:tcPr>
          <w:p w14:paraId="420DCA18" w14:textId="77777777" w:rsidR="006B1681" w:rsidRPr="00332DF6" w:rsidRDefault="006B1681" w:rsidP="00332DF6">
            <w:pPr>
              <w:pStyle w:val="TableTextEntries"/>
            </w:pPr>
            <w:r w:rsidRPr="00332DF6">
              <w:t>$9,500,000.00</w:t>
            </w:r>
          </w:p>
        </w:tc>
        <w:tc>
          <w:tcPr>
            <w:tcW w:w="1128" w:type="dxa"/>
            <w:vMerge w:val="restart"/>
            <w:noWrap/>
            <w:hideMark/>
          </w:tcPr>
          <w:p w14:paraId="420DCA19" w14:textId="77777777" w:rsidR="006B1681" w:rsidRPr="00332DF6" w:rsidRDefault="006B1681" w:rsidP="00332DF6">
            <w:pPr>
              <w:pStyle w:val="TableTextEntries"/>
            </w:pPr>
            <w:r w:rsidRPr="00332DF6">
              <w:t>2010</w:t>
            </w:r>
            <w:r w:rsidR="00464D90" w:rsidRPr="00332DF6">
              <w:t>–</w:t>
            </w:r>
            <w:r w:rsidRPr="00332DF6">
              <w:t>13</w:t>
            </w:r>
          </w:p>
        </w:tc>
        <w:tc>
          <w:tcPr>
            <w:tcW w:w="920" w:type="dxa"/>
            <w:noWrap/>
            <w:hideMark/>
          </w:tcPr>
          <w:p w14:paraId="420DCA1A"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A1B"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1C"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A1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1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1F"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A20" w14:textId="77777777" w:rsidR="006B1681" w:rsidRPr="00332DF6" w:rsidRDefault="006B1681" w:rsidP="00152088">
            <w:pPr>
              <w:pStyle w:val="TableTextEntries"/>
              <w:jc w:val="center"/>
            </w:pPr>
            <w:r w:rsidRPr="00332DF6">
              <w:t>3</w:t>
            </w:r>
          </w:p>
        </w:tc>
      </w:tr>
      <w:tr w:rsidR="006B1681" w:rsidRPr="00250BC3" w14:paraId="420DCA2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22" w14:textId="77777777" w:rsidR="006B1681" w:rsidRPr="00332DF6" w:rsidRDefault="006B1681" w:rsidP="00332DF6">
            <w:pPr>
              <w:pStyle w:val="TableTextEntries"/>
            </w:pPr>
          </w:p>
        </w:tc>
        <w:tc>
          <w:tcPr>
            <w:tcW w:w="887" w:type="dxa"/>
            <w:vMerge/>
            <w:hideMark/>
          </w:tcPr>
          <w:p w14:paraId="420DCA23" w14:textId="77777777" w:rsidR="006B1681" w:rsidRPr="00332DF6" w:rsidRDefault="006B1681" w:rsidP="00332DF6">
            <w:pPr>
              <w:pStyle w:val="TableTextEntries"/>
            </w:pPr>
          </w:p>
        </w:tc>
        <w:tc>
          <w:tcPr>
            <w:tcW w:w="1840" w:type="dxa"/>
            <w:vMerge/>
            <w:hideMark/>
          </w:tcPr>
          <w:p w14:paraId="420DCA24" w14:textId="77777777" w:rsidR="006B1681" w:rsidRPr="00332DF6" w:rsidRDefault="006B1681" w:rsidP="00332DF6">
            <w:pPr>
              <w:pStyle w:val="TableTextEntries"/>
            </w:pPr>
          </w:p>
        </w:tc>
        <w:tc>
          <w:tcPr>
            <w:tcW w:w="1128" w:type="dxa"/>
            <w:vMerge/>
            <w:hideMark/>
          </w:tcPr>
          <w:p w14:paraId="420DCA25" w14:textId="77777777" w:rsidR="006B1681" w:rsidRPr="00332DF6" w:rsidRDefault="006B1681" w:rsidP="00332DF6">
            <w:pPr>
              <w:pStyle w:val="TableTextEntries"/>
            </w:pPr>
          </w:p>
        </w:tc>
        <w:tc>
          <w:tcPr>
            <w:tcW w:w="920" w:type="dxa"/>
            <w:noWrap/>
            <w:hideMark/>
          </w:tcPr>
          <w:p w14:paraId="420DCA26" w14:textId="77777777" w:rsidR="006B1681" w:rsidRPr="00332DF6" w:rsidRDefault="006B1681" w:rsidP="00332DF6">
            <w:pPr>
              <w:pStyle w:val="TableTextEntries"/>
            </w:pPr>
            <w:r w:rsidRPr="00332DF6">
              <w:t>2012</w:t>
            </w:r>
          </w:p>
        </w:tc>
        <w:tc>
          <w:tcPr>
            <w:tcW w:w="894" w:type="dxa"/>
            <w:shd w:val="clear" w:color="auto" w:fill="FFFF00"/>
            <w:noWrap/>
            <w:hideMark/>
          </w:tcPr>
          <w:p w14:paraId="420DCA27"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2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2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2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2B"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A2C" w14:textId="77777777" w:rsidR="006B1681" w:rsidRPr="00332DF6" w:rsidRDefault="006B1681" w:rsidP="00152088">
            <w:pPr>
              <w:pStyle w:val="TableTextEntries"/>
              <w:jc w:val="center"/>
            </w:pPr>
            <w:r w:rsidRPr="00332DF6">
              <w:t>3</w:t>
            </w:r>
          </w:p>
        </w:tc>
      </w:tr>
      <w:tr w:rsidR="006B1681" w:rsidRPr="00250BC3" w14:paraId="420DCA39" w14:textId="77777777" w:rsidTr="00A84A34">
        <w:trPr>
          <w:tblHeader w:val="0"/>
        </w:trPr>
        <w:tc>
          <w:tcPr>
            <w:tcW w:w="2785" w:type="dxa"/>
            <w:vMerge w:val="restart"/>
            <w:hideMark/>
          </w:tcPr>
          <w:p w14:paraId="420DCA2E" w14:textId="77777777" w:rsidR="006B1681" w:rsidRPr="00332DF6" w:rsidRDefault="006B1681" w:rsidP="00332DF6">
            <w:pPr>
              <w:pStyle w:val="TableTextEntries"/>
            </w:pPr>
            <w:r w:rsidRPr="00332DF6">
              <w:t>Pacific Fisheries and Food Security</w:t>
            </w:r>
            <w:r w:rsidR="00464D90" w:rsidRPr="00332DF6">
              <w:t>—</w:t>
            </w:r>
            <w:r w:rsidRPr="00332DF6">
              <w:t xml:space="preserve">SPC </w:t>
            </w:r>
          </w:p>
        </w:tc>
        <w:tc>
          <w:tcPr>
            <w:tcW w:w="887" w:type="dxa"/>
            <w:vMerge w:val="restart"/>
            <w:noWrap/>
            <w:hideMark/>
          </w:tcPr>
          <w:p w14:paraId="420DCA2F" w14:textId="77777777" w:rsidR="006B1681" w:rsidRPr="00332DF6" w:rsidRDefault="006B1681" w:rsidP="00332DF6">
            <w:pPr>
              <w:pStyle w:val="TableTextEntries"/>
            </w:pPr>
            <w:r w:rsidRPr="00332DF6">
              <w:t>INJ589</w:t>
            </w:r>
          </w:p>
        </w:tc>
        <w:tc>
          <w:tcPr>
            <w:tcW w:w="1840" w:type="dxa"/>
            <w:vMerge w:val="restart"/>
            <w:hideMark/>
          </w:tcPr>
          <w:p w14:paraId="420DCA30" w14:textId="77777777" w:rsidR="006B1681" w:rsidRPr="00332DF6" w:rsidRDefault="006B1681" w:rsidP="00332DF6">
            <w:pPr>
              <w:pStyle w:val="TableTextEntries"/>
            </w:pPr>
            <w:r w:rsidRPr="00332DF6">
              <w:t>$9,578,106.00</w:t>
            </w:r>
          </w:p>
        </w:tc>
        <w:tc>
          <w:tcPr>
            <w:tcW w:w="1128" w:type="dxa"/>
            <w:vMerge w:val="restart"/>
            <w:noWrap/>
            <w:hideMark/>
          </w:tcPr>
          <w:p w14:paraId="420DCA31" w14:textId="77777777" w:rsidR="006B1681" w:rsidRPr="00332DF6" w:rsidRDefault="006B1681" w:rsidP="00332DF6">
            <w:pPr>
              <w:pStyle w:val="TableTextEntries"/>
            </w:pPr>
            <w:r w:rsidRPr="00332DF6">
              <w:t>2010</w:t>
            </w:r>
            <w:r w:rsidR="00464D90" w:rsidRPr="00332DF6">
              <w:t>–</w:t>
            </w:r>
            <w:r w:rsidRPr="00332DF6">
              <w:t>15</w:t>
            </w:r>
          </w:p>
        </w:tc>
        <w:tc>
          <w:tcPr>
            <w:tcW w:w="920" w:type="dxa"/>
            <w:noWrap/>
            <w:hideMark/>
          </w:tcPr>
          <w:p w14:paraId="420DCA3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A3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A3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3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3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3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38" w14:textId="77777777" w:rsidR="006B1681" w:rsidRPr="00332DF6" w:rsidRDefault="006B1681" w:rsidP="00152088">
            <w:pPr>
              <w:pStyle w:val="TableTextEntries"/>
              <w:jc w:val="center"/>
            </w:pPr>
            <w:r w:rsidRPr="00332DF6">
              <w:t>4</w:t>
            </w:r>
          </w:p>
        </w:tc>
      </w:tr>
      <w:tr w:rsidR="006B1681" w:rsidRPr="00250BC3" w14:paraId="420DCA4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3A" w14:textId="77777777" w:rsidR="006B1681" w:rsidRPr="00332DF6" w:rsidRDefault="006B1681" w:rsidP="00332DF6">
            <w:pPr>
              <w:pStyle w:val="TableTextEntries"/>
            </w:pPr>
          </w:p>
        </w:tc>
        <w:tc>
          <w:tcPr>
            <w:tcW w:w="887" w:type="dxa"/>
            <w:vMerge/>
            <w:hideMark/>
          </w:tcPr>
          <w:p w14:paraId="420DCA3B" w14:textId="77777777" w:rsidR="006B1681" w:rsidRPr="00332DF6" w:rsidRDefault="006B1681" w:rsidP="00332DF6">
            <w:pPr>
              <w:pStyle w:val="TableTextEntries"/>
            </w:pPr>
          </w:p>
        </w:tc>
        <w:tc>
          <w:tcPr>
            <w:tcW w:w="1840" w:type="dxa"/>
            <w:vMerge/>
            <w:hideMark/>
          </w:tcPr>
          <w:p w14:paraId="420DCA3C" w14:textId="77777777" w:rsidR="006B1681" w:rsidRPr="00332DF6" w:rsidRDefault="006B1681" w:rsidP="00332DF6">
            <w:pPr>
              <w:pStyle w:val="TableTextEntries"/>
            </w:pPr>
          </w:p>
        </w:tc>
        <w:tc>
          <w:tcPr>
            <w:tcW w:w="1128" w:type="dxa"/>
            <w:vMerge/>
            <w:hideMark/>
          </w:tcPr>
          <w:p w14:paraId="420DCA3D" w14:textId="77777777" w:rsidR="006B1681" w:rsidRPr="00332DF6" w:rsidRDefault="006B1681" w:rsidP="00332DF6">
            <w:pPr>
              <w:pStyle w:val="TableTextEntries"/>
            </w:pPr>
          </w:p>
        </w:tc>
        <w:tc>
          <w:tcPr>
            <w:tcW w:w="920" w:type="dxa"/>
            <w:noWrap/>
            <w:hideMark/>
          </w:tcPr>
          <w:p w14:paraId="420DCA3E" w14:textId="77777777" w:rsidR="006B1681" w:rsidRPr="00332DF6" w:rsidRDefault="006B1681" w:rsidP="00332DF6">
            <w:pPr>
              <w:pStyle w:val="TableTextEntries"/>
            </w:pPr>
            <w:r w:rsidRPr="00332DF6">
              <w:t>2012</w:t>
            </w:r>
          </w:p>
        </w:tc>
        <w:tc>
          <w:tcPr>
            <w:tcW w:w="894" w:type="dxa"/>
            <w:shd w:val="clear" w:color="auto" w:fill="92D050"/>
            <w:noWrap/>
            <w:hideMark/>
          </w:tcPr>
          <w:p w14:paraId="420DCA3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A4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A4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4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43"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44" w14:textId="77777777" w:rsidR="006B1681" w:rsidRPr="00332DF6" w:rsidRDefault="006B1681" w:rsidP="00152088">
            <w:pPr>
              <w:pStyle w:val="TableTextEntries"/>
              <w:jc w:val="center"/>
            </w:pPr>
            <w:r w:rsidRPr="00332DF6">
              <w:t>4</w:t>
            </w:r>
          </w:p>
        </w:tc>
      </w:tr>
      <w:tr w:rsidR="006B1681" w:rsidRPr="00250BC3" w14:paraId="420DCA51" w14:textId="77777777" w:rsidTr="00332DF6">
        <w:trPr>
          <w:tblHeader w:val="0"/>
        </w:trPr>
        <w:tc>
          <w:tcPr>
            <w:tcW w:w="2785" w:type="dxa"/>
            <w:vMerge w:val="restart"/>
            <w:hideMark/>
          </w:tcPr>
          <w:p w14:paraId="420DCA46" w14:textId="77777777" w:rsidR="006B1681" w:rsidRPr="00332DF6" w:rsidRDefault="006B1681" w:rsidP="00332DF6">
            <w:pPr>
              <w:pStyle w:val="TableTextEntries"/>
            </w:pPr>
            <w:r w:rsidRPr="00332DF6">
              <w:t xml:space="preserve">Pacific Media Assistance Scheme </w:t>
            </w:r>
            <w:r w:rsidR="00D12BCD" w:rsidRPr="00332DF6">
              <w:t xml:space="preserve"> Phase </w:t>
            </w:r>
            <w:r w:rsidRPr="00332DF6">
              <w:t>2</w:t>
            </w:r>
          </w:p>
        </w:tc>
        <w:tc>
          <w:tcPr>
            <w:tcW w:w="887" w:type="dxa"/>
            <w:vMerge w:val="restart"/>
            <w:noWrap/>
            <w:hideMark/>
          </w:tcPr>
          <w:p w14:paraId="420DCA47" w14:textId="77777777" w:rsidR="006B1681" w:rsidRPr="00332DF6" w:rsidRDefault="006B1681" w:rsidP="00332DF6">
            <w:pPr>
              <w:pStyle w:val="TableTextEntries"/>
            </w:pPr>
            <w:r w:rsidRPr="00332DF6">
              <w:t>INK039</w:t>
            </w:r>
          </w:p>
        </w:tc>
        <w:tc>
          <w:tcPr>
            <w:tcW w:w="1840" w:type="dxa"/>
            <w:vMerge w:val="restart"/>
            <w:hideMark/>
          </w:tcPr>
          <w:p w14:paraId="420DCA48" w14:textId="77777777" w:rsidR="006B1681" w:rsidRPr="00332DF6" w:rsidRDefault="006B1681" w:rsidP="00332DF6">
            <w:pPr>
              <w:pStyle w:val="TableTextEntries"/>
            </w:pPr>
            <w:r w:rsidRPr="00332DF6">
              <w:t>$12,124,332.00</w:t>
            </w:r>
          </w:p>
        </w:tc>
        <w:tc>
          <w:tcPr>
            <w:tcW w:w="1128" w:type="dxa"/>
            <w:vMerge w:val="restart"/>
            <w:noWrap/>
            <w:hideMark/>
          </w:tcPr>
          <w:p w14:paraId="420DCA49" w14:textId="77777777" w:rsidR="006B1681" w:rsidRPr="00332DF6" w:rsidRDefault="006B1681" w:rsidP="00332DF6">
            <w:pPr>
              <w:pStyle w:val="TableTextEntries"/>
            </w:pPr>
            <w:r w:rsidRPr="00332DF6">
              <w:t>2011</w:t>
            </w:r>
            <w:r w:rsidR="00464D90" w:rsidRPr="00332DF6">
              <w:t>–</w:t>
            </w:r>
            <w:r w:rsidRPr="00332DF6">
              <w:t>15</w:t>
            </w:r>
          </w:p>
        </w:tc>
        <w:tc>
          <w:tcPr>
            <w:tcW w:w="920" w:type="dxa"/>
            <w:noWrap/>
            <w:hideMark/>
          </w:tcPr>
          <w:p w14:paraId="420DCA4A" w14:textId="77777777" w:rsidR="006B1681" w:rsidRPr="00332DF6" w:rsidRDefault="006B1681" w:rsidP="00332DF6">
            <w:pPr>
              <w:pStyle w:val="TableTextEntries"/>
            </w:pPr>
            <w:r w:rsidRPr="00332DF6">
              <w:t>2011</w:t>
            </w:r>
          </w:p>
        </w:tc>
        <w:tc>
          <w:tcPr>
            <w:tcW w:w="894" w:type="dxa"/>
            <w:noWrap/>
            <w:hideMark/>
          </w:tcPr>
          <w:p w14:paraId="420DCA4B" w14:textId="77777777" w:rsidR="006B1681" w:rsidRPr="00332DF6" w:rsidRDefault="006B1681" w:rsidP="00152088">
            <w:pPr>
              <w:pStyle w:val="TableTextEntries"/>
              <w:jc w:val="center"/>
            </w:pPr>
            <w:r w:rsidRPr="00332DF6">
              <w:t>Exempt</w:t>
            </w:r>
          </w:p>
        </w:tc>
        <w:tc>
          <w:tcPr>
            <w:tcW w:w="894" w:type="dxa"/>
            <w:noWrap/>
            <w:hideMark/>
          </w:tcPr>
          <w:p w14:paraId="420DCA4C" w14:textId="77777777" w:rsidR="006B1681" w:rsidRPr="00332DF6" w:rsidRDefault="006B1681" w:rsidP="00152088">
            <w:pPr>
              <w:pStyle w:val="TableTextEntries"/>
              <w:jc w:val="center"/>
            </w:pPr>
            <w:r w:rsidRPr="00332DF6">
              <w:t>Exempt</w:t>
            </w:r>
          </w:p>
        </w:tc>
        <w:tc>
          <w:tcPr>
            <w:tcW w:w="894" w:type="dxa"/>
            <w:noWrap/>
            <w:hideMark/>
          </w:tcPr>
          <w:p w14:paraId="420DCA4D" w14:textId="77777777" w:rsidR="006B1681" w:rsidRPr="00332DF6" w:rsidRDefault="006B1681" w:rsidP="00152088">
            <w:pPr>
              <w:pStyle w:val="TableTextEntries"/>
              <w:jc w:val="center"/>
            </w:pPr>
            <w:r w:rsidRPr="00332DF6">
              <w:t>Exempt</w:t>
            </w:r>
          </w:p>
        </w:tc>
        <w:tc>
          <w:tcPr>
            <w:tcW w:w="894" w:type="dxa"/>
            <w:noWrap/>
            <w:hideMark/>
          </w:tcPr>
          <w:p w14:paraId="420DCA4E" w14:textId="77777777" w:rsidR="006B1681" w:rsidRPr="00332DF6" w:rsidRDefault="006B1681" w:rsidP="00152088">
            <w:pPr>
              <w:pStyle w:val="TableTextEntries"/>
              <w:jc w:val="center"/>
            </w:pPr>
            <w:r w:rsidRPr="00332DF6">
              <w:t>Exempt</w:t>
            </w:r>
          </w:p>
        </w:tc>
        <w:tc>
          <w:tcPr>
            <w:tcW w:w="894" w:type="dxa"/>
            <w:noWrap/>
            <w:hideMark/>
          </w:tcPr>
          <w:p w14:paraId="420DCA4F" w14:textId="77777777" w:rsidR="006B1681" w:rsidRPr="00332DF6" w:rsidRDefault="006B1681" w:rsidP="00152088">
            <w:pPr>
              <w:pStyle w:val="TableTextEntries"/>
              <w:jc w:val="center"/>
            </w:pPr>
            <w:r w:rsidRPr="00332DF6">
              <w:t>Exempt</w:t>
            </w:r>
          </w:p>
        </w:tc>
        <w:tc>
          <w:tcPr>
            <w:tcW w:w="894" w:type="dxa"/>
            <w:noWrap/>
            <w:hideMark/>
          </w:tcPr>
          <w:p w14:paraId="420DCA50" w14:textId="77777777" w:rsidR="006B1681" w:rsidRPr="00332DF6" w:rsidRDefault="006B1681" w:rsidP="00152088">
            <w:pPr>
              <w:pStyle w:val="TableTextEntries"/>
              <w:jc w:val="center"/>
            </w:pPr>
            <w:r w:rsidRPr="00332DF6">
              <w:t>Exempt</w:t>
            </w:r>
          </w:p>
        </w:tc>
      </w:tr>
      <w:tr w:rsidR="006B1681" w:rsidRPr="00250BC3" w14:paraId="420DCA5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52" w14:textId="77777777" w:rsidR="006B1681" w:rsidRPr="00332DF6" w:rsidRDefault="006B1681" w:rsidP="00332DF6">
            <w:pPr>
              <w:pStyle w:val="TableTextEntries"/>
            </w:pPr>
          </w:p>
        </w:tc>
        <w:tc>
          <w:tcPr>
            <w:tcW w:w="887" w:type="dxa"/>
            <w:vMerge/>
            <w:hideMark/>
          </w:tcPr>
          <w:p w14:paraId="420DCA53" w14:textId="77777777" w:rsidR="006B1681" w:rsidRPr="00332DF6" w:rsidRDefault="006B1681" w:rsidP="00332DF6">
            <w:pPr>
              <w:pStyle w:val="TableTextEntries"/>
            </w:pPr>
          </w:p>
        </w:tc>
        <w:tc>
          <w:tcPr>
            <w:tcW w:w="1840" w:type="dxa"/>
            <w:vMerge/>
            <w:hideMark/>
          </w:tcPr>
          <w:p w14:paraId="420DCA54" w14:textId="77777777" w:rsidR="006B1681" w:rsidRPr="00332DF6" w:rsidRDefault="006B1681" w:rsidP="00332DF6">
            <w:pPr>
              <w:pStyle w:val="TableTextEntries"/>
            </w:pPr>
          </w:p>
        </w:tc>
        <w:tc>
          <w:tcPr>
            <w:tcW w:w="1128" w:type="dxa"/>
            <w:vMerge/>
            <w:hideMark/>
          </w:tcPr>
          <w:p w14:paraId="420DCA55" w14:textId="77777777" w:rsidR="006B1681" w:rsidRPr="00332DF6" w:rsidRDefault="006B1681" w:rsidP="00332DF6">
            <w:pPr>
              <w:pStyle w:val="TableTextEntries"/>
            </w:pPr>
          </w:p>
        </w:tc>
        <w:tc>
          <w:tcPr>
            <w:tcW w:w="920" w:type="dxa"/>
            <w:noWrap/>
            <w:hideMark/>
          </w:tcPr>
          <w:p w14:paraId="420DCA56" w14:textId="77777777" w:rsidR="006B1681" w:rsidRPr="00332DF6" w:rsidRDefault="006B1681" w:rsidP="00332DF6">
            <w:pPr>
              <w:pStyle w:val="TableTextEntries"/>
            </w:pPr>
            <w:r w:rsidRPr="00332DF6">
              <w:t>2012</w:t>
            </w:r>
          </w:p>
        </w:tc>
        <w:tc>
          <w:tcPr>
            <w:tcW w:w="894" w:type="dxa"/>
            <w:shd w:val="clear" w:color="auto" w:fill="92D050"/>
            <w:noWrap/>
            <w:hideMark/>
          </w:tcPr>
          <w:p w14:paraId="420DCA5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A5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5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5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5B"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5C" w14:textId="77777777" w:rsidR="006B1681" w:rsidRPr="00332DF6" w:rsidRDefault="006B1681" w:rsidP="00152088">
            <w:pPr>
              <w:pStyle w:val="TableTextEntries"/>
              <w:jc w:val="center"/>
            </w:pPr>
            <w:r w:rsidRPr="00332DF6">
              <w:t>4</w:t>
            </w:r>
          </w:p>
        </w:tc>
      </w:tr>
      <w:tr w:rsidR="006B1681" w:rsidRPr="00250BC3" w14:paraId="420DCA69" w14:textId="77777777" w:rsidTr="00332DF6">
        <w:trPr>
          <w:tblHeader w:val="0"/>
        </w:trPr>
        <w:tc>
          <w:tcPr>
            <w:tcW w:w="2785" w:type="dxa"/>
            <w:vMerge w:val="restart"/>
            <w:hideMark/>
          </w:tcPr>
          <w:p w14:paraId="420DCA5E" w14:textId="0E46C72D" w:rsidR="006B1681" w:rsidRPr="00332DF6" w:rsidRDefault="00283947" w:rsidP="00332DF6">
            <w:pPr>
              <w:pStyle w:val="TableTextEntries"/>
            </w:pPr>
            <w:r w:rsidRPr="00332DF6">
              <w:t>Pacific Australia Climate Change Science and Adapt</w:t>
            </w:r>
            <w:r w:rsidR="002A1BC5">
              <w:t>at</w:t>
            </w:r>
            <w:r w:rsidRPr="00332DF6">
              <w:t>ion Planning Program</w:t>
            </w:r>
          </w:p>
        </w:tc>
        <w:tc>
          <w:tcPr>
            <w:tcW w:w="887" w:type="dxa"/>
            <w:vMerge w:val="restart"/>
            <w:noWrap/>
            <w:hideMark/>
          </w:tcPr>
          <w:p w14:paraId="420DCA5F" w14:textId="77777777" w:rsidR="006B1681" w:rsidRPr="00332DF6" w:rsidRDefault="006B1681" w:rsidP="00332DF6">
            <w:pPr>
              <w:pStyle w:val="TableTextEntries"/>
            </w:pPr>
            <w:r w:rsidRPr="00332DF6">
              <w:t>INK303</w:t>
            </w:r>
          </w:p>
        </w:tc>
        <w:tc>
          <w:tcPr>
            <w:tcW w:w="1840" w:type="dxa"/>
            <w:vMerge w:val="restart"/>
            <w:hideMark/>
          </w:tcPr>
          <w:p w14:paraId="420DCA60" w14:textId="77777777" w:rsidR="006B1681" w:rsidRPr="00332DF6" w:rsidRDefault="006B1681" w:rsidP="00332DF6">
            <w:pPr>
              <w:pStyle w:val="TableTextEntries"/>
            </w:pPr>
            <w:r w:rsidRPr="00332DF6">
              <w:t>$32,000,000.00</w:t>
            </w:r>
          </w:p>
        </w:tc>
        <w:tc>
          <w:tcPr>
            <w:tcW w:w="1128" w:type="dxa"/>
            <w:vMerge w:val="restart"/>
            <w:noWrap/>
            <w:hideMark/>
          </w:tcPr>
          <w:p w14:paraId="420DCA61" w14:textId="77777777" w:rsidR="006B1681" w:rsidRPr="00332DF6" w:rsidRDefault="006B1681" w:rsidP="00332DF6">
            <w:pPr>
              <w:pStyle w:val="TableTextEntries"/>
            </w:pPr>
            <w:r w:rsidRPr="00332DF6">
              <w:t>2011</w:t>
            </w:r>
            <w:r w:rsidR="00464D90" w:rsidRPr="00332DF6">
              <w:t>–</w:t>
            </w:r>
            <w:r w:rsidRPr="00332DF6">
              <w:t>13</w:t>
            </w:r>
          </w:p>
        </w:tc>
        <w:tc>
          <w:tcPr>
            <w:tcW w:w="920" w:type="dxa"/>
            <w:noWrap/>
            <w:hideMark/>
          </w:tcPr>
          <w:p w14:paraId="420DCA62" w14:textId="77777777" w:rsidR="006B1681" w:rsidRPr="00332DF6" w:rsidRDefault="006B1681" w:rsidP="00332DF6">
            <w:pPr>
              <w:pStyle w:val="TableTextEntries"/>
            </w:pPr>
            <w:r w:rsidRPr="00332DF6">
              <w:t>2011</w:t>
            </w:r>
          </w:p>
        </w:tc>
        <w:tc>
          <w:tcPr>
            <w:tcW w:w="894" w:type="dxa"/>
            <w:noWrap/>
            <w:hideMark/>
          </w:tcPr>
          <w:p w14:paraId="420DCA63" w14:textId="77777777" w:rsidR="006B1681" w:rsidRPr="00332DF6" w:rsidRDefault="006B1681" w:rsidP="00152088">
            <w:pPr>
              <w:pStyle w:val="TableTextEntries"/>
              <w:jc w:val="center"/>
            </w:pPr>
            <w:r w:rsidRPr="00332DF6">
              <w:t>N/A</w:t>
            </w:r>
          </w:p>
        </w:tc>
        <w:tc>
          <w:tcPr>
            <w:tcW w:w="894" w:type="dxa"/>
            <w:noWrap/>
            <w:hideMark/>
          </w:tcPr>
          <w:p w14:paraId="420DCA64" w14:textId="77777777" w:rsidR="006B1681" w:rsidRPr="00332DF6" w:rsidRDefault="006B1681" w:rsidP="00152088">
            <w:pPr>
              <w:pStyle w:val="TableTextEntries"/>
              <w:jc w:val="center"/>
            </w:pPr>
            <w:r w:rsidRPr="00332DF6">
              <w:t>N/A</w:t>
            </w:r>
          </w:p>
        </w:tc>
        <w:tc>
          <w:tcPr>
            <w:tcW w:w="894" w:type="dxa"/>
            <w:noWrap/>
            <w:hideMark/>
          </w:tcPr>
          <w:p w14:paraId="420DCA65" w14:textId="77777777" w:rsidR="006B1681" w:rsidRPr="00332DF6" w:rsidRDefault="006B1681" w:rsidP="00152088">
            <w:pPr>
              <w:pStyle w:val="TableTextEntries"/>
              <w:jc w:val="center"/>
            </w:pPr>
            <w:r w:rsidRPr="00332DF6">
              <w:t>N/A</w:t>
            </w:r>
          </w:p>
        </w:tc>
        <w:tc>
          <w:tcPr>
            <w:tcW w:w="894" w:type="dxa"/>
            <w:noWrap/>
            <w:hideMark/>
          </w:tcPr>
          <w:p w14:paraId="420DCA66" w14:textId="77777777" w:rsidR="006B1681" w:rsidRPr="00332DF6" w:rsidRDefault="006B1681" w:rsidP="00152088">
            <w:pPr>
              <w:pStyle w:val="TableTextEntries"/>
              <w:jc w:val="center"/>
            </w:pPr>
            <w:r w:rsidRPr="00332DF6">
              <w:t>N/A</w:t>
            </w:r>
          </w:p>
        </w:tc>
        <w:tc>
          <w:tcPr>
            <w:tcW w:w="894" w:type="dxa"/>
            <w:noWrap/>
            <w:hideMark/>
          </w:tcPr>
          <w:p w14:paraId="420DCA67" w14:textId="77777777" w:rsidR="006B1681" w:rsidRPr="00332DF6" w:rsidRDefault="006B1681" w:rsidP="00152088">
            <w:pPr>
              <w:pStyle w:val="TableTextEntries"/>
              <w:jc w:val="center"/>
            </w:pPr>
            <w:r w:rsidRPr="00332DF6">
              <w:t>N/A</w:t>
            </w:r>
          </w:p>
        </w:tc>
        <w:tc>
          <w:tcPr>
            <w:tcW w:w="894" w:type="dxa"/>
            <w:noWrap/>
            <w:hideMark/>
          </w:tcPr>
          <w:p w14:paraId="420DCA68" w14:textId="77777777" w:rsidR="006B1681" w:rsidRPr="00332DF6" w:rsidRDefault="006B1681" w:rsidP="00152088">
            <w:pPr>
              <w:pStyle w:val="TableTextEntries"/>
              <w:jc w:val="center"/>
            </w:pPr>
            <w:r w:rsidRPr="00332DF6">
              <w:t>N/A</w:t>
            </w:r>
          </w:p>
        </w:tc>
      </w:tr>
      <w:tr w:rsidR="006B1681" w:rsidRPr="00250BC3" w14:paraId="420DCA7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6A" w14:textId="77777777" w:rsidR="006B1681" w:rsidRPr="00332DF6" w:rsidRDefault="006B1681" w:rsidP="00332DF6">
            <w:pPr>
              <w:pStyle w:val="TableTextEntries"/>
            </w:pPr>
          </w:p>
        </w:tc>
        <w:tc>
          <w:tcPr>
            <w:tcW w:w="887" w:type="dxa"/>
            <w:vMerge/>
            <w:hideMark/>
          </w:tcPr>
          <w:p w14:paraId="420DCA6B" w14:textId="77777777" w:rsidR="006B1681" w:rsidRPr="00332DF6" w:rsidRDefault="006B1681" w:rsidP="00332DF6">
            <w:pPr>
              <w:pStyle w:val="TableTextEntries"/>
            </w:pPr>
          </w:p>
        </w:tc>
        <w:tc>
          <w:tcPr>
            <w:tcW w:w="1840" w:type="dxa"/>
            <w:vMerge/>
            <w:hideMark/>
          </w:tcPr>
          <w:p w14:paraId="420DCA6C" w14:textId="77777777" w:rsidR="006B1681" w:rsidRPr="00332DF6" w:rsidRDefault="006B1681" w:rsidP="00332DF6">
            <w:pPr>
              <w:pStyle w:val="TableTextEntries"/>
            </w:pPr>
          </w:p>
        </w:tc>
        <w:tc>
          <w:tcPr>
            <w:tcW w:w="1128" w:type="dxa"/>
            <w:vMerge/>
            <w:hideMark/>
          </w:tcPr>
          <w:p w14:paraId="420DCA6D" w14:textId="77777777" w:rsidR="006B1681" w:rsidRPr="00332DF6" w:rsidRDefault="006B1681" w:rsidP="00332DF6">
            <w:pPr>
              <w:pStyle w:val="TableTextEntries"/>
            </w:pPr>
          </w:p>
        </w:tc>
        <w:tc>
          <w:tcPr>
            <w:tcW w:w="920" w:type="dxa"/>
            <w:noWrap/>
            <w:hideMark/>
          </w:tcPr>
          <w:p w14:paraId="420DCA6E" w14:textId="77777777" w:rsidR="006B1681" w:rsidRPr="00332DF6" w:rsidRDefault="006B1681" w:rsidP="00332DF6">
            <w:pPr>
              <w:pStyle w:val="TableTextEntries"/>
            </w:pPr>
            <w:r w:rsidRPr="00332DF6">
              <w:t>2012</w:t>
            </w:r>
          </w:p>
        </w:tc>
        <w:tc>
          <w:tcPr>
            <w:tcW w:w="894" w:type="dxa"/>
            <w:shd w:val="clear" w:color="auto" w:fill="92D050"/>
            <w:noWrap/>
            <w:hideMark/>
          </w:tcPr>
          <w:p w14:paraId="420DCA6F"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A70"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71"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A72"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A73"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A74" w14:textId="77777777" w:rsidR="006B1681" w:rsidRPr="00332DF6" w:rsidRDefault="006B1681" w:rsidP="00152088">
            <w:pPr>
              <w:pStyle w:val="TableTextEntries"/>
              <w:jc w:val="center"/>
            </w:pPr>
            <w:r w:rsidRPr="00332DF6">
              <w:t>3</w:t>
            </w:r>
          </w:p>
        </w:tc>
      </w:tr>
      <w:tr w:rsidR="006B1681" w:rsidRPr="00250BC3" w14:paraId="420DCA81" w14:textId="77777777" w:rsidTr="00332DF6">
        <w:trPr>
          <w:tblHeader w:val="0"/>
        </w:trPr>
        <w:tc>
          <w:tcPr>
            <w:tcW w:w="2785" w:type="dxa"/>
            <w:vMerge w:val="restart"/>
            <w:hideMark/>
          </w:tcPr>
          <w:p w14:paraId="420DCA76" w14:textId="77777777" w:rsidR="006B1681" w:rsidRPr="00332DF6" w:rsidRDefault="006B1681" w:rsidP="00332DF6">
            <w:pPr>
              <w:pStyle w:val="TableTextEntries"/>
            </w:pPr>
            <w:r w:rsidRPr="00332DF6">
              <w:t>ADB’s Enhancing Engagement with Pacific</w:t>
            </w:r>
            <w:r w:rsidR="00464D90" w:rsidRPr="00332DF6">
              <w:t>—</w:t>
            </w:r>
            <w:r w:rsidRPr="00332DF6">
              <w:t>Phase 2</w:t>
            </w:r>
          </w:p>
        </w:tc>
        <w:tc>
          <w:tcPr>
            <w:tcW w:w="887" w:type="dxa"/>
            <w:vMerge w:val="restart"/>
            <w:noWrap/>
            <w:hideMark/>
          </w:tcPr>
          <w:p w14:paraId="420DCA77" w14:textId="77777777" w:rsidR="006B1681" w:rsidRPr="00332DF6" w:rsidRDefault="006B1681" w:rsidP="00332DF6">
            <w:pPr>
              <w:pStyle w:val="TableTextEntries"/>
            </w:pPr>
            <w:r w:rsidRPr="00332DF6">
              <w:t>INK522</w:t>
            </w:r>
          </w:p>
        </w:tc>
        <w:tc>
          <w:tcPr>
            <w:tcW w:w="1840" w:type="dxa"/>
            <w:vMerge w:val="restart"/>
            <w:hideMark/>
          </w:tcPr>
          <w:p w14:paraId="420DCA78" w14:textId="77777777" w:rsidR="006B1681" w:rsidRPr="00332DF6" w:rsidRDefault="006B1681" w:rsidP="00332DF6">
            <w:pPr>
              <w:pStyle w:val="TableTextEntries"/>
            </w:pPr>
            <w:r w:rsidRPr="00332DF6">
              <w:t>$3,286,000.00</w:t>
            </w:r>
          </w:p>
        </w:tc>
        <w:tc>
          <w:tcPr>
            <w:tcW w:w="1128" w:type="dxa"/>
            <w:vMerge w:val="restart"/>
            <w:noWrap/>
            <w:hideMark/>
          </w:tcPr>
          <w:p w14:paraId="420DCA79" w14:textId="77777777" w:rsidR="006B1681" w:rsidRPr="00332DF6" w:rsidRDefault="006B1681" w:rsidP="00332DF6">
            <w:pPr>
              <w:pStyle w:val="TableTextEntries"/>
            </w:pPr>
            <w:r w:rsidRPr="00332DF6">
              <w:t>2012</w:t>
            </w:r>
            <w:r w:rsidR="00464D90" w:rsidRPr="00332DF6">
              <w:t>–</w:t>
            </w:r>
            <w:r w:rsidRPr="00332DF6">
              <w:t>14</w:t>
            </w:r>
          </w:p>
        </w:tc>
        <w:tc>
          <w:tcPr>
            <w:tcW w:w="920" w:type="dxa"/>
            <w:noWrap/>
            <w:hideMark/>
          </w:tcPr>
          <w:p w14:paraId="420DCA7A" w14:textId="77777777" w:rsidR="006B1681" w:rsidRPr="00332DF6" w:rsidRDefault="006B1681" w:rsidP="00332DF6">
            <w:pPr>
              <w:pStyle w:val="TableTextEntries"/>
            </w:pPr>
            <w:r w:rsidRPr="00332DF6">
              <w:t>2011</w:t>
            </w:r>
          </w:p>
        </w:tc>
        <w:tc>
          <w:tcPr>
            <w:tcW w:w="894" w:type="dxa"/>
            <w:noWrap/>
            <w:hideMark/>
          </w:tcPr>
          <w:p w14:paraId="420DCA7B" w14:textId="77777777" w:rsidR="006B1681" w:rsidRPr="00332DF6" w:rsidRDefault="006B1681" w:rsidP="00152088">
            <w:pPr>
              <w:pStyle w:val="TableTextEntries"/>
              <w:jc w:val="center"/>
            </w:pPr>
            <w:r w:rsidRPr="00332DF6">
              <w:t>N/A</w:t>
            </w:r>
          </w:p>
        </w:tc>
        <w:tc>
          <w:tcPr>
            <w:tcW w:w="894" w:type="dxa"/>
            <w:noWrap/>
            <w:hideMark/>
          </w:tcPr>
          <w:p w14:paraId="420DCA7C" w14:textId="77777777" w:rsidR="006B1681" w:rsidRPr="00332DF6" w:rsidRDefault="006B1681" w:rsidP="00152088">
            <w:pPr>
              <w:pStyle w:val="TableTextEntries"/>
              <w:jc w:val="center"/>
            </w:pPr>
            <w:r w:rsidRPr="00332DF6">
              <w:t>N/A</w:t>
            </w:r>
          </w:p>
        </w:tc>
        <w:tc>
          <w:tcPr>
            <w:tcW w:w="894" w:type="dxa"/>
            <w:noWrap/>
            <w:hideMark/>
          </w:tcPr>
          <w:p w14:paraId="420DCA7D" w14:textId="77777777" w:rsidR="006B1681" w:rsidRPr="00332DF6" w:rsidRDefault="006B1681" w:rsidP="00152088">
            <w:pPr>
              <w:pStyle w:val="TableTextEntries"/>
              <w:jc w:val="center"/>
            </w:pPr>
            <w:r w:rsidRPr="00332DF6">
              <w:t>N/A</w:t>
            </w:r>
          </w:p>
        </w:tc>
        <w:tc>
          <w:tcPr>
            <w:tcW w:w="894" w:type="dxa"/>
            <w:noWrap/>
            <w:hideMark/>
          </w:tcPr>
          <w:p w14:paraId="420DCA7E" w14:textId="77777777" w:rsidR="006B1681" w:rsidRPr="00332DF6" w:rsidRDefault="006B1681" w:rsidP="00152088">
            <w:pPr>
              <w:pStyle w:val="TableTextEntries"/>
              <w:jc w:val="center"/>
            </w:pPr>
            <w:r w:rsidRPr="00332DF6">
              <w:t>N/A</w:t>
            </w:r>
          </w:p>
        </w:tc>
        <w:tc>
          <w:tcPr>
            <w:tcW w:w="894" w:type="dxa"/>
            <w:noWrap/>
            <w:hideMark/>
          </w:tcPr>
          <w:p w14:paraId="420DCA7F" w14:textId="77777777" w:rsidR="006B1681" w:rsidRPr="00332DF6" w:rsidRDefault="006B1681" w:rsidP="00152088">
            <w:pPr>
              <w:pStyle w:val="TableTextEntries"/>
              <w:jc w:val="center"/>
            </w:pPr>
            <w:r w:rsidRPr="00332DF6">
              <w:t>N/A</w:t>
            </w:r>
          </w:p>
        </w:tc>
        <w:tc>
          <w:tcPr>
            <w:tcW w:w="894" w:type="dxa"/>
            <w:noWrap/>
            <w:hideMark/>
          </w:tcPr>
          <w:p w14:paraId="420DCA80" w14:textId="77777777" w:rsidR="006B1681" w:rsidRPr="00332DF6" w:rsidRDefault="006B1681" w:rsidP="00152088">
            <w:pPr>
              <w:pStyle w:val="TableTextEntries"/>
              <w:jc w:val="center"/>
            </w:pPr>
            <w:r w:rsidRPr="00332DF6">
              <w:t>N/A</w:t>
            </w:r>
          </w:p>
        </w:tc>
      </w:tr>
      <w:tr w:rsidR="006B1681" w:rsidRPr="00250BC3" w14:paraId="420DCA8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82" w14:textId="77777777" w:rsidR="006B1681" w:rsidRPr="00332DF6" w:rsidRDefault="006B1681" w:rsidP="00332DF6">
            <w:pPr>
              <w:pStyle w:val="TableTextEntries"/>
            </w:pPr>
          </w:p>
        </w:tc>
        <w:tc>
          <w:tcPr>
            <w:tcW w:w="887" w:type="dxa"/>
            <w:vMerge/>
            <w:hideMark/>
          </w:tcPr>
          <w:p w14:paraId="420DCA83" w14:textId="77777777" w:rsidR="006B1681" w:rsidRPr="00332DF6" w:rsidRDefault="006B1681" w:rsidP="00332DF6">
            <w:pPr>
              <w:pStyle w:val="TableTextEntries"/>
            </w:pPr>
          </w:p>
        </w:tc>
        <w:tc>
          <w:tcPr>
            <w:tcW w:w="1840" w:type="dxa"/>
            <w:vMerge/>
            <w:hideMark/>
          </w:tcPr>
          <w:p w14:paraId="420DCA84" w14:textId="77777777" w:rsidR="006B1681" w:rsidRPr="00332DF6" w:rsidRDefault="006B1681" w:rsidP="00332DF6">
            <w:pPr>
              <w:pStyle w:val="TableTextEntries"/>
            </w:pPr>
          </w:p>
        </w:tc>
        <w:tc>
          <w:tcPr>
            <w:tcW w:w="1128" w:type="dxa"/>
            <w:vMerge/>
            <w:hideMark/>
          </w:tcPr>
          <w:p w14:paraId="420DCA85" w14:textId="77777777" w:rsidR="006B1681" w:rsidRPr="00332DF6" w:rsidRDefault="006B1681" w:rsidP="00332DF6">
            <w:pPr>
              <w:pStyle w:val="TableTextEntries"/>
            </w:pPr>
          </w:p>
        </w:tc>
        <w:tc>
          <w:tcPr>
            <w:tcW w:w="920" w:type="dxa"/>
            <w:noWrap/>
            <w:hideMark/>
          </w:tcPr>
          <w:p w14:paraId="420DCA86" w14:textId="77777777" w:rsidR="006B1681" w:rsidRPr="00332DF6" w:rsidRDefault="006B1681" w:rsidP="00332DF6">
            <w:pPr>
              <w:pStyle w:val="TableTextEntries"/>
            </w:pPr>
            <w:r w:rsidRPr="00332DF6">
              <w:t>2012</w:t>
            </w:r>
          </w:p>
        </w:tc>
        <w:tc>
          <w:tcPr>
            <w:tcW w:w="894" w:type="dxa"/>
            <w:noWrap/>
            <w:hideMark/>
          </w:tcPr>
          <w:p w14:paraId="420DCA87" w14:textId="77777777" w:rsidR="006B1681" w:rsidRPr="00332DF6" w:rsidRDefault="006B1681" w:rsidP="00152088">
            <w:pPr>
              <w:pStyle w:val="TableTextEntries"/>
              <w:jc w:val="center"/>
            </w:pPr>
            <w:r w:rsidRPr="00332DF6">
              <w:t>Exempt</w:t>
            </w:r>
          </w:p>
        </w:tc>
        <w:tc>
          <w:tcPr>
            <w:tcW w:w="894" w:type="dxa"/>
            <w:noWrap/>
            <w:hideMark/>
          </w:tcPr>
          <w:p w14:paraId="420DCA88" w14:textId="77777777" w:rsidR="006B1681" w:rsidRPr="00332DF6" w:rsidRDefault="006B1681" w:rsidP="00152088">
            <w:pPr>
              <w:pStyle w:val="TableTextEntries"/>
              <w:jc w:val="center"/>
            </w:pPr>
            <w:r w:rsidRPr="00332DF6">
              <w:t>Exempt</w:t>
            </w:r>
          </w:p>
        </w:tc>
        <w:tc>
          <w:tcPr>
            <w:tcW w:w="894" w:type="dxa"/>
            <w:noWrap/>
            <w:hideMark/>
          </w:tcPr>
          <w:p w14:paraId="420DCA89" w14:textId="77777777" w:rsidR="006B1681" w:rsidRPr="00332DF6" w:rsidRDefault="006B1681" w:rsidP="00152088">
            <w:pPr>
              <w:pStyle w:val="TableTextEntries"/>
              <w:jc w:val="center"/>
            </w:pPr>
            <w:r w:rsidRPr="00332DF6">
              <w:t>Exempt</w:t>
            </w:r>
          </w:p>
        </w:tc>
        <w:tc>
          <w:tcPr>
            <w:tcW w:w="894" w:type="dxa"/>
            <w:noWrap/>
            <w:hideMark/>
          </w:tcPr>
          <w:p w14:paraId="420DCA8A" w14:textId="77777777" w:rsidR="006B1681" w:rsidRPr="00332DF6" w:rsidRDefault="006B1681" w:rsidP="00152088">
            <w:pPr>
              <w:pStyle w:val="TableTextEntries"/>
              <w:jc w:val="center"/>
            </w:pPr>
            <w:r w:rsidRPr="00332DF6">
              <w:t>Exempt</w:t>
            </w:r>
          </w:p>
        </w:tc>
        <w:tc>
          <w:tcPr>
            <w:tcW w:w="894" w:type="dxa"/>
            <w:noWrap/>
            <w:hideMark/>
          </w:tcPr>
          <w:p w14:paraId="420DCA8B" w14:textId="77777777" w:rsidR="006B1681" w:rsidRPr="00332DF6" w:rsidRDefault="006B1681" w:rsidP="00152088">
            <w:pPr>
              <w:pStyle w:val="TableTextEntries"/>
              <w:jc w:val="center"/>
            </w:pPr>
            <w:r w:rsidRPr="00332DF6">
              <w:t>Exempt</w:t>
            </w:r>
          </w:p>
        </w:tc>
        <w:tc>
          <w:tcPr>
            <w:tcW w:w="894" w:type="dxa"/>
            <w:noWrap/>
            <w:hideMark/>
          </w:tcPr>
          <w:p w14:paraId="420DCA8C" w14:textId="77777777" w:rsidR="006B1681" w:rsidRPr="00332DF6" w:rsidRDefault="006B1681" w:rsidP="00152088">
            <w:pPr>
              <w:pStyle w:val="TableTextEntries"/>
              <w:jc w:val="center"/>
            </w:pPr>
            <w:r w:rsidRPr="00332DF6">
              <w:t>Exempt</w:t>
            </w:r>
          </w:p>
        </w:tc>
      </w:tr>
      <w:tr w:rsidR="006B1681" w:rsidRPr="00250BC3" w14:paraId="420DCA99" w14:textId="77777777" w:rsidTr="00A84A34">
        <w:trPr>
          <w:tblHeader w:val="0"/>
        </w:trPr>
        <w:tc>
          <w:tcPr>
            <w:tcW w:w="2785" w:type="dxa"/>
            <w:vMerge w:val="restart"/>
            <w:hideMark/>
          </w:tcPr>
          <w:p w14:paraId="420DCA8E" w14:textId="77777777" w:rsidR="006B1681" w:rsidRPr="00332DF6" w:rsidRDefault="006B1681" w:rsidP="00332DF6">
            <w:pPr>
              <w:pStyle w:val="TableTextEntries"/>
            </w:pPr>
            <w:r w:rsidRPr="00332DF6">
              <w:t>Australian Sports Outreach Program</w:t>
            </w:r>
          </w:p>
        </w:tc>
        <w:tc>
          <w:tcPr>
            <w:tcW w:w="887" w:type="dxa"/>
            <w:vMerge w:val="restart"/>
            <w:noWrap/>
            <w:hideMark/>
          </w:tcPr>
          <w:p w14:paraId="420DCA8F" w14:textId="77777777" w:rsidR="006B1681" w:rsidRPr="00332DF6" w:rsidRDefault="006B1681" w:rsidP="00332DF6">
            <w:pPr>
              <w:pStyle w:val="TableTextEntries"/>
            </w:pPr>
            <w:r w:rsidRPr="00332DF6">
              <w:t>ING858</w:t>
            </w:r>
          </w:p>
        </w:tc>
        <w:tc>
          <w:tcPr>
            <w:tcW w:w="1840" w:type="dxa"/>
            <w:vMerge w:val="restart"/>
            <w:hideMark/>
          </w:tcPr>
          <w:p w14:paraId="420DCA90" w14:textId="77777777" w:rsidR="006B1681" w:rsidRPr="00332DF6" w:rsidRDefault="006B1681" w:rsidP="00332DF6">
            <w:pPr>
              <w:pStyle w:val="TableTextEntries"/>
            </w:pPr>
            <w:r w:rsidRPr="00332DF6">
              <w:t>$31,717,800.00</w:t>
            </w:r>
          </w:p>
        </w:tc>
        <w:tc>
          <w:tcPr>
            <w:tcW w:w="1128" w:type="dxa"/>
            <w:vMerge w:val="restart"/>
            <w:noWrap/>
            <w:hideMark/>
          </w:tcPr>
          <w:p w14:paraId="420DCA91" w14:textId="77777777" w:rsidR="006B1681" w:rsidRPr="00332DF6" w:rsidRDefault="006B1681" w:rsidP="00332DF6">
            <w:pPr>
              <w:pStyle w:val="TableTextEntries"/>
            </w:pPr>
            <w:r w:rsidRPr="00332DF6">
              <w:t>2006</w:t>
            </w:r>
            <w:r w:rsidR="00464D90" w:rsidRPr="00332DF6">
              <w:t>–</w:t>
            </w:r>
            <w:r w:rsidRPr="00332DF6">
              <w:t>14</w:t>
            </w:r>
          </w:p>
        </w:tc>
        <w:tc>
          <w:tcPr>
            <w:tcW w:w="920" w:type="dxa"/>
            <w:noWrap/>
            <w:hideMark/>
          </w:tcPr>
          <w:p w14:paraId="420DCA9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A9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A9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9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9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9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98" w14:textId="77777777" w:rsidR="006B1681" w:rsidRPr="00332DF6" w:rsidRDefault="006B1681" w:rsidP="00152088">
            <w:pPr>
              <w:pStyle w:val="TableTextEntries"/>
              <w:jc w:val="center"/>
            </w:pPr>
            <w:r w:rsidRPr="00332DF6">
              <w:t>4</w:t>
            </w:r>
          </w:p>
        </w:tc>
      </w:tr>
      <w:tr w:rsidR="006B1681" w:rsidRPr="00250BC3" w14:paraId="420DCAA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9A" w14:textId="77777777" w:rsidR="006B1681" w:rsidRPr="00332DF6" w:rsidRDefault="006B1681" w:rsidP="00332DF6">
            <w:pPr>
              <w:pStyle w:val="TableTextEntries"/>
            </w:pPr>
          </w:p>
        </w:tc>
        <w:tc>
          <w:tcPr>
            <w:tcW w:w="887" w:type="dxa"/>
            <w:vMerge/>
            <w:hideMark/>
          </w:tcPr>
          <w:p w14:paraId="420DCA9B" w14:textId="77777777" w:rsidR="006B1681" w:rsidRPr="00332DF6" w:rsidRDefault="006B1681" w:rsidP="00332DF6">
            <w:pPr>
              <w:pStyle w:val="TableTextEntries"/>
            </w:pPr>
          </w:p>
        </w:tc>
        <w:tc>
          <w:tcPr>
            <w:tcW w:w="1840" w:type="dxa"/>
            <w:vMerge/>
            <w:hideMark/>
          </w:tcPr>
          <w:p w14:paraId="420DCA9C" w14:textId="77777777" w:rsidR="006B1681" w:rsidRPr="00332DF6" w:rsidRDefault="006B1681" w:rsidP="00332DF6">
            <w:pPr>
              <w:pStyle w:val="TableTextEntries"/>
            </w:pPr>
          </w:p>
        </w:tc>
        <w:tc>
          <w:tcPr>
            <w:tcW w:w="1128" w:type="dxa"/>
            <w:vMerge/>
            <w:hideMark/>
          </w:tcPr>
          <w:p w14:paraId="420DCA9D" w14:textId="77777777" w:rsidR="006B1681" w:rsidRPr="00332DF6" w:rsidRDefault="006B1681" w:rsidP="00332DF6">
            <w:pPr>
              <w:pStyle w:val="TableTextEntries"/>
            </w:pPr>
          </w:p>
        </w:tc>
        <w:tc>
          <w:tcPr>
            <w:tcW w:w="920" w:type="dxa"/>
            <w:noWrap/>
            <w:hideMark/>
          </w:tcPr>
          <w:p w14:paraId="420DCA9E" w14:textId="77777777" w:rsidR="006B1681" w:rsidRPr="00332DF6" w:rsidRDefault="006B1681" w:rsidP="00332DF6">
            <w:pPr>
              <w:pStyle w:val="TableTextEntries"/>
            </w:pPr>
            <w:r w:rsidRPr="00332DF6">
              <w:t>2012</w:t>
            </w:r>
          </w:p>
        </w:tc>
        <w:tc>
          <w:tcPr>
            <w:tcW w:w="894" w:type="dxa"/>
            <w:shd w:val="clear" w:color="auto" w:fill="92D050"/>
            <w:noWrap/>
            <w:hideMark/>
          </w:tcPr>
          <w:p w14:paraId="420DCA9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AA0"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AA1"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AA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A3"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AA4" w14:textId="77777777" w:rsidR="006B1681" w:rsidRPr="00332DF6" w:rsidRDefault="006B1681" w:rsidP="00152088">
            <w:pPr>
              <w:pStyle w:val="TableTextEntries"/>
              <w:jc w:val="center"/>
            </w:pPr>
            <w:r w:rsidRPr="00332DF6">
              <w:t>5</w:t>
            </w:r>
          </w:p>
        </w:tc>
      </w:tr>
      <w:tr w:rsidR="006B1681" w:rsidRPr="00250BC3" w14:paraId="420DCAB1" w14:textId="77777777" w:rsidTr="00A84A34">
        <w:trPr>
          <w:tblHeader w:val="0"/>
        </w:trPr>
        <w:tc>
          <w:tcPr>
            <w:tcW w:w="2785" w:type="dxa"/>
            <w:vMerge w:val="restart"/>
            <w:hideMark/>
          </w:tcPr>
          <w:p w14:paraId="420DCAA6" w14:textId="77777777" w:rsidR="006B1681" w:rsidRPr="00332DF6" w:rsidRDefault="006B1681" w:rsidP="00332DF6">
            <w:pPr>
              <w:pStyle w:val="TableTextEntries"/>
            </w:pPr>
            <w:r w:rsidRPr="00332DF6">
              <w:t>Pacific Sports Partnerships</w:t>
            </w:r>
            <w:r w:rsidR="00283947" w:rsidRPr="00332DF6">
              <w:t xml:space="preserve"> </w:t>
            </w:r>
          </w:p>
        </w:tc>
        <w:tc>
          <w:tcPr>
            <w:tcW w:w="887" w:type="dxa"/>
            <w:vMerge w:val="restart"/>
            <w:noWrap/>
            <w:hideMark/>
          </w:tcPr>
          <w:p w14:paraId="420DCAA7" w14:textId="77777777" w:rsidR="006B1681" w:rsidRPr="00332DF6" w:rsidRDefault="006B1681" w:rsidP="00332DF6">
            <w:pPr>
              <w:pStyle w:val="TableTextEntries"/>
            </w:pPr>
            <w:r w:rsidRPr="00332DF6">
              <w:t>INK146</w:t>
            </w:r>
          </w:p>
        </w:tc>
        <w:tc>
          <w:tcPr>
            <w:tcW w:w="1840" w:type="dxa"/>
            <w:vMerge w:val="restart"/>
            <w:hideMark/>
          </w:tcPr>
          <w:p w14:paraId="420DCAA8" w14:textId="77777777" w:rsidR="006B1681" w:rsidRPr="00332DF6" w:rsidRDefault="006B1681" w:rsidP="00332DF6">
            <w:pPr>
              <w:pStyle w:val="TableTextEntries"/>
            </w:pPr>
            <w:r w:rsidRPr="00332DF6">
              <w:t>$8,437,500.00</w:t>
            </w:r>
          </w:p>
        </w:tc>
        <w:tc>
          <w:tcPr>
            <w:tcW w:w="1128" w:type="dxa"/>
            <w:vMerge w:val="restart"/>
            <w:noWrap/>
            <w:hideMark/>
          </w:tcPr>
          <w:p w14:paraId="420DCAA9" w14:textId="77777777" w:rsidR="006B1681" w:rsidRPr="00332DF6" w:rsidRDefault="006B1681" w:rsidP="00332DF6">
            <w:pPr>
              <w:pStyle w:val="TableTextEntries"/>
            </w:pPr>
            <w:r w:rsidRPr="00332DF6">
              <w:t>2011</w:t>
            </w:r>
            <w:r w:rsidR="00464D90" w:rsidRPr="00332DF6">
              <w:t>–</w:t>
            </w:r>
            <w:r w:rsidRPr="00332DF6">
              <w:t>14</w:t>
            </w:r>
          </w:p>
        </w:tc>
        <w:tc>
          <w:tcPr>
            <w:tcW w:w="920" w:type="dxa"/>
            <w:noWrap/>
            <w:hideMark/>
          </w:tcPr>
          <w:p w14:paraId="420DCAAA"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AAB"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A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A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AE"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AA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B0" w14:textId="77777777" w:rsidR="006B1681" w:rsidRPr="00332DF6" w:rsidRDefault="006B1681" w:rsidP="00152088">
            <w:pPr>
              <w:pStyle w:val="TableTextEntries"/>
              <w:jc w:val="center"/>
            </w:pPr>
            <w:r w:rsidRPr="00332DF6">
              <w:t>4</w:t>
            </w:r>
          </w:p>
        </w:tc>
      </w:tr>
      <w:tr w:rsidR="006B1681" w:rsidRPr="00250BC3" w14:paraId="420DCAB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B2" w14:textId="77777777" w:rsidR="006B1681" w:rsidRPr="00332DF6" w:rsidRDefault="006B1681" w:rsidP="00332DF6">
            <w:pPr>
              <w:pStyle w:val="TableTextEntries"/>
            </w:pPr>
          </w:p>
        </w:tc>
        <w:tc>
          <w:tcPr>
            <w:tcW w:w="887" w:type="dxa"/>
            <w:vMerge/>
            <w:hideMark/>
          </w:tcPr>
          <w:p w14:paraId="420DCAB3" w14:textId="77777777" w:rsidR="006B1681" w:rsidRPr="00332DF6" w:rsidRDefault="006B1681" w:rsidP="00332DF6">
            <w:pPr>
              <w:pStyle w:val="TableTextEntries"/>
            </w:pPr>
          </w:p>
        </w:tc>
        <w:tc>
          <w:tcPr>
            <w:tcW w:w="1840" w:type="dxa"/>
            <w:vMerge/>
            <w:hideMark/>
          </w:tcPr>
          <w:p w14:paraId="420DCAB4" w14:textId="77777777" w:rsidR="006B1681" w:rsidRPr="00332DF6" w:rsidRDefault="006B1681" w:rsidP="00332DF6">
            <w:pPr>
              <w:pStyle w:val="TableTextEntries"/>
            </w:pPr>
          </w:p>
        </w:tc>
        <w:tc>
          <w:tcPr>
            <w:tcW w:w="1128" w:type="dxa"/>
            <w:vMerge/>
            <w:hideMark/>
          </w:tcPr>
          <w:p w14:paraId="420DCAB5" w14:textId="77777777" w:rsidR="006B1681" w:rsidRPr="00332DF6" w:rsidRDefault="006B1681" w:rsidP="00332DF6">
            <w:pPr>
              <w:pStyle w:val="TableTextEntries"/>
            </w:pPr>
          </w:p>
        </w:tc>
        <w:tc>
          <w:tcPr>
            <w:tcW w:w="920" w:type="dxa"/>
            <w:noWrap/>
            <w:hideMark/>
          </w:tcPr>
          <w:p w14:paraId="420DCAB6" w14:textId="77777777" w:rsidR="006B1681" w:rsidRPr="00332DF6" w:rsidRDefault="006B1681" w:rsidP="00332DF6">
            <w:pPr>
              <w:pStyle w:val="TableTextEntries"/>
            </w:pPr>
            <w:r w:rsidRPr="00332DF6">
              <w:t>2012</w:t>
            </w:r>
          </w:p>
        </w:tc>
        <w:tc>
          <w:tcPr>
            <w:tcW w:w="894" w:type="dxa"/>
            <w:shd w:val="clear" w:color="auto" w:fill="92D050"/>
            <w:noWrap/>
            <w:hideMark/>
          </w:tcPr>
          <w:p w14:paraId="420DCAB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AB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B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B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ABB"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ABC" w14:textId="77777777" w:rsidR="006B1681" w:rsidRPr="00332DF6" w:rsidRDefault="006B1681" w:rsidP="00152088">
            <w:pPr>
              <w:pStyle w:val="TableTextEntries"/>
              <w:jc w:val="center"/>
            </w:pPr>
            <w:r w:rsidRPr="00332DF6">
              <w:t>5</w:t>
            </w:r>
          </w:p>
        </w:tc>
      </w:tr>
      <w:tr w:rsidR="006B1681" w:rsidRPr="00250BC3" w14:paraId="420DCAC9" w14:textId="77777777" w:rsidTr="00A84A34">
        <w:trPr>
          <w:tblHeader w:val="0"/>
        </w:trPr>
        <w:tc>
          <w:tcPr>
            <w:tcW w:w="2785" w:type="dxa"/>
            <w:vMerge w:val="restart"/>
            <w:hideMark/>
          </w:tcPr>
          <w:p w14:paraId="420DCABE" w14:textId="77777777" w:rsidR="006B1681" w:rsidRPr="00332DF6" w:rsidRDefault="006B1681" w:rsidP="00332DF6">
            <w:pPr>
              <w:pStyle w:val="TableTextEntries"/>
            </w:pPr>
            <w:r w:rsidRPr="00332DF6">
              <w:t>Forum Secretariat</w:t>
            </w:r>
            <w:r w:rsidR="00D12BCD" w:rsidRPr="00332DF6">
              <w:t>—</w:t>
            </w:r>
            <w:r w:rsidR="00283947" w:rsidRPr="00332DF6">
              <w:t>c</w:t>
            </w:r>
            <w:r w:rsidRPr="00332DF6">
              <w:t xml:space="preserve">ore </w:t>
            </w:r>
            <w:r w:rsidR="00283947" w:rsidRPr="00332DF6">
              <w:t>b</w:t>
            </w:r>
            <w:r w:rsidRPr="00332DF6">
              <w:t>udget</w:t>
            </w:r>
          </w:p>
        </w:tc>
        <w:tc>
          <w:tcPr>
            <w:tcW w:w="887" w:type="dxa"/>
            <w:vMerge w:val="restart"/>
            <w:noWrap/>
            <w:hideMark/>
          </w:tcPr>
          <w:p w14:paraId="420DCABF" w14:textId="77777777" w:rsidR="006B1681" w:rsidRPr="00332DF6" w:rsidRDefault="006B1681" w:rsidP="00332DF6">
            <w:pPr>
              <w:pStyle w:val="TableTextEntries"/>
            </w:pPr>
            <w:r w:rsidRPr="00332DF6">
              <w:t>INB946</w:t>
            </w:r>
          </w:p>
        </w:tc>
        <w:tc>
          <w:tcPr>
            <w:tcW w:w="1840" w:type="dxa"/>
            <w:vMerge w:val="restart"/>
            <w:hideMark/>
          </w:tcPr>
          <w:p w14:paraId="420DCAC0" w14:textId="77777777" w:rsidR="006B1681" w:rsidRPr="00332DF6" w:rsidRDefault="006B1681" w:rsidP="00332DF6">
            <w:pPr>
              <w:pStyle w:val="TableTextEntries"/>
            </w:pPr>
            <w:r w:rsidRPr="00332DF6">
              <w:t>$24,266,395.71</w:t>
            </w:r>
          </w:p>
        </w:tc>
        <w:tc>
          <w:tcPr>
            <w:tcW w:w="1128" w:type="dxa"/>
            <w:vMerge w:val="restart"/>
            <w:noWrap/>
            <w:hideMark/>
          </w:tcPr>
          <w:p w14:paraId="420DCAC1" w14:textId="77777777" w:rsidR="006B1681" w:rsidRPr="00332DF6" w:rsidRDefault="006B1681" w:rsidP="00332DF6">
            <w:pPr>
              <w:pStyle w:val="TableTextEntries"/>
            </w:pPr>
            <w:r w:rsidRPr="00332DF6">
              <w:t>1987</w:t>
            </w:r>
            <w:r w:rsidR="00464D90" w:rsidRPr="00332DF6">
              <w:t>–</w:t>
            </w:r>
            <w:r w:rsidRPr="00332DF6">
              <w:t>2011</w:t>
            </w:r>
          </w:p>
        </w:tc>
        <w:tc>
          <w:tcPr>
            <w:tcW w:w="920" w:type="dxa"/>
            <w:noWrap/>
            <w:hideMark/>
          </w:tcPr>
          <w:p w14:paraId="420DCAC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AC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AC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C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C6"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AC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C8" w14:textId="77777777" w:rsidR="006B1681" w:rsidRPr="00332DF6" w:rsidRDefault="006B1681" w:rsidP="00152088">
            <w:pPr>
              <w:pStyle w:val="TableTextEntries"/>
              <w:jc w:val="center"/>
            </w:pPr>
            <w:r w:rsidRPr="00332DF6">
              <w:t>3</w:t>
            </w:r>
          </w:p>
        </w:tc>
      </w:tr>
      <w:tr w:rsidR="006B1681" w:rsidRPr="00250BC3" w14:paraId="420DCAD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CA" w14:textId="77777777" w:rsidR="006B1681" w:rsidRPr="00332DF6" w:rsidRDefault="006B1681" w:rsidP="00332DF6">
            <w:pPr>
              <w:pStyle w:val="TableTextEntries"/>
            </w:pPr>
          </w:p>
        </w:tc>
        <w:tc>
          <w:tcPr>
            <w:tcW w:w="887" w:type="dxa"/>
            <w:vMerge/>
            <w:hideMark/>
          </w:tcPr>
          <w:p w14:paraId="420DCACB" w14:textId="77777777" w:rsidR="006B1681" w:rsidRPr="00332DF6" w:rsidRDefault="006B1681" w:rsidP="00332DF6">
            <w:pPr>
              <w:pStyle w:val="TableTextEntries"/>
            </w:pPr>
          </w:p>
        </w:tc>
        <w:tc>
          <w:tcPr>
            <w:tcW w:w="1840" w:type="dxa"/>
            <w:vMerge/>
            <w:hideMark/>
          </w:tcPr>
          <w:p w14:paraId="420DCACC" w14:textId="77777777" w:rsidR="006B1681" w:rsidRPr="00332DF6" w:rsidRDefault="006B1681" w:rsidP="00332DF6">
            <w:pPr>
              <w:pStyle w:val="TableTextEntries"/>
            </w:pPr>
          </w:p>
        </w:tc>
        <w:tc>
          <w:tcPr>
            <w:tcW w:w="1128" w:type="dxa"/>
            <w:vMerge/>
            <w:hideMark/>
          </w:tcPr>
          <w:p w14:paraId="420DCACD" w14:textId="77777777" w:rsidR="006B1681" w:rsidRPr="00332DF6" w:rsidRDefault="006B1681" w:rsidP="00332DF6">
            <w:pPr>
              <w:pStyle w:val="TableTextEntries"/>
            </w:pPr>
          </w:p>
        </w:tc>
        <w:tc>
          <w:tcPr>
            <w:tcW w:w="920" w:type="dxa"/>
            <w:noWrap/>
            <w:hideMark/>
          </w:tcPr>
          <w:p w14:paraId="420DCACE" w14:textId="77777777" w:rsidR="006B1681" w:rsidRPr="00332DF6" w:rsidRDefault="006B1681" w:rsidP="00332DF6">
            <w:pPr>
              <w:pStyle w:val="TableTextEntries"/>
            </w:pPr>
            <w:r w:rsidRPr="00332DF6">
              <w:t>2012</w:t>
            </w:r>
          </w:p>
        </w:tc>
        <w:tc>
          <w:tcPr>
            <w:tcW w:w="894" w:type="dxa"/>
            <w:noWrap/>
            <w:hideMark/>
          </w:tcPr>
          <w:p w14:paraId="420DCACF" w14:textId="77777777" w:rsidR="006B1681" w:rsidRPr="00332DF6" w:rsidRDefault="006B1681" w:rsidP="00152088">
            <w:pPr>
              <w:pStyle w:val="TableTextEntries"/>
              <w:jc w:val="center"/>
            </w:pPr>
            <w:r w:rsidRPr="00332DF6">
              <w:t>N/A</w:t>
            </w:r>
          </w:p>
        </w:tc>
        <w:tc>
          <w:tcPr>
            <w:tcW w:w="894" w:type="dxa"/>
            <w:noWrap/>
            <w:hideMark/>
          </w:tcPr>
          <w:p w14:paraId="420DCAD0" w14:textId="77777777" w:rsidR="006B1681" w:rsidRPr="00332DF6" w:rsidRDefault="006B1681" w:rsidP="00152088">
            <w:pPr>
              <w:pStyle w:val="TableTextEntries"/>
              <w:jc w:val="center"/>
            </w:pPr>
            <w:r w:rsidRPr="00332DF6">
              <w:t>N/A</w:t>
            </w:r>
          </w:p>
        </w:tc>
        <w:tc>
          <w:tcPr>
            <w:tcW w:w="894" w:type="dxa"/>
            <w:noWrap/>
            <w:hideMark/>
          </w:tcPr>
          <w:p w14:paraId="420DCAD1" w14:textId="77777777" w:rsidR="006B1681" w:rsidRPr="00332DF6" w:rsidRDefault="006B1681" w:rsidP="00152088">
            <w:pPr>
              <w:pStyle w:val="TableTextEntries"/>
              <w:jc w:val="center"/>
            </w:pPr>
            <w:r w:rsidRPr="00332DF6">
              <w:t>N/A</w:t>
            </w:r>
          </w:p>
        </w:tc>
        <w:tc>
          <w:tcPr>
            <w:tcW w:w="894" w:type="dxa"/>
            <w:noWrap/>
            <w:hideMark/>
          </w:tcPr>
          <w:p w14:paraId="420DCAD2" w14:textId="77777777" w:rsidR="006B1681" w:rsidRPr="00332DF6" w:rsidRDefault="006B1681" w:rsidP="00152088">
            <w:pPr>
              <w:pStyle w:val="TableTextEntries"/>
              <w:jc w:val="center"/>
            </w:pPr>
            <w:r w:rsidRPr="00332DF6">
              <w:t>N/A</w:t>
            </w:r>
          </w:p>
        </w:tc>
        <w:tc>
          <w:tcPr>
            <w:tcW w:w="894" w:type="dxa"/>
            <w:noWrap/>
            <w:hideMark/>
          </w:tcPr>
          <w:p w14:paraId="420DCAD3" w14:textId="77777777" w:rsidR="006B1681" w:rsidRPr="00332DF6" w:rsidRDefault="006B1681" w:rsidP="00152088">
            <w:pPr>
              <w:pStyle w:val="TableTextEntries"/>
              <w:jc w:val="center"/>
            </w:pPr>
            <w:r w:rsidRPr="00332DF6">
              <w:t>N/A</w:t>
            </w:r>
          </w:p>
        </w:tc>
        <w:tc>
          <w:tcPr>
            <w:tcW w:w="894" w:type="dxa"/>
            <w:noWrap/>
            <w:hideMark/>
          </w:tcPr>
          <w:p w14:paraId="420DCAD4" w14:textId="77777777" w:rsidR="006B1681" w:rsidRPr="00332DF6" w:rsidRDefault="006B1681" w:rsidP="00152088">
            <w:pPr>
              <w:pStyle w:val="TableTextEntries"/>
              <w:jc w:val="center"/>
            </w:pPr>
            <w:r w:rsidRPr="00332DF6">
              <w:t>N/A</w:t>
            </w:r>
          </w:p>
        </w:tc>
      </w:tr>
      <w:tr w:rsidR="006B1681" w:rsidRPr="00250BC3" w14:paraId="420DCAE1" w14:textId="77777777" w:rsidTr="00A84A34">
        <w:trPr>
          <w:tblHeader w:val="0"/>
        </w:trPr>
        <w:tc>
          <w:tcPr>
            <w:tcW w:w="2785" w:type="dxa"/>
            <w:vMerge w:val="restart"/>
            <w:hideMark/>
          </w:tcPr>
          <w:p w14:paraId="420DCAD6" w14:textId="77777777" w:rsidR="006B1681" w:rsidRPr="00332DF6" w:rsidRDefault="006B1681" w:rsidP="00332DF6">
            <w:pPr>
              <w:pStyle w:val="TableTextEntries"/>
            </w:pPr>
            <w:r w:rsidRPr="00332DF6">
              <w:t>Forum Secretariat</w:t>
            </w:r>
            <w:r w:rsidR="00D12BCD" w:rsidRPr="00332DF6">
              <w:t>—</w:t>
            </w:r>
            <w:r w:rsidR="00283947" w:rsidRPr="00332DF6">
              <w:t>e</w:t>
            </w:r>
            <w:r w:rsidR="004E04B4" w:rsidRPr="00332DF6">
              <w:t xml:space="preserve">xtra </w:t>
            </w:r>
            <w:r w:rsidR="00283947" w:rsidRPr="00332DF6">
              <w:t>b</w:t>
            </w:r>
            <w:r w:rsidR="004E04B4" w:rsidRPr="00332DF6">
              <w:t>udget</w:t>
            </w:r>
          </w:p>
        </w:tc>
        <w:tc>
          <w:tcPr>
            <w:tcW w:w="887" w:type="dxa"/>
            <w:vMerge w:val="restart"/>
            <w:noWrap/>
            <w:hideMark/>
          </w:tcPr>
          <w:p w14:paraId="420DCAD7" w14:textId="77777777" w:rsidR="006B1681" w:rsidRPr="00332DF6" w:rsidRDefault="006B1681" w:rsidP="00332DF6">
            <w:pPr>
              <w:pStyle w:val="TableTextEntries"/>
            </w:pPr>
            <w:r w:rsidRPr="00332DF6">
              <w:t>INB952</w:t>
            </w:r>
          </w:p>
        </w:tc>
        <w:tc>
          <w:tcPr>
            <w:tcW w:w="1840" w:type="dxa"/>
            <w:vMerge w:val="restart"/>
            <w:hideMark/>
          </w:tcPr>
          <w:p w14:paraId="420DCAD8" w14:textId="77777777" w:rsidR="006B1681" w:rsidRPr="00332DF6" w:rsidRDefault="006B1681" w:rsidP="00332DF6">
            <w:pPr>
              <w:pStyle w:val="TableTextEntries"/>
            </w:pPr>
            <w:r w:rsidRPr="00332DF6">
              <w:t>$56,646,531.84</w:t>
            </w:r>
          </w:p>
        </w:tc>
        <w:tc>
          <w:tcPr>
            <w:tcW w:w="1128" w:type="dxa"/>
            <w:vMerge w:val="restart"/>
            <w:noWrap/>
            <w:hideMark/>
          </w:tcPr>
          <w:p w14:paraId="420DCAD9" w14:textId="77777777" w:rsidR="006B1681" w:rsidRPr="00332DF6" w:rsidRDefault="006B1681" w:rsidP="00332DF6">
            <w:pPr>
              <w:pStyle w:val="TableTextEntries"/>
            </w:pPr>
            <w:r w:rsidRPr="00332DF6">
              <w:t>1987</w:t>
            </w:r>
            <w:r w:rsidR="00464D90" w:rsidRPr="00332DF6">
              <w:t>–</w:t>
            </w:r>
            <w:r w:rsidRPr="00332DF6">
              <w:t>2012</w:t>
            </w:r>
          </w:p>
        </w:tc>
        <w:tc>
          <w:tcPr>
            <w:tcW w:w="920" w:type="dxa"/>
            <w:noWrap/>
            <w:hideMark/>
          </w:tcPr>
          <w:p w14:paraId="420DCAD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AD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AD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AD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DE"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AD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AE0" w14:textId="77777777" w:rsidR="006B1681" w:rsidRPr="00332DF6" w:rsidRDefault="006B1681" w:rsidP="00152088">
            <w:pPr>
              <w:pStyle w:val="TableTextEntries"/>
              <w:jc w:val="center"/>
            </w:pPr>
            <w:r w:rsidRPr="00332DF6">
              <w:t>3</w:t>
            </w:r>
          </w:p>
        </w:tc>
      </w:tr>
      <w:tr w:rsidR="006B1681" w:rsidRPr="00250BC3" w14:paraId="420DCAE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E2" w14:textId="77777777" w:rsidR="006B1681" w:rsidRPr="00332DF6" w:rsidRDefault="006B1681" w:rsidP="00332DF6">
            <w:pPr>
              <w:pStyle w:val="TableTextEntries"/>
            </w:pPr>
          </w:p>
        </w:tc>
        <w:tc>
          <w:tcPr>
            <w:tcW w:w="887" w:type="dxa"/>
            <w:vMerge/>
            <w:hideMark/>
          </w:tcPr>
          <w:p w14:paraId="420DCAE3" w14:textId="77777777" w:rsidR="006B1681" w:rsidRPr="00332DF6" w:rsidRDefault="006B1681" w:rsidP="00332DF6">
            <w:pPr>
              <w:pStyle w:val="TableTextEntries"/>
            </w:pPr>
          </w:p>
        </w:tc>
        <w:tc>
          <w:tcPr>
            <w:tcW w:w="1840" w:type="dxa"/>
            <w:vMerge/>
            <w:hideMark/>
          </w:tcPr>
          <w:p w14:paraId="420DCAE4" w14:textId="77777777" w:rsidR="006B1681" w:rsidRPr="00332DF6" w:rsidRDefault="006B1681" w:rsidP="00332DF6">
            <w:pPr>
              <w:pStyle w:val="TableTextEntries"/>
            </w:pPr>
          </w:p>
        </w:tc>
        <w:tc>
          <w:tcPr>
            <w:tcW w:w="1128" w:type="dxa"/>
            <w:vMerge/>
            <w:hideMark/>
          </w:tcPr>
          <w:p w14:paraId="420DCAE5" w14:textId="77777777" w:rsidR="006B1681" w:rsidRPr="00332DF6" w:rsidRDefault="006B1681" w:rsidP="00332DF6">
            <w:pPr>
              <w:pStyle w:val="TableTextEntries"/>
            </w:pPr>
          </w:p>
        </w:tc>
        <w:tc>
          <w:tcPr>
            <w:tcW w:w="920" w:type="dxa"/>
            <w:noWrap/>
            <w:hideMark/>
          </w:tcPr>
          <w:p w14:paraId="420DCAE6" w14:textId="77777777" w:rsidR="006B1681" w:rsidRPr="00332DF6" w:rsidRDefault="006B1681" w:rsidP="00332DF6">
            <w:pPr>
              <w:pStyle w:val="TableTextEntries"/>
            </w:pPr>
            <w:r w:rsidRPr="00332DF6">
              <w:t>2012</w:t>
            </w:r>
          </w:p>
        </w:tc>
        <w:tc>
          <w:tcPr>
            <w:tcW w:w="894" w:type="dxa"/>
            <w:noWrap/>
            <w:hideMark/>
          </w:tcPr>
          <w:p w14:paraId="420DCAE7" w14:textId="77777777" w:rsidR="006B1681" w:rsidRPr="00332DF6" w:rsidRDefault="006B1681" w:rsidP="00152088">
            <w:pPr>
              <w:pStyle w:val="TableTextEntries"/>
              <w:jc w:val="center"/>
            </w:pPr>
            <w:r w:rsidRPr="00332DF6">
              <w:t>N/A</w:t>
            </w:r>
          </w:p>
        </w:tc>
        <w:tc>
          <w:tcPr>
            <w:tcW w:w="894" w:type="dxa"/>
            <w:noWrap/>
            <w:hideMark/>
          </w:tcPr>
          <w:p w14:paraId="420DCAE8" w14:textId="77777777" w:rsidR="006B1681" w:rsidRPr="00332DF6" w:rsidRDefault="006B1681" w:rsidP="00152088">
            <w:pPr>
              <w:pStyle w:val="TableTextEntries"/>
              <w:jc w:val="center"/>
            </w:pPr>
            <w:r w:rsidRPr="00332DF6">
              <w:t>N/A</w:t>
            </w:r>
          </w:p>
        </w:tc>
        <w:tc>
          <w:tcPr>
            <w:tcW w:w="894" w:type="dxa"/>
            <w:noWrap/>
            <w:hideMark/>
          </w:tcPr>
          <w:p w14:paraId="420DCAE9" w14:textId="77777777" w:rsidR="006B1681" w:rsidRPr="00332DF6" w:rsidRDefault="006B1681" w:rsidP="00152088">
            <w:pPr>
              <w:pStyle w:val="TableTextEntries"/>
              <w:jc w:val="center"/>
            </w:pPr>
            <w:r w:rsidRPr="00332DF6">
              <w:t>N/A</w:t>
            </w:r>
          </w:p>
        </w:tc>
        <w:tc>
          <w:tcPr>
            <w:tcW w:w="894" w:type="dxa"/>
            <w:noWrap/>
            <w:hideMark/>
          </w:tcPr>
          <w:p w14:paraId="420DCAEA" w14:textId="77777777" w:rsidR="006B1681" w:rsidRPr="00332DF6" w:rsidRDefault="006B1681" w:rsidP="00152088">
            <w:pPr>
              <w:pStyle w:val="TableTextEntries"/>
              <w:jc w:val="center"/>
            </w:pPr>
            <w:r w:rsidRPr="00332DF6">
              <w:t>N/A</w:t>
            </w:r>
          </w:p>
        </w:tc>
        <w:tc>
          <w:tcPr>
            <w:tcW w:w="894" w:type="dxa"/>
            <w:noWrap/>
            <w:hideMark/>
          </w:tcPr>
          <w:p w14:paraId="420DCAEB" w14:textId="77777777" w:rsidR="006B1681" w:rsidRPr="00332DF6" w:rsidRDefault="006B1681" w:rsidP="00152088">
            <w:pPr>
              <w:pStyle w:val="TableTextEntries"/>
              <w:jc w:val="center"/>
            </w:pPr>
            <w:r w:rsidRPr="00332DF6">
              <w:t>N/A</w:t>
            </w:r>
          </w:p>
        </w:tc>
        <w:tc>
          <w:tcPr>
            <w:tcW w:w="894" w:type="dxa"/>
            <w:noWrap/>
            <w:hideMark/>
          </w:tcPr>
          <w:p w14:paraId="420DCAEC" w14:textId="77777777" w:rsidR="006B1681" w:rsidRPr="00332DF6" w:rsidRDefault="006B1681" w:rsidP="00152088">
            <w:pPr>
              <w:pStyle w:val="TableTextEntries"/>
              <w:jc w:val="center"/>
            </w:pPr>
            <w:r w:rsidRPr="00332DF6">
              <w:t>N/A</w:t>
            </w:r>
          </w:p>
        </w:tc>
      </w:tr>
      <w:tr w:rsidR="006B1681" w:rsidRPr="00250BC3" w14:paraId="420DCAF9" w14:textId="77777777" w:rsidTr="00A84A34">
        <w:trPr>
          <w:tblHeader w:val="0"/>
        </w:trPr>
        <w:tc>
          <w:tcPr>
            <w:tcW w:w="2785" w:type="dxa"/>
            <w:vMerge w:val="restart"/>
            <w:hideMark/>
          </w:tcPr>
          <w:p w14:paraId="420DCAEE" w14:textId="77777777" w:rsidR="006B1681" w:rsidRPr="00332DF6" w:rsidRDefault="006B1681" w:rsidP="00332DF6">
            <w:pPr>
              <w:pStyle w:val="TableTextEntries"/>
            </w:pPr>
            <w:r w:rsidRPr="00332DF6">
              <w:t>Pacific Financial Technical Assistance Centre</w:t>
            </w:r>
          </w:p>
        </w:tc>
        <w:tc>
          <w:tcPr>
            <w:tcW w:w="887" w:type="dxa"/>
            <w:vMerge w:val="restart"/>
            <w:noWrap/>
            <w:hideMark/>
          </w:tcPr>
          <w:p w14:paraId="420DCAEF" w14:textId="77777777" w:rsidR="006B1681" w:rsidRPr="00332DF6" w:rsidRDefault="006B1681" w:rsidP="00332DF6">
            <w:pPr>
              <w:pStyle w:val="TableTextEntries"/>
            </w:pPr>
            <w:r w:rsidRPr="00332DF6">
              <w:t>INC676</w:t>
            </w:r>
          </w:p>
        </w:tc>
        <w:tc>
          <w:tcPr>
            <w:tcW w:w="1840" w:type="dxa"/>
            <w:vMerge w:val="restart"/>
            <w:hideMark/>
          </w:tcPr>
          <w:p w14:paraId="420DCAF0" w14:textId="77777777" w:rsidR="006B1681" w:rsidRPr="00332DF6" w:rsidRDefault="006B1681" w:rsidP="00332DF6">
            <w:pPr>
              <w:pStyle w:val="TableTextEntries"/>
            </w:pPr>
            <w:r w:rsidRPr="00332DF6">
              <w:t>$15,501,760.46</w:t>
            </w:r>
          </w:p>
        </w:tc>
        <w:tc>
          <w:tcPr>
            <w:tcW w:w="1128" w:type="dxa"/>
            <w:vMerge w:val="restart"/>
            <w:noWrap/>
            <w:hideMark/>
          </w:tcPr>
          <w:p w14:paraId="420DCAF1" w14:textId="77777777" w:rsidR="006B1681" w:rsidRPr="00332DF6" w:rsidRDefault="006B1681" w:rsidP="00332DF6">
            <w:pPr>
              <w:pStyle w:val="TableTextEntries"/>
            </w:pPr>
            <w:r w:rsidRPr="00332DF6">
              <w:t>1995</w:t>
            </w:r>
            <w:r w:rsidR="00464D90" w:rsidRPr="00332DF6">
              <w:t>–</w:t>
            </w:r>
            <w:r w:rsidRPr="00332DF6">
              <w:t>2014</w:t>
            </w:r>
          </w:p>
        </w:tc>
        <w:tc>
          <w:tcPr>
            <w:tcW w:w="920" w:type="dxa"/>
            <w:noWrap/>
            <w:hideMark/>
          </w:tcPr>
          <w:p w14:paraId="420DCAF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AF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AF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AF5"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AF6"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AF7"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79646" w:themeFill="accent6"/>
            <w:noWrap/>
            <w:hideMark/>
          </w:tcPr>
          <w:p w14:paraId="420DCAF8" w14:textId="77777777" w:rsidR="006B1681" w:rsidRPr="00332DF6" w:rsidRDefault="006B1681" w:rsidP="00152088">
            <w:pPr>
              <w:pStyle w:val="TableTextEntries"/>
              <w:jc w:val="center"/>
            </w:pPr>
            <w:r w:rsidRPr="00332DF6">
              <w:t>3</w:t>
            </w:r>
          </w:p>
        </w:tc>
      </w:tr>
      <w:tr w:rsidR="006B1681" w:rsidRPr="00250BC3" w14:paraId="420DCB0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AFA" w14:textId="77777777" w:rsidR="006B1681" w:rsidRPr="00332DF6" w:rsidRDefault="006B1681" w:rsidP="00332DF6">
            <w:pPr>
              <w:pStyle w:val="TableTextEntries"/>
            </w:pPr>
          </w:p>
        </w:tc>
        <w:tc>
          <w:tcPr>
            <w:tcW w:w="887" w:type="dxa"/>
            <w:vMerge/>
            <w:hideMark/>
          </w:tcPr>
          <w:p w14:paraId="420DCAFB" w14:textId="77777777" w:rsidR="006B1681" w:rsidRPr="00332DF6" w:rsidRDefault="006B1681" w:rsidP="00332DF6">
            <w:pPr>
              <w:pStyle w:val="TableTextEntries"/>
            </w:pPr>
          </w:p>
        </w:tc>
        <w:tc>
          <w:tcPr>
            <w:tcW w:w="1840" w:type="dxa"/>
            <w:vMerge/>
            <w:hideMark/>
          </w:tcPr>
          <w:p w14:paraId="420DCAFC" w14:textId="77777777" w:rsidR="006B1681" w:rsidRPr="00332DF6" w:rsidRDefault="006B1681" w:rsidP="00332DF6">
            <w:pPr>
              <w:pStyle w:val="TableTextEntries"/>
            </w:pPr>
          </w:p>
        </w:tc>
        <w:tc>
          <w:tcPr>
            <w:tcW w:w="1128" w:type="dxa"/>
            <w:vMerge/>
            <w:hideMark/>
          </w:tcPr>
          <w:p w14:paraId="420DCAFD" w14:textId="77777777" w:rsidR="006B1681" w:rsidRPr="00332DF6" w:rsidRDefault="006B1681" w:rsidP="00332DF6">
            <w:pPr>
              <w:pStyle w:val="TableTextEntries"/>
            </w:pPr>
          </w:p>
        </w:tc>
        <w:tc>
          <w:tcPr>
            <w:tcW w:w="920" w:type="dxa"/>
            <w:noWrap/>
            <w:hideMark/>
          </w:tcPr>
          <w:p w14:paraId="420DCAFE" w14:textId="77777777" w:rsidR="006B1681" w:rsidRPr="00332DF6" w:rsidRDefault="006B1681" w:rsidP="00332DF6">
            <w:pPr>
              <w:pStyle w:val="TableTextEntries"/>
            </w:pPr>
            <w:r w:rsidRPr="00332DF6">
              <w:t>2012</w:t>
            </w:r>
          </w:p>
        </w:tc>
        <w:tc>
          <w:tcPr>
            <w:tcW w:w="894" w:type="dxa"/>
            <w:shd w:val="clear" w:color="auto" w:fill="92D050"/>
            <w:noWrap/>
            <w:hideMark/>
          </w:tcPr>
          <w:p w14:paraId="420DCAFF"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B00"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01"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B0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03"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04" w14:textId="77777777" w:rsidR="006B1681" w:rsidRPr="00332DF6" w:rsidRDefault="006B1681" w:rsidP="00152088">
            <w:pPr>
              <w:pStyle w:val="TableTextEntries"/>
              <w:jc w:val="center"/>
            </w:pPr>
            <w:r w:rsidRPr="00332DF6">
              <w:t>4</w:t>
            </w:r>
          </w:p>
        </w:tc>
      </w:tr>
      <w:tr w:rsidR="006B1681" w:rsidRPr="00250BC3" w14:paraId="420DCB11" w14:textId="77777777" w:rsidTr="00A84A34">
        <w:trPr>
          <w:tblHeader w:val="0"/>
        </w:trPr>
        <w:tc>
          <w:tcPr>
            <w:tcW w:w="2785" w:type="dxa"/>
            <w:vMerge w:val="restart"/>
            <w:hideMark/>
          </w:tcPr>
          <w:p w14:paraId="420DCB06" w14:textId="77777777" w:rsidR="006B1681" w:rsidRPr="00332DF6" w:rsidRDefault="006B1681" w:rsidP="00332DF6">
            <w:pPr>
              <w:pStyle w:val="TableTextEntries"/>
            </w:pPr>
            <w:r w:rsidRPr="00332DF6">
              <w:t>Sea Level and Climate Monitoring Phase 4</w:t>
            </w:r>
          </w:p>
        </w:tc>
        <w:tc>
          <w:tcPr>
            <w:tcW w:w="887" w:type="dxa"/>
            <w:vMerge w:val="restart"/>
            <w:noWrap/>
            <w:hideMark/>
          </w:tcPr>
          <w:p w14:paraId="420DCB07" w14:textId="77777777" w:rsidR="006B1681" w:rsidRPr="00332DF6" w:rsidRDefault="006B1681" w:rsidP="00332DF6">
            <w:pPr>
              <w:pStyle w:val="TableTextEntries"/>
            </w:pPr>
            <w:r w:rsidRPr="00332DF6">
              <w:t>ING300</w:t>
            </w:r>
          </w:p>
        </w:tc>
        <w:tc>
          <w:tcPr>
            <w:tcW w:w="1840" w:type="dxa"/>
            <w:vMerge w:val="restart"/>
            <w:hideMark/>
          </w:tcPr>
          <w:p w14:paraId="420DCB08" w14:textId="77777777" w:rsidR="006B1681" w:rsidRPr="00332DF6" w:rsidRDefault="006B1681" w:rsidP="00332DF6">
            <w:pPr>
              <w:pStyle w:val="TableTextEntries"/>
            </w:pPr>
            <w:r w:rsidRPr="00332DF6">
              <w:t>$15,983,088.50</w:t>
            </w:r>
          </w:p>
        </w:tc>
        <w:tc>
          <w:tcPr>
            <w:tcW w:w="1128" w:type="dxa"/>
            <w:vMerge w:val="restart"/>
            <w:noWrap/>
            <w:hideMark/>
          </w:tcPr>
          <w:p w14:paraId="420DCB09" w14:textId="77777777" w:rsidR="006B1681" w:rsidRPr="00332DF6" w:rsidRDefault="006B1681" w:rsidP="00332DF6">
            <w:pPr>
              <w:pStyle w:val="TableTextEntries"/>
            </w:pPr>
            <w:r w:rsidRPr="00332DF6">
              <w:t>2005</w:t>
            </w:r>
            <w:r w:rsidR="00464D90" w:rsidRPr="00332DF6">
              <w:t>–</w:t>
            </w:r>
            <w:r w:rsidRPr="00332DF6">
              <w:t>11</w:t>
            </w:r>
          </w:p>
        </w:tc>
        <w:tc>
          <w:tcPr>
            <w:tcW w:w="920" w:type="dxa"/>
            <w:noWrap/>
            <w:hideMark/>
          </w:tcPr>
          <w:p w14:paraId="420DCB0A"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B0B"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B0C"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0000"/>
            <w:noWrap/>
            <w:hideMark/>
          </w:tcPr>
          <w:p w14:paraId="420DCB0D"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FF0000"/>
            <w:noWrap/>
            <w:hideMark/>
          </w:tcPr>
          <w:p w14:paraId="420DCB0E" w14:textId="77777777" w:rsidR="006B1681" w:rsidRPr="00332DF6" w:rsidRDefault="006B1681" w:rsidP="00152088">
            <w:pPr>
              <w:pStyle w:val="TableTextEntries"/>
              <w:jc w:val="center"/>
            </w:pPr>
            <w:r w:rsidRPr="00332DF6">
              <w:t>2</w:t>
            </w:r>
          </w:p>
        </w:tc>
        <w:tc>
          <w:tcPr>
            <w:tcW w:w="894" w:type="dxa"/>
            <w:tcBorders>
              <w:top w:val="nil"/>
              <w:bottom w:val="nil"/>
            </w:tcBorders>
            <w:shd w:val="clear" w:color="auto" w:fill="F79646" w:themeFill="accent6"/>
            <w:noWrap/>
            <w:hideMark/>
          </w:tcPr>
          <w:p w14:paraId="420DCB0F"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0000"/>
            <w:noWrap/>
            <w:hideMark/>
          </w:tcPr>
          <w:p w14:paraId="420DCB10" w14:textId="77777777" w:rsidR="006B1681" w:rsidRPr="00332DF6" w:rsidRDefault="006B1681" w:rsidP="00152088">
            <w:pPr>
              <w:pStyle w:val="TableTextEntries"/>
              <w:jc w:val="center"/>
            </w:pPr>
            <w:r w:rsidRPr="00332DF6">
              <w:t>2</w:t>
            </w:r>
          </w:p>
        </w:tc>
      </w:tr>
      <w:tr w:rsidR="006B1681" w:rsidRPr="00250BC3" w14:paraId="420DCB1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12" w14:textId="77777777" w:rsidR="006B1681" w:rsidRPr="00332DF6" w:rsidRDefault="006B1681" w:rsidP="00332DF6">
            <w:pPr>
              <w:pStyle w:val="TableTextEntries"/>
            </w:pPr>
          </w:p>
        </w:tc>
        <w:tc>
          <w:tcPr>
            <w:tcW w:w="887" w:type="dxa"/>
            <w:vMerge/>
            <w:hideMark/>
          </w:tcPr>
          <w:p w14:paraId="420DCB13" w14:textId="77777777" w:rsidR="006B1681" w:rsidRPr="00332DF6" w:rsidRDefault="006B1681" w:rsidP="00332DF6">
            <w:pPr>
              <w:pStyle w:val="TableTextEntries"/>
            </w:pPr>
          </w:p>
        </w:tc>
        <w:tc>
          <w:tcPr>
            <w:tcW w:w="1840" w:type="dxa"/>
            <w:vMerge/>
            <w:hideMark/>
          </w:tcPr>
          <w:p w14:paraId="420DCB14" w14:textId="77777777" w:rsidR="006B1681" w:rsidRPr="00332DF6" w:rsidRDefault="006B1681" w:rsidP="00332DF6">
            <w:pPr>
              <w:pStyle w:val="TableTextEntries"/>
            </w:pPr>
          </w:p>
        </w:tc>
        <w:tc>
          <w:tcPr>
            <w:tcW w:w="1128" w:type="dxa"/>
            <w:vMerge/>
            <w:hideMark/>
          </w:tcPr>
          <w:p w14:paraId="420DCB15" w14:textId="77777777" w:rsidR="006B1681" w:rsidRPr="00332DF6" w:rsidRDefault="006B1681" w:rsidP="00332DF6">
            <w:pPr>
              <w:pStyle w:val="TableTextEntries"/>
            </w:pPr>
          </w:p>
        </w:tc>
        <w:tc>
          <w:tcPr>
            <w:tcW w:w="920" w:type="dxa"/>
            <w:noWrap/>
            <w:hideMark/>
          </w:tcPr>
          <w:p w14:paraId="420DCB16" w14:textId="77777777" w:rsidR="006B1681" w:rsidRPr="00332DF6" w:rsidRDefault="006B1681" w:rsidP="00332DF6">
            <w:pPr>
              <w:pStyle w:val="TableTextEntries"/>
            </w:pPr>
            <w:r w:rsidRPr="00332DF6">
              <w:t>2012</w:t>
            </w:r>
          </w:p>
        </w:tc>
        <w:tc>
          <w:tcPr>
            <w:tcW w:w="894" w:type="dxa"/>
            <w:noWrap/>
            <w:hideMark/>
          </w:tcPr>
          <w:p w14:paraId="420DCB17" w14:textId="77777777" w:rsidR="006B1681" w:rsidRPr="00332DF6" w:rsidRDefault="006B1681" w:rsidP="00152088">
            <w:pPr>
              <w:pStyle w:val="TableTextEntries"/>
              <w:jc w:val="center"/>
            </w:pPr>
            <w:r w:rsidRPr="00332DF6">
              <w:t>N/A</w:t>
            </w:r>
          </w:p>
        </w:tc>
        <w:tc>
          <w:tcPr>
            <w:tcW w:w="894" w:type="dxa"/>
            <w:noWrap/>
            <w:hideMark/>
          </w:tcPr>
          <w:p w14:paraId="420DCB18" w14:textId="77777777" w:rsidR="006B1681" w:rsidRPr="00332DF6" w:rsidRDefault="006B1681" w:rsidP="00152088">
            <w:pPr>
              <w:pStyle w:val="TableTextEntries"/>
              <w:jc w:val="center"/>
            </w:pPr>
            <w:r w:rsidRPr="00332DF6">
              <w:t>N/A</w:t>
            </w:r>
          </w:p>
        </w:tc>
        <w:tc>
          <w:tcPr>
            <w:tcW w:w="894" w:type="dxa"/>
            <w:noWrap/>
            <w:hideMark/>
          </w:tcPr>
          <w:p w14:paraId="420DCB19" w14:textId="77777777" w:rsidR="006B1681" w:rsidRPr="00332DF6" w:rsidRDefault="006B1681" w:rsidP="00152088">
            <w:pPr>
              <w:pStyle w:val="TableTextEntries"/>
              <w:jc w:val="center"/>
            </w:pPr>
            <w:r w:rsidRPr="00332DF6">
              <w:t>N/A</w:t>
            </w:r>
          </w:p>
        </w:tc>
        <w:tc>
          <w:tcPr>
            <w:tcW w:w="894" w:type="dxa"/>
            <w:noWrap/>
            <w:hideMark/>
          </w:tcPr>
          <w:p w14:paraId="420DCB1A" w14:textId="77777777" w:rsidR="006B1681" w:rsidRPr="00332DF6" w:rsidRDefault="006B1681" w:rsidP="00152088">
            <w:pPr>
              <w:pStyle w:val="TableTextEntries"/>
              <w:jc w:val="center"/>
            </w:pPr>
            <w:r w:rsidRPr="00332DF6">
              <w:t>N/A</w:t>
            </w:r>
          </w:p>
        </w:tc>
        <w:tc>
          <w:tcPr>
            <w:tcW w:w="894" w:type="dxa"/>
            <w:noWrap/>
            <w:hideMark/>
          </w:tcPr>
          <w:p w14:paraId="420DCB1B" w14:textId="77777777" w:rsidR="006B1681" w:rsidRPr="00332DF6" w:rsidRDefault="006B1681" w:rsidP="00152088">
            <w:pPr>
              <w:pStyle w:val="TableTextEntries"/>
              <w:jc w:val="center"/>
            </w:pPr>
            <w:r w:rsidRPr="00332DF6">
              <w:t>N/A</w:t>
            </w:r>
          </w:p>
        </w:tc>
        <w:tc>
          <w:tcPr>
            <w:tcW w:w="894" w:type="dxa"/>
            <w:noWrap/>
            <w:hideMark/>
          </w:tcPr>
          <w:p w14:paraId="420DCB1C" w14:textId="77777777" w:rsidR="006B1681" w:rsidRPr="00332DF6" w:rsidRDefault="006B1681" w:rsidP="00152088">
            <w:pPr>
              <w:pStyle w:val="TableTextEntries"/>
              <w:jc w:val="center"/>
            </w:pPr>
            <w:r w:rsidRPr="00332DF6">
              <w:t>N/A</w:t>
            </w:r>
          </w:p>
        </w:tc>
      </w:tr>
      <w:tr w:rsidR="006B1681" w:rsidRPr="00250BC3" w14:paraId="420DCB29" w14:textId="77777777" w:rsidTr="00A84A34">
        <w:trPr>
          <w:tblHeader w:val="0"/>
        </w:trPr>
        <w:tc>
          <w:tcPr>
            <w:tcW w:w="2785" w:type="dxa"/>
            <w:vMerge w:val="restart"/>
            <w:hideMark/>
          </w:tcPr>
          <w:p w14:paraId="420DCB1E" w14:textId="77777777" w:rsidR="006B1681" w:rsidRPr="00332DF6" w:rsidRDefault="006B1681" w:rsidP="00332DF6">
            <w:pPr>
              <w:pStyle w:val="TableTextEntries"/>
            </w:pPr>
            <w:r w:rsidRPr="00332DF6">
              <w:t>UNDP Pacific Sub Regional Centre</w:t>
            </w:r>
          </w:p>
        </w:tc>
        <w:tc>
          <w:tcPr>
            <w:tcW w:w="887" w:type="dxa"/>
            <w:vMerge w:val="restart"/>
            <w:noWrap/>
            <w:hideMark/>
          </w:tcPr>
          <w:p w14:paraId="420DCB1F" w14:textId="77777777" w:rsidR="006B1681" w:rsidRPr="00332DF6" w:rsidRDefault="006B1681" w:rsidP="00332DF6">
            <w:pPr>
              <w:pStyle w:val="TableTextEntries"/>
            </w:pPr>
            <w:r w:rsidRPr="00332DF6">
              <w:t>ING482</w:t>
            </w:r>
          </w:p>
        </w:tc>
        <w:tc>
          <w:tcPr>
            <w:tcW w:w="1840" w:type="dxa"/>
            <w:vMerge w:val="restart"/>
            <w:hideMark/>
          </w:tcPr>
          <w:p w14:paraId="420DCB20" w14:textId="77777777" w:rsidR="006B1681" w:rsidRPr="00332DF6" w:rsidRDefault="006B1681" w:rsidP="00332DF6">
            <w:pPr>
              <w:pStyle w:val="TableTextEntries"/>
            </w:pPr>
            <w:r w:rsidRPr="00332DF6">
              <w:t>$23,601,674.80</w:t>
            </w:r>
          </w:p>
        </w:tc>
        <w:tc>
          <w:tcPr>
            <w:tcW w:w="1128" w:type="dxa"/>
            <w:vMerge w:val="restart"/>
            <w:noWrap/>
            <w:hideMark/>
          </w:tcPr>
          <w:p w14:paraId="420DCB21" w14:textId="77777777" w:rsidR="006B1681" w:rsidRPr="00332DF6" w:rsidRDefault="006B1681" w:rsidP="00332DF6">
            <w:pPr>
              <w:pStyle w:val="TableTextEntries"/>
            </w:pPr>
            <w:r w:rsidRPr="00332DF6">
              <w:t>2006</w:t>
            </w:r>
            <w:r w:rsidR="00464D90" w:rsidRPr="00332DF6">
              <w:t>–</w:t>
            </w:r>
            <w:r w:rsidRPr="00332DF6">
              <w:t>12</w:t>
            </w:r>
          </w:p>
        </w:tc>
        <w:tc>
          <w:tcPr>
            <w:tcW w:w="920" w:type="dxa"/>
            <w:noWrap/>
            <w:hideMark/>
          </w:tcPr>
          <w:p w14:paraId="420DCB2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2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2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2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2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2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28" w14:textId="77777777" w:rsidR="006B1681" w:rsidRPr="00332DF6" w:rsidRDefault="006B1681" w:rsidP="00152088">
            <w:pPr>
              <w:pStyle w:val="TableTextEntries"/>
              <w:jc w:val="center"/>
            </w:pPr>
            <w:r w:rsidRPr="00332DF6">
              <w:t>4</w:t>
            </w:r>
          </w:p>
        </w:tc>
      </w:tr>
      <w:tr w:rsidR="006B1681" w:rsidRPr="00250BC3" w14:paraId="420DCB35" w14:textId="77777777" w:rsidTr="00152088">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2A" w14:textId="77777777" w:rsidR="006B1681" w:rsidRPr="00332DF6" w:rsidRDefault="006B1681" w:rsidP="00332DF6">
            <w:pPr>
              <w:pStyle w:val="TableTextEntries"/>
            </w:pPr>
          </w:p>
        </w:tc>
        <w:tc>
          <w:tcPr>
            <w:tcW w:w="887" w:type="dxa"/>
            <w:vMerge/>
            <w:hideMark/>
          </w:tcPr>
          <w:p w14:paraId="420DCB2B" w14:textId="77777777" w:rsidR="006B1681" w:rsidRPr="00332DF6" w:rsidRDefault="006B1681" w:rsidP="00332DF6">
            <w:pPr>
              <w:pStyle w:val="TableTextEntries"/>
            </w:pPr>
          </w:p>
        </w:tc>
        <w:tc>
          <w:tcPr>
            <w:tcW w:w="1840" w:type="dxa"/>
            <w:vMerge/>
            <w:hideMark/>
          </w:tcPr>
          <w:p w14:paraId="420DCB2C" w14:textId="77777777" w:rsidR="006B1681" w:rsidRPr="00332DF6" w:rsidRDefault="006B1681" w:rsidP="00332DF6">
            <w:pPr>
              <w:pStyle w:val="TableTextEntries"/>
            </w:pPr>
          </w:p>
        </w:tc>
        <w:tc>
          <w:tcPr>
            <w:tcW w:w="1128" w:type="dxa"/>
            <w:vMerge/>
            <w:hideMark/>
          </w:tcPr>
          <w:p w14:paraId="420DCB2D" w14:textId="77777777" w:rsidR="006B1681" w:rsidRPr="00332DF6" w:rsidRDefault="006B1681" w:rsidP="00332DF6">
            <w:pPr>
              <w:pStyle w:val="TableTextEntries"/>
            </w:pPr>
          </w:p>
        </w:tc>
        <w:tc>
          <w:tcPr>
            <w:tcW w:w="920" w:type="dxa"/>
            <w:noWrap/>
            <w:hideMark/>
          </w:tcPr>
          <w:p w14:paraId="420DCB2E" w14:textId="77777777" w:rsidR="006B1681" w:rsidRPr="00332DF6" w:rsidRDefault="006B1681" w:rsidP="00332DF6">
            <w:pPr>
              <w:pStyle w:val="TableTextEntries"/>
            </w:pPr>
            <w:r w:rsidRPr="00332DF6">
              <w:t>2012</w:t>
            </w:r>
          </w:p>
        </w:tc>
        <w:tc>
          <w:tcPr>
            <w:tcW w:w="894" w:type="dxa"/>
            <w:shd w:val="clear" w:color="auto" w:fill="92D050"/>
            <w:noWrap/>
            <w:hideMark/>
          </w:tcPr>
          <w:p w14:paraId="420DCB2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30"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31"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32"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33"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34" w14:textId="77777777" w:rsidR="006B1681" w:rsidRPr="00332DF6" w:rsidRDefault="006B1681" w:rsidP="00152088">
            <w:pPr>
              <w:pStyle w:val="TableTextEntries"/>
              <w:jc w:val="center"/>
            </w:pPr>
            <w:r w:rsidRPr="00332DF6">
              <w:t>5</w:t>
            </w:r>
          </w:p>
        </w:tc>
      </w:tr>
      <w:tr w:rsidR="006B1681" w:rsidRPr="00250BC3" w14:paraId="420DCB41" w14:textId="77777777" w:rsidTr="00332DF6">
        <w:trPr>
          <w:tblHeader w:val="0"/>
        </w:trPr>
        <w:tc>
          <w:tcPr>
            <w:tcW w:w="2785" w:type="dxa"/>
            <w:vMerge w:val="restart"/>
            <w:hideMark/>
          </w:tcPr>
          <w:p w14:paraId="420DCB36" w14:textId="77777777" w:rsidR="006B1681" w:rsidRPr="00332DF6" w:rsidRDefault="006B1681" w:rsidP="00332DF6">
            <w:pPr>
              <w:pStyle w:val="TableTextEntries"/>
            </w:pPr>
            <w:r w:rsidRPr="00332DF6">
              <w:t xml:space="preserve">Pacific Plan Implementation </w:t>
            </w:r>
            <w:r w:rsidR="00283947" w:rsidRPr="00332DF6">
              <w:t>s</w:t>
            </w:r>
            <w:r w:rsidRPr="00332DF6">
              <w:t>upport</w:t>
            </w:r>
          </w:p>
        </w:tc>
        <w:tc>
          <w:tcPr>
            <w:tcW w:w="887" w:type="dxa"/>
            <w:vMerge w:val="restart"/>
            <w:noWrap/>
            <w:hideMark/>
          </w:tcPr>
          <w:p w14:paraId="420DCB37" w14:textId="77777777" w:rsidR="006B1681" w:rsidRPr="00332DF6" w:rsidRDefault="006B1681" w:rsidP="00332DF6">
            <w:pPr>
              <w:pStyle w:val="TableTextEntries"/>
            </w:pPr>
            <w:r w:rsidRPr="00332DF6">
              <w:t>ING651</w:t>
            </w:r>
          </w:p>
        </w:tc>
        <w:tc>
          <w:tcPr>
            <w:tcW w:w="1840" w:type="dxa"/>
            <w:vMerge w:val="restart"/>
            <w:hideMark/>
          </w:tcPr>
          <w:p w14:paraId="420DCB38" w14:textId="77777777" w:rsidR="006B1681" w:rsidRPr="00332DF6" w:rsidRDefault="006B1681" w:rsidP="00332DF6">
            <w:pPr>
              <w:pStyle w:val="TableTextEntries"/>
            </w:pPr>
            <w:r w:rsidRPr="00332DF6">
              <w:t>$5,161,222.71</w:t>
            </w:r>
          </w:p>
        </w:tc>
        <w:tc>
          <w:tcPr>
            <w:tcW w:w="1128" w:type="dxa"/>
            <w:vMerge w:val="restart"/>
            <w:noWrap/>
            <w:hideMark/>
          </w:tcPr>
          <w:p w14:paraId="420DCB39" w14:textId="77777777" w:rsidR="006B1681" w:rsidRPr="00332DF6" w:rsidRDefault="006B1681" w:rsidP="00332DF6">
            <w:pPr>
              <w:pStyle w:val="TableTextEntries"/>
            </w:pPr>
            <w:r w:rsidRPr="00332DF6">
              <w:t>2006</w:t>
            </w:r>
            <w:r w:rsidR="00464D90" w:rsidRPr="00332DF6">
              <w:t>–</w:t>
            </w:r>
            <w:r w:rsidRPr="00332DF6">
              <w:t>12</w:t>
            </w:r>
          </w:p>
        </w:tc>
        <w:tc>
          <w:tcPr>
            <w:tcW w:w="920" w:type="dxa"/>
            <w:noWrap/>
            <w:hideMark/>
          </w:tcPr>
          <w:p w14:paraId="420DCB3A" w14:textId="77777777" w:rsidR="006B1681" w:rsidRPr="00332DF6" w:rsidRDefault="006B1681" w:rsidP="00332DF6">
            <w:pPr>
              <w:pStyle w:val="TableTextEntries"/>
            </w:pPr>
            <w:r w:rsidRPr="00332DF6">
              <w:t>2011</w:t>
            </w:r>
          </w:p>
        </w:tc>
        <w:tc>
          <w:tcPr>
            <w:tcW w:w="894" w:type="dxa"/>
            <w:noWrap/>
            <w:hideMark/>
          </w:tcPr>
          <w:p w14:paraId="420DCB3B" w14:textId="77777777" w:rsidR="006B1681" w:rsidRPr="00332DF6" w:rsidRDefault="006B1681" w:rsidP="00152088">
            <w:pPr>
              <w:pStyle w:val="TableTextEntries"/>
              <w:jc w:val="center"/>
            </w:pPr>
            <w:r w:rsidRPr="00332DF6">
              <w:t>Exempt</w:t>
            </w:r>
          </w:p>
        </w:tc>
        <w:tc>
          <w:tcPr>
            <w:tcW w:w="894" w:type="dxa"/>
            <w:noWrap/>
            <w:hideMark/>
          </w:tcPr>
          <w:p w14:paraId="420DCB3C" w14:textId="77777777" w:rsidR="006B1681" w:rsidRPr="00332DF6" w:rsidRDefault="006B1681" w:rsidP="00152088">
            <w:pPr>
              <w:pStyle w:val="TableTextEntries"/>
              <w:jc w:val="center"/>
            </w:pPr>
            <w:r w:rsidRPr="00332DF6">
              <w:t>Exempt</w:t>
            </w:r>
          </w:p>
        </w:tc>
        <w:tc>
          <w:tcPr>
            <w:tcW w:w="894" w:type="dxa"/>
            <w:noWrap/>
            <w:hideMark/>
          </w:tcPr>
          <w:p w14:paraId="420DCB3D" w14:textId="77777777" w:rsidR="006B1681" w:rsidRPr="00332DF6" w:rsidRDefault="006B1681" w:rsidP="00152088">
            <w:pPr>
              <w:pStyle w:val="TableTextEntries"/>
              <w:jc w:val="center"/>
            </w:pPr>
            <w:r w:rsidRPr="00332DF6">
              <w:t>Exempt</w:t>
            </w:r>
          </w:p>
        </w:tc>
        <w:tc>
          <w:tcPr>
            <w:tcW w:w="894" w:type="dxa"/>
            <w:noWrap/>
            <w:hideMark/>
          </w:tcPr>
          <w:p w14:paraId="420DCB3E" w14:textId="77777777" w:rsidR="006B1681" w:rsidRPr="00332DF6" w:rsidRDefault="006B1681" w:rsidP="00152088">
            <w:pPr>
              <w:pStyle w:val="TableTextEntries"/>
              <w:jc w:val="center"/>
            </w:pPr>
            <w:r w:rsidRPr="00332DF6">
              <w:t>Exempt</w:t>
            </w:r>
          </w:p>
        </w:tc>
        <w:tc>
          <w:tcPr>
            <w:tcW w:w="894" w:type="dxa"/>
            <w:noWrap/>
            <w:hideMark/>
          </w:tcPr>
          <w:p w14:paraId="420DCB3F" w14:textId="77777777" w:rsidR="006B1681" w:rsidRPr="00332DF6" w:rsidRDefault="006B1681" w:rsidP="00152088">
            <w:pPr>
              <w:pStyle w:val="TableTextEntries"/>
              <w:jc w:val="center"/>
            </w:pPr>
            <w:r w:rsidRPr="00332DF6">
              <w:t>Exempt</w:t>
            </w:r>
          </w:p>
        </w:tc>
        <w:tc>
          <w:tcPr>
            <w:tcW w:w="894" w:type="dxa"/>
            <w:noWrap/>
            <w:hideMark/>
          </w:tcPr>
          <w:p w14:paraId="420DCB40" w14:textId="77777777" w:rsidR="006B1681" w:rsidRPr="00332DF6" w:rsidRDefault="006B1681" w:rsidP="00152088">
            <w:pPr>
              <w:pStyle w:val="TableTextEntries"/>
              <w:jc w:val="center"/>
            </w:pPr>
            <w:r w:rsidRPr="00332DF6">
              <w:t>Exempt</w:t>
            </w:r>
          </w:p>
        </w:tc>
      </w:tr>
      <w:tr w:rsidR="006B1681" w:rsidRPr="00250BC3" w14:paraId="420DCB4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42" w14:textId="77777777" w:rsidR="006B1681" w:rsidRPr="00332DF6" w:rsidRDefault="006B1681" w:rsidP="00332DF6">
            <w:pPr>
              <w:pStyle w:val="TableTextEntries"/>
            </w:pPr>
          </w:p>
        </w:tc>
        <w:tc>
          <w:tcPr>
            <w:tcW w:w="887" w:type="dxa"/>
            <w:vMerge/>
            <w:hideMark/>
          </w:tcPr>
          <w:p w14:paraId="420DCB43" w14:textId="77777777" w:rsidR="006B1681" w:rsidRPr="00332DF6" w:rsidRDefault="006B1681" w:rsidP="00332DF6">
            <w:pPr>
              <w:pStyle w:val="TableTextEntries"/>
            </w:pPr>
          </w:p>
        </w:tc>
        <w:tc>
          <w:tcPr>
            <w:tcW w:w="1840" w:type="dxa"/>
            <w:vMerge/>
            <w:hideMark/>
          </w:tcPr>
          <w:p w14:paraId="420DCB44" w14:textId="77777777" w:rsidR="006B1681" w:rsidRPr="00332DF6" w:rsidRDefault="006B1681" w:rsidP="00332DF6">
            <w:pPr>
              <w:pStyle w:val="TableTextEntries"/>
            </w:pPr>
          </w:p>
        </w:tc>
        <w:tc>
          <w:tcPr>
            <w:tcW w:w="1128" w:type="dxa"/>
            <w:vMerge/>
            <w:hideMark/>
          </w:tcPr>
          <w:p w14:paraId="420DCB45" w14:textId="77777777" w:rsidR="006B1681" w:rsidRPr="00332DF6" w:rsidRDefault="006B1681" w:rsidP="00332DF6">
            <w:pPr>
              <w:pStyle w:val="TableTextEntries"/>
            </w:pPr>
          </w:p>
        </w:tc>
        <w:tc>
          <w:tcPr>
            <w:tcW w:w="920" w:type="dxa"/>
            <w:noWrap/>
            <w:hideMark/>
          </w:tcPr>
          <w:p w14:paraId="420DCB46" w14:textId="77777777" w:rsidR="006B1681" w:rsidRPr="00332DF6" w:rsidRDefault="006B1681" w:rsidP="00332DF6">
            <w:pPr>
              <w:pStyle w:val="TableTextEntries"/>
            </w:pPr>
            <w:r w:rsidRPr="00332DF6">
              <w:t>2012</w:t>
            </w:r>
          </w:p>
        </w:tc>
        <w:tc>
          <w:tcPr>
            <w:tcW w:w="894" w:type="dxa"/>
            <w:noWrap/>
            <w:hideMark/>
          </w:tcPr>
          <w:p w14:paraId="420DCB47" w14:textId="77777777" w:rsidR="006B1681" w:rsidRPr="00332DF6" w:rsidRDefault="006B1681" w:rsidP="00152088">
            <w:pPr>
              <w:pStyle w:val="TableTextEntries"/>
              <w:jc w:val="center"/>
            </w:pPr>
            <w:r w:rsidRPr="00332DF6">
              <w:t>N/A</w:t>
            </w:r>
          </w:p>
        </w:tc>
        <w:tc>
          <w:tcPr>
            <w:tcW w:w="894" w:type="dxa"/>
            <w:noWrap/>
            <w:hideMark/>
          </w:tcPr>
          <w:p w14:paraId="420DCB48" w14:textId="77777777" w:rsidR="006B1681" w:rsidRPr="00332DF6" w:rsidRDefault="006B1681" w:rsidP="00152088">
            <w:pPr>
              <w:pStyle w:val="TableTextEntries"/>
              <w:jc w:val="center"/>
            </w:pPr>
            <w:r w:rsidRPr="00332DF6">
              <w:t>N/A</w:t>
            </w:r>
          </w:p>
        </w:tc>
        <w:tc>
          <w:tcPr>
            <w:tcW w:w="894" w:type="dxa"/>
            <w:noWrap/>
            <w:hideMark/>
          </w:tcPr>
          <w:p w14:paraId="420DCB49" w14:textId="77777777" w:rsidR="006B1681" w:rsidRPr="00332DF6" w:rsidRDefault="006B1681" w:rsidP="00152088">
            <w:pPr>
              <w:pStyle w:val="TableTextEntries"/>
              <w:jc w:val="center"/>
            </w:pPr>
            <w:r w:rsidRPr="00332DF6">
              <w:t>N/A</w:t>
            </w:r>
          </w:p>
        </w:tc>
        <w:tc>
          <w:tcPr>
            <w:tcW w:w="894" w:type="dxa"/>
            <w:noWrap/>
            <w:hideMark/>
          </w:tcPr>
          <w:p w14:paraId="420DCB4A" w14:textId="77777777" w:rsidR="006B1681" w:rsidRPr="00332DF6" w:rsidRDefault="006B1681" w:rsidP="00152088">
            <w:pPr>
              <w:pStyle w:val="TableTextEntries"/>
              <w:jc w:val="center"/>
            </w:pPr>
            <w:r w:rsidRPr="00332DF6">
              <w:t>N/A</w:t>
            </w:r>
          </w:p>
        </w:tc>
        <w:tc>
          <w:tcPr>
            <w:tcW w:w="894" w:type="dxa"/>
            <w:noWrap/>
            <w:hideMark/>
          </w:tcPr>
          <w:p w14:paraId="420DCB4B" w14:textId="77777777" w:rsidR="006B1681" w:rsidRPr="00332DF6" w:rsidRDefault="006B1681" w:rsidP="00152088">
            <w:pPr>
              <w:pStyle w:val="TableTextEntries"/>
              <w:jc w:val="center"/>
            </w:pPr>
            <w:r w:rsidRPr="00332DF6">
              <w:t>N/A</w:t>
            </w:r>
          </w:p>
        </w:tc>
        <w:tc>
          <w:tcPr>
            <w:tcW w:w="894" w:type="dxa"/>
            <w:noWrap/>
            <w:hideMark/>
          </w:tcPr>
          <w:p w14:paraId="420DCB4C" w14:textId="77777777" w:rsidR="006B1681" w:rsidRPr="00332DF6" w:rsidRDefault="006B1681" w:rsidP="00152088">
            <w:pPr>
              <w:pStyle w:val="TableTextEntries"/>
              <w:jc w:val="center"/>
            </w:pPr>
            <w:r w:rsidRPr="00332DF6">
              <w:t>N/A</w:t>
            </w:r>
          </w:p>
        </w:tc>
      </w:tr>
      <w:tr w:rsidR="006B1681" w:rsidRPr="00250BC3" w14:paraId="420DCB59" w14:textId="77777777" w:rsidTr="00A84A34">
        <w:trPr>
          <w:tblHeader w:val="0"/>
        </w:trPr>
        <w:tc>
          <w:tcPr>
            <w:tcW w:w="2785" w:type="dxa"/>
            <w:vMerge w:val="restart"/>
            <w:hideMark/>
          </w:tcPr>
          <w:p w14:paraId="420DCB4E" w14:textId="77777777" w:rsidR="006B1681" w:rsidRPr="00332DF6" w:rsidRDefault="006B1681" w:rsidP="00332DF6">
            <w:pPr>
              <w:pStyle w:val="TableTextEntries"/>
            </w:pPr>
            <w:r w:rsidRPr="00332DF6">
              <w:t>Tackling NCDs in the Pacific</w:t>
            </w:r>
            <w:r w:rsidR="00283947" w:rsidRPr="00332DF6">
              <w:t xml:space="preserve"> </w:t>
            </w:r>
          </w:p>
        </w:tc>
        <w:tc>
          <w:tcPr>
            <w:tcW w:w="887" w:type="dxa"/>
            <w:vMerge w:val="restart"/>
            <w:noWrap/>
            <w:hideMark/>
          </w:tcPr>
          <w:p w14:paraId="420DCB4F" w14:textId="77777777" w:rsidR="006B1681" w:rsidRPr="00332DF6" w:rsidRDefault="006B1681" w:rsidP="00332DF6">
            <w:pPr>
              <w:pStyle w:val="TableTextEntries"/>
            </w:pPr>
            <w:r w:rsidRPr="00332DF6">
              <w:t>ING954</w:t>
            </w:r>
          </w:p>
        </w:tc>
        <w:tc>
          <w:tcPr>
            <w:tcW w:w="1840" w:type="dxa"/>
            <w:vMerge w:val="restart"/>
            <w:hideMark/>
          </w:tcPr>
          <w:p w14:paraId="420DCB50" w14:textId="77777777" w:rsidR="006B1681" w:rsidRPr="00332DF6" w:rsidRDefault="006B1681" w:rsidP="00332DF6">
            <w:pPr>
              <w:pStyle w:val="TableTextEntries"/>
            </w:pPr>
            <w:r w:rsidRPr="00332DF6">
              <w:t>$20,612,081.36</w:t>
            </w:r>
          </w:p>
        </w:tc>
        <w:tc>
          <w:tcPr>
            <w:tcW w:w="1128" w:type="dxa"/>
            <w:vMerge w:val="restart"/>
            <w:noWrap/>
            <w:hideMark/>
          </w:tcPr>
          <w:p w14:paraId="420DCB51" w14:textId="77777777" w:rsidR="006B1681" w:rsidRPr="00332DF6" w:rsidRDefault="006B1681" w:rsidP="00332DF6">
            <w:pPr>
              <w:pStyle w:val="TableTextEntries"/>
            </w:pPr>
            <w:r w:rsidRPr="00332DF6">
              <w:t>2006</w:t>
            </w:r>
            <w:r w:rsidR="00464D90" w:rsidRPr="00332DF6">
              <w:t>–</w:t>
            </w:r>
            <w:r w:rsidRPr="00332DF6">
              <w:t>12</w:t>
            </w:r>
          </w:p>
        </w:tc>
        <w:tc>
          <w:tcPr>
            <w:tcW w:w="920" w:type="dxa"/>
            <w:noWrap/>
            <w:hideMark/>
          </w:tcPr>
          <w:p w14:paraId="420DCB5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5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5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5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B56"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B5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B58" w14:textId="77777777" w:rsidR="006B1681" w:rsidRPr="00332DF6" w:rsidRDefault="006B1681" w:rsidP="00152088">
            <w:pPr>
              <w:pStyle w:val="TableTextEntries"/>
              <w:jc w:val="center"/>
            </w:pPr>
            <w:r w:rsidRPr="00332DF6">
              <w:t>3</w:t>
            </w:r>
          </w:p>
        </w:tc>
      </w:tr>
      <w:tr w:rsidR="006B1681" w:rsidRPr="00250BC3" w14:paraId="420DCB6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5A" w14:textId="77777777" w:rsidR="006B1681" w:rsidRPr="00332DF6" w:rsidRDefault="006B1681" w:rsidP="00332DF6">
            <w:pPr>
              <w:pStyle w:val="TableTextEntries"/>
            </w:pPr>
          </w:p>
        </w:tc>
        <w:tc>
          <w:tcPr>
            <w:tcW w:w="887" w:type="dxa"/>
            <w:vMerge/>
            <w:hideMark/>
          </w:tcPr>
          <w:p w14:paraId="420DCB5B" w14:textId="77777777" w:rsidR="006B1681" w:rsidRPr="00332DF6" w:rsidRDefault="006B1681" w:rsidP="00332DF6">
            <w:pPr>
              <w:pStyle w:val="TableTextEntries"/>
            </w:pPr>
          </w:p>
        </w:tc>
        <w:tc>
          <w:tcPr>
            <w:tcW w:w="1840" w:type="dxa"/>
            <w:vMerge/>
            <w:hideMark/>
          </w:tcPr>
          <w:p w14:paraId="420DCB5C" w14:textId="77777777" w:rsidR="006B1681" w:rsidRPr="00332DF6" w:rsidRDefault="006B1681" w:rsidP="00332DF6">
            <w:pPr>
              <w:pStyle w:val="TableTextEntries"/>
            </w:pPr>
          </w:p>
        </w:tc>
        <w:tc>
          <w:tcPr>
            <w:tcW w:w="1128" w:type="dxa"/>
            <w:vMerge/>
            <w:hideMark/>
          </w:tcPr>
          <w:p w14:paraId="420DCB5D" w14:textId="77777777" w:rsidR="006B1681" w:rsidRPr="00332DF6" w:rsidRDefault="006B1681" w:rsidP="00332DF6">
            <w:pPr>
              <w:pStyle w:val="TableTextEntries"/>
            </w:pPr>
          </w:p>
        </w:tc>
        <w:tc>
          <w:tcPr>
            <w:tcW w:w="920" w:type="dxa"/>
            <w:noWrap/>
            <w:hideMark/>
          </w:tcPr>
          <w:p w14:paraId="420DCB5E" w14:textId="77777777" w:rsidR="006B1681" w:rsidRPr="00332DF6" w:rsidRDefault="006B1681" w:rsidP="00332DF6">
            <w:pPr>
              <w:pStyle w:val="TableTextEntries"/>
            </w:pPr>
            <w:r w:rsidRPr="00332DF6">
              <w:t>2012</w:t>
            </w:r>
          </w:p>
        </w:tc>
        <w:tc>
          <w:tcPr>
            <w:tcW w:w="894" w:type="dxa"/>
            <w:shd w:val="clear" w:color="auto" w:fill="FFFF00"/>
            <w:noWrap/>
            <w:hideMark/>
          </w:tcPr>
          <w:p w14:paraId="420DCB5F"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60"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B61"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B6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63" w14:textId="77777777" w:rsidR="006B1681" w:rsidRPr="00332DF6" w:rsidRDefault="006B1681" w:rsidP="00152088">
            <w:pPr>
              <w:pStyle w:val="TableTextEntries"/>
              <w:jc w:val="center"/>
            </w:pPr>
            <w:r w:rsidRPr="00332DF6">
              <w:t>4</w:t>
            </w:r>
          </w:p>
        </w:tc>
        <w:tc>
          <w:tcPr>
            <w:tcW w:w="894" w:type="dxa"/>
            <w:shd w:val="clear" w:color="auto" w:fill="FF0000"/>
            <w:noWrap/>
            <w:hideMark/>
          </w:tcPr>
          <w:p w14:paraId="420DCB64" w14:textId="77777777" w:rsidR="006B1681" w:rsidRPr="00332DF6" w:rsidRDefault="006B1681" w:rsidP="00152088">
            <w:pPr>
              <w:pStyle w:val="TableTextEntries"/>
              <w:jc w:val="center"/>
            </w:pPr>
            <w:r w:rsidRPr="00332DF6">
              <w:t>2</w:t>
            </w:r>
          </w:p>
        </w:tc>
      </w:tr>
      <w:tr w:rsidR="006B1681" w:rsidRPr="00250BC3" w14:paraId="420DCB71" w14:textId="77777777" w:rsidTr="00A84A34">
        <w:trPr>
          <w:tblHeader w:val="0"/>
        </w:trPr>
        <w:tc>
          <w:tcPr>
            <w:tcW w:w="2785" w:type="dxa"/>
            <w:vMerge w:val="restart"/>
            <w:hideMark/>
          </w:tcPr>
          <w:p w14:paraId="420DCB66" w14:textId="77777777" w:rsidR="006B1681" w:rsidRPr="00332DF6" w:rsidRDefault="006B1681" w:rsidP="00332DF6">
            <w:pPr>
              <w:pStyle w:val="TableTextEntries"/>
            </w:pPr>
            <w:r w:rsidRPr="00332DF6">
              <w:t xml:space="preserve">Regional Rights Resource Team </w:t>
            </w:r>
          </w:p>
        </w:tc>
        <w:tc>
          <w:tcPr>
            <w:tcW w:w="887" w:type="dxa"/>
            <w:vMerge w:val="restart"/>
            <w:noWrap/>
            <w:hideMark/>
          </w:tcPr>
          <w:p w14:paraId="420DCB67" w14:textId="77777777" w:rsidR="006B1681" w:rsidRPr="00332DF6" w:rsidRDefault="006B1681" w:rsidP="00332DF6">
            <w:pPr>
              <w:pStyle w:val="TableTextEntries"/>
            </w:pPr>
            <w:r w:rsidRPr="00332DF6">
              <w:t>ING982</w:t>
            </w:r>
          </w:p>
        </w:tc>
        <w:tc>
          <w:tcPr>
            <w:tcW w:w="1840" w:type="dxa"/>
            <w:vMerge w:val="restart"/>
            <w:hideMark/>
          </w:tcPr>
          <w:p w14:paraId="420DCB68" w14:textId="77777777" w:rsidR="006B1681" w:rsidRPr="00332DF6" w:rsidRDefault="006B1681" w:rsidP="00332DF6">
            <w:pPr>
              <w:pStyle w:val="TableTextEntries"/>
            </w:pPr>
            <w:r w:rsidRPr="00332DF6">
              <w:t>$11,301,097.00</w:t>
            </w:r>
          </w:p>
        </w:tc>
        <w:tc>
          <w:tcPr>
            <w:tcW w:w="1128" w:type="dxa"/>
            <w:vMerge w:val="restart"/>
            <w:noWrap/>
            <w:hideMark/>
          </w:tcPr>
          <w:p w14:paraId="420DCB69" w14:textId="77777777" w:rsidR="006B1681" w:rsidRPr="00332DF6" w:rsidRDefault="006B1681" w:rsidP="00332DF6">
            <w:pPr>
              <w:pStyle w:val="TableTextEntries"/>
            </w:pPr>
            <w:r w:rsidRPr="00332DF6">
              <w:t>2006</w:t>
            </w:r>
            <w:r w:rsidR="00464D90" w:rsidRPr="00332DF6">
              <w:t>–</w:t>
            </w:r>
            <w:r w:rsidRPr="00332DF6">
              <w:t>12</w:t>
            </w:r>
          </w:p>
        </w:tc>
        <w:tc>
          <w:tcPr>
            <w:tcW w:w="920" w:type="dxa"/>
            <w:noWrap/>
            <w:hideMark/>
          </w:tcPr>
          <w:p w14:paraId="420DCB6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6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B6C"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B6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6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6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B70" w14:textId="77777777" w:rsidR="006B1681" w:rsidRPr="00332DF6" w:rsidRDefault="006B1681" w:rsidP="00152088">
            <w:pPr>
              <w:pStyle w:val="TableTextEntries"/>
              <w:jc w:val="center"/>
            </w:pPr>
            <w:r w:rsidRPr="00332DF6">
              <w:t>6</w:t>
            </w:r>
          </w:p>
        </w:tc>
      </w:tr>
      <w:tr w:rsidR="006B1681" w:rsidRPr="00250BC3" w14:paraId="420DCB7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72" w14:textId="77777777" w:rsidR="006B1681" w:rsidRPr="00332DF6" w:rsidRDefault="006B1681" w:rsidP="00332DF6">
            <w:pPr>
              <w:pStyle w:val="TableTextEntries"/>
            </w:pPr>
          </w:p>
        </w:tc>
        <w:tc>
          <w:tcPr>
            <w:tcW w:w="887" w:type="dxa"/>
            <w:vMerge/>
            <w:hideMark/>
          </w:tcPr>
          <w:p w14:paraId="420DCB73" w14:textId="77777777" w:rsidR="006B1681" w:rsidRPr="00332DF6" w:rsidRDefault="006B1681" w:rsidP="00332DF6">
            <w:pPr>
              <w:pStyle w:val="TableTextEntries"/>
            </w:pPr>
          </w:p>
        </w:tc>
        <w:tc>
          <w:tcPr>
            <w:tcW w:w="1840" w:type="dxa"/>
            <w:vMerge/>
            <w:hideMark/>
          </w:tcPr>
          <w:p w14:paraId="420DCB74" w14:textId="77777777" w:rsidR="006B1681" w:rsidRPr="00332DF6" w:rsidRDefault="006B1681" w:rsidP="00332DF6">
            <w:pPr>
              <w:pStyle w:val="TableTextEntries"/>
            </w:pPr>
          </w:p>
        </w:tc>
        <w:tc>
          <w:tcPr>
            <w:tcW w:w="1128" w:type="dxa"/>
            <w:vMerge/>
            <w:hideMark/>
          </w:tcPr>
          <w:p w14:paraId="420DCB75" w14:textId="77777777" w:rsidR="006B1681" w:rsidRPr="00332DF6" w:rsidRDefault="006B1681" w:rsidP="00332DF6">
            <w:pPr>
              <w:pStyle w:val="TableTextEntries"/>
            </w:pPr>
          </w:p>
        </w:tc>
        <w:tc>
          <w:tcPr>
            <w:tcW w:w="920" w:type="dxa"/>
            <w:noWrap/>
            <w:hideMark/>
          </w:tcPr>
          <w:p w14:paraId="420DCB76" w14:textId="77777777" w:rsidR="006B1681" w:rsidRPr="00332DF6" w:rsidRDefault="006B1681" w:rsidP="00332DF6">
            <w:pPr>
              <w:pStyle w:val="TableTextEntries"/>
            </w:pPr>
            <w:r w:rsidRPr="00332DF6">
              <w:t>2012</w:t>
            </w:r>
          </w:p>
        </w:tc>
        <w:tc>
          <w:tcPr>
            <w:tcW w:w="894" w:type="dxa"/>
            <w:shd w:val="clear" w:color="auto" w:fill="92D050"/>
            <w:noWrap/>
            <w:hideMark/>
          </w:tcPr>
          <w:p w14:paraId="420DCB77"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B78"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79"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B7A"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B7B"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7C" w14:textId="77777777" w:rsidR="006B1681" w:rsidRPr="00332DF6" w:rsidRDefault="006B1681" w:rsidP="00152088">
            <w:pPr>
              <w:pStyle w:val="TableTextEntries"/>
              <w:jc w:val="center"/>
            </w:pPr>
            <w:r w:rsidRPr="00332DF6">
              <w:t>6</w:t>
            </w:r>
          </w:p>
        </w:tc>
      </w:tr>
      <w:tr w:rsidR="006B1681" w:rsidRPr="00250BC3" w14:paraId="420DCB89" w14:textId="77777777" w:rsidTr="00A84A34">
        <w:trPr>
          <w:tblHeader w:val="0"/>
        </w:trPr>
        <w:tc>
          <w:tcPr>
            <w:tcW w:w="2785" w:type="dxa"/>
            <w:vMerge w:val="restart"/>
            <w:hideMark/>
          </w:tcPr>
          <w:p w14:paraId="420DCB7E" w14:textId="77777777" w:rsidR="006B1681" w:rsidRPr="00332DF6" w:rsidRDefault="006B1681" w:rsidP="00332DF6">
            <w:pPr>
              <w:pStyle w:val="TableTextEntries"/>
            </w:pPr>
            <w:r w:rsidRPr="00332DF6">
              <w:t>Pacific Islands Climate Prediction Phase 2</w:t>
            </w:r>
          </w:p>
        </w:tc>
        <w:tc>
          <w:tcPr>
            <w:tcW w:w="887" w:type="dxa"/>
            <w:vMerge w:val="restart"/>
            <w:noWrap/>
            <w:hideMark/>
          </w:tcPr>
          <w:p w14:paraId="420DCB7F" w14:textId="77777777" w:rsidR="006B1681" w:rsidRPr="00332DF6" w:rsidRDefault="006B1681" w:rsidP="00332DF6">
            <w:pPr>
              <w:pStyle w:val="TableTextEntries"/>
            </w:pPr>
            <w:r w:rsidRPr="00332DF6">
              <w:t>INH112</w:t>
            </w:r>
          </w:p>
        </w:tc>
        <w:tc>
          <w:tcPr>
            <w:tcW w:w="1840" w:type="dxa"/>
            <w:vMerge w:val="restart"/>
            <w:hideMark/>
          </w:tcPr>
          <w:p w14:paraId="420DCB80" w14:textId="77777777" w:rsidR="006B1681" w:rsidRPr="00332DF6" w:rsidRDefault="006B1681" w:rsidP="00332DF6">
            <w:pPr>
              <w:pStyle w:val="TableTextEntries"/>
            </w:pPr>
            <w:r w:rsidRPr="00332DF6">
              <w:t>$5,326,827.10</w:t>
            </w:r>
          </w:p>
        </w:tc>
        <w:tc>
          <w:tcPr>
            <w:tcW w:w="1128" w:type="dxa"/>
            <w:vMerge w:val="restart"/>
            <w:noWrap/>
            <w:hideMark/>
          </w:tcPr>
          <w:p w14:paraId="420DCB81" w14:textId="77777777" w:rsidR="006B1681" w:rsidRPr="00332DF6" w:rsidRDefault="006B1681" w:rsidP="00332DF6">
            <w:pPr>
              <w:pStyle w:val="TableTextEntries"/>
            </w:pPr>
            <w:r w:rsidRPr="00332DF6">
              <w:t>2007</w:t>
            </w:r>
            <w:r w:rsidR="00464D90" w:rsidRPr="00332DF6">
              <w:t>–</w:t>
            </w:r>
            <w:r w:rsidRPr="00332DF6">
              <w:t>11</w:t>
            </w:r>
          </w:p>
        </w:tc>
        <w:tc>
          <w:tcPr>
            <w:tcW w:w="920" w:type="dxa"/>
            <w:noWrap/>
            <w:hideMark/>
          </w:tcPr>
          <w:p w14:paraId="420DCB8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8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B8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B85"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8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8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88" w14:textId="77777777" w:rsidR="006B1681" w:rsidRPr="00332DF6" w:rsidRDefault="006B1681" w:rsidP="00152088">
            <w:pPr>
              <w:pStyle w:val="TableTextEntries"/>
              <w:jc w:val="center"/>
            </w:pPr>
            <w:r w:rsidRPr="00332DF6">
              <w:t>4</w:t>
            </w:r>
          </w:p>
        </w:tc>
      </w:tr>
      <w:tr w:rsidR="006B1681" w:rsidRPr="00250BC3" w14:paraId="420DCB9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8A" w14:textId="77777777" w:rsidR="006B1681" w:rsidRPr="00332DF6" w:rsidRDefault="006B1681" w:rsidP="00332DF6">
            <w:pPr>
              <w:pStyle w:val="TableTextEntries"/>
            </w:pPr>
          </w:p>
        </w:tc>
        <w:tc>
          <w:tcPr>
            <w:tcW w:w="887" w:type="dxa"/>
            <w:vMerge/>
            <w:hideMark/>
          </w:tcPr>
          <w:p w14:paraId="420DCB8B" w14:textId="77777777" w:rsidR="006B1681" w:rsidRPr="00332DF6" w:rsidRDefault="006B1681" w:rsidP="00332DF6">
            <w:pPr>
              <w:pStyle w:val="TableTextEntries"/>
            </w:pPr>
          </w:p>
        </w:tc>
        <w:tc>
          <w:tcPr>
            <w:tcW w:w="1840" w:type="dxa"/>
            <w:vMerge/>
            <w:hideMark/>
          </w:tcPr>
          <w:p w14:paraId="420DCB8C" w14:textId="77777777" w:rsidR="006B1681" w:rsidRPr="00332DF6" w:rsidRDefault="006B1681" w:rsidP="00332DF6">
            <w:pPr>
              <w:pStyle w:val="TableTextEntries"/>
            </w:pPr>
          </w:p>
        </w:tc>
        <w:tc>
          <w:tcPr>
            <w:tcW w:w="1128" w:type="dxa"/>
            <w:vMerge/>
            <w:hideMark/>
          </w:tcPr>
          <w:p w14:paraId="420DCB8D" w14:textId="77777777" w:rsidR="006B1681" w:rsidRPr="00332DF6" w:rsidRDefault="006B1681" w:rsidP="00332DF6">
            <w:pPr>
              <w:pStyle w:val="TableTextEntries"/>
            </w:pPr>
          </w:p>
        </w:tc>
        <w:tc>
          <w:tcPr>
            <w:tcW w:w="920" w:type="dxa"/>
            <w:noWrap/>
            <w:hideMark/>
          </w:tcPr>
          <w:p w14:paraId="420DCB8E" w14:textId="77777777" w:rsidR="006B1681" w:rsidRPr="00332DF6" w:rsidRDefault="006B1681" w:rsidP="00332DF6">
            <w:pPr>
              <w:pStyle w:val="TableTextEntries"/>
            </w:pPr>
            <w:r w:rsidRPr="00332DF6">
              <w:t>2012</w:t>
            </w:r>
          </w:p>
        </w:tc>
        <w:tc>
          <w:tcPr>
            <w:tcW w:w="894" w:type="dxa"/>
            <w:noWrap/>
            <w:hideMark/>
          </w:tcPr>
          <w:p w14:paraId="420DCB8F" w14:textId="77777777" w:rsidR="006B1681" w:rsidRPr="00332DF6" w:rsidRDefault="006B1681" w:rsidP="00152088">
            <w:pPr>
              <w:pStyle w:val="TableTextEntries"/>
              <w:jc w:val="center"/>
            </w:pPr>
            <w:r w:rsidRPr="00332DF6">
              <w:t>Exempt</w:t>
            </w:r>
          </w:p>
        </w:tc>
        <w:tc>
          <w:tcPr>
            <w:tcW w:w="894" w:type="dxa"/>
            <w:noWrap/>
            <w:hideMark/>
          </w:tcPr>
          <w:p w14:paraId="420DCB90" w14:textId="77777777" w:rsidR="006B1681" w:rsidRPr="00332DF6" w:rsidRDefault="006B1681" w:rsidP="00152088">
            <w:pPr>
              <w:pStyle w:val="TableTextEntries"/>
              <w:jc w:val="center"/>
            </w:pPr>
            <w:r w:rsidRPr="00332DF6">
              <w:t>Exempt</w:t>
            </w:r>
          </w:p>
        </w:tc>
        <w:tc>
          <w:tcPr>
            <w:tcW w:w="894" w:type="dxa"/>
            <w:noWrap/>
            <w:hideMark/>
          </w:tcPr>
          <w:p w14:paraId="420DCB91" w14:textId="77777777" w:rsidR="006B1681" w:rsidRPr="00332DF6" w:rsidRDefault="006B1681" w:rsidP="00152088">
            <w:pPr>
              <w:pStyle w:val="TableTextEntries"/>
              <w:jc w:val="center"/>
            </w:pPr>
            <w:r w:rsidRPr="00332DF6">
              <w:t>Exempt</w:t>
            </w:r>
          </w:p>
        </w:tc>
        <w:tc>
          <w:tcPr>
            <w:tcW w:w="894" w:type="dxa"/>
            <w:noWrap/>
            <w:hideMark/>
          </w:tcPr>
          <w:p w14:paraId="420DCB92" w14:textId="77777777" w:rsidR="006B1681" w:rsidRPr="00332DF6" w:rsidRDefault="006B1681" w:rsidP="00152088">
            <w:pPr>
              <w:pStyle w:val="TableTextEntries"/>
              <w:jc w:val="center"/>
            </w:pPr>
            <w:r w:rsidRPr="00332DF6">
              <w:t>Exempt</w:t>
            </w:r>
          </w:p>
        </w:tc>
        <w:tc>
          <w:tcPr>
            <w:tcW w:w="894" w:type="dxa"/>
            <w:noWrap/>
            <w:hideMark/>
          </w:tcPr>
          <w:p w14:paraId="420DCB93" w14:textId="77777777" w:rsidR="006B1681" w:rsidRPr="00332DF6" w:rsidRDefault="006B1681" w:rsidP="00152088">
            <w:pPr>
              <w:pStyle w:val="TableTextEntries"/>
              <w:jc w:val="center"/>
            </w:pPr>
            <w:r w:rsidRPr="00332DF6">
              <w:t>Exempt</w:t>
            </w:r>
          </w:p>
        </w:tc>
        <w:tc>
          <w:tcPr>
            <w:tcW w:w="894" w:type="dxa"/>
            <w:noWrap/>
            <w:hideMark/>
          </w:tcPr>
          <w:p w14:paraId="420DCB94" w14:textId="77777777" w:rsidR="006B1681" w:rsidRPr="00332DF6" w:rsidRDefault="006B1681" w:rsidP="00152088">
            <w:pPr>
              <w:pStyle w:val="TableTextEntries"/>
              <w:jc w:val="center"/>
            </w:pPr>
            <w:r w:rsidRPr="00332DF6">
              <w:t>Exempt</w:t>
            </w:r>
          </w:p>
        </w:tc>
      </w:tr>
      <w:tr w:rsidR="006B1681" w:rsidRPr="00250BC3" w14:paraId="420DCBA1" w14:textId="77777777" w:rsidTr="00A84A34">
        <w:trPr>
          <w:tblHeader w:val="0"/>
        </w:trPr>
        <w:tc>
          <w:tcPr>
            <w:tcW w:w="2785" w:type="dxa"/>
            <w:vMerge w:val="restart"/>
            <w:hideMark/>
          </w:tcPr>
          <w:p w14:paraId="420DCB96" w14:textId="77777777" w:rsidR="006B1681" w:rsidRPr="00332DF6" w:rsidRDefault="006B1681" w:rsidP="00332DF6">
            <w:pPr>
              <w:pStyle w:val="TableTextEntries"/>
            </w:pPr>
            <w:r w:rsidRPr="00332DF6">
              <w:t>Pacific Leadership Program</w:t>
            </w:r>
          </w:p>
        </w:tc>
        <w:tc>
          <w:tcPr>
            <w:tcW w:w="887" w:type="dxa"/>
            <w:vMerge w:val="restart"/>
            <w:noWrap/>
            <w:hideMark/>
          </w:tcPr>
          <w:p w14:paraId="420DCB97" w14:textId="77777777" w:rsidR="006B1681" w:rsidRPr="00332DF6" w:rsidRDefault="006B1681" w:rsidP="00332DF6">
            <w:pPr>
              <w:pStyle w:val="TableTextEntries"/>
            </w:pPr>
            <w:r w:rsidRPr="00332DF6">
              <w:t>INH528</w:t>
            </w:r>
          </w:p>
        </w:tc>
        <w:tc>
          <w:tcPr>
            <w:tcW w:w="1840" w:type="dxa"/>
            <w:vMerge w:val="restart"/>
            <w:hideMark/>
          </w:tcPr>
          <w:p w14:paraId="420DCB98" w14:textId="77777777" w:rsidR="006B1681" w:rsidRPr="00332DF6" w:rsidRDefault="006B1681" w:rsidP="00332DF6">
            <w:pPr>
              <w:pStyle w:val="TableTextEntries"/>
            </w:pPr>
            <w:r w:rsidRPr="00332DF6">
              <w:t>$45,499,733.49</w:t>
            </w:r>
          </w:p>
        </w:tc>
        <w:tc>
          <w:tcPr>
            <w:tcW w:w="1128" w:type="dxa"/>
            <w:vMerge w:val="restart"/>
            <w:noWrap/>
            <w:hideMark/>
          </w:tcPr>
          <w:p w14:paraId="420DCB99" w14:textId="77777777" w:rsidR="006B1681" w:rsidRPr="00332DF6" w:rsidRDefault="006B1681" w:rsidP="00332DF6">
            <w:pPr>
              <w:pStyle w:val="TableTextEntries"/>
            </w:pPr>
            <w:r w:rsidRPr="00332DF6">
              <w:t>2007</w:t>
            </w:r>
            <w:r w:rsidR="00464D90" w:rsidRPr="00332DF6">
              <w:t>–</w:t>
            </w:r>
            <w:r w:rsidRPr="00332DF6">
              <w:t>13</w:t>
            </w:r>
          </w:p>
        </w:tc>
        <w:tc>
          <w:tcPr>
            <w:tcW w:w="920" w:type="dxa"/>
            <w:noWrap/>
            <w:hideMark/>
          </w:tcPr>
          <w:p w14:paraId="420DCB9A" w14:textId="77777777" w:rsidR="006B1681" w:rsidRPr="00332DF6" w:rsidRDefault="006B1681" w:rsidP="00332DF6">
            <w:pPr>
              <w:pStyle w:val="TableTextEntries"/>
            </w:pPr>
            <w:r w:rsidRPr="00332DF6">
              <w:t>2011</w:t>
            </w:r>
          </w:p>
        </w:tc>
        <w:tc>
          <w:tcPr>
            <w:tcW w:w="894" w:type="dxa"/>
            <w:tcBorders>
              <w:top w:val="nil"/>
              <w:bottom w:val="nil"/>
            </w:tcBorders>
            <w:shd w:val="clear" w:color="auto" w:fill="FFFF00"/>
            <w:noWrap/>
            <w:hideMark/>
          </w:tcPr>
          <w:p w14:paraId="420DCB9B"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9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B9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9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B9F"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A0" w14:textId="77777777" w:rsidR="006B1681" w:rsidRPr="00332DF6" w:rsidRDefault="006B1681" w:rsidP="00152088">
            <w:pPr>
              <w:pStyle w:val="TableTextEntries"/>
              <w:jc w:val="center"/>
            </w:pPr>
            <w:r w:rsidRPr="00332DF6">
              <w:t>4</w:t>
            </w:r>
          </w:p>
        </w:tc>
      </w:tr>
      <w:tr w:rsidR="006B1681" w:rsidRPr="00250BC3" w14:paraId="420DCBA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A2" w14:textId="77777777" w:rsidR="006B1681" w:rsidRPr="00332DF6" w:rsidRDefault="006B1681" w:rsidP="00332DF6">
            <w:pPr>
              <w:pStyle w:val="TableTextEntries"/>
            </w:pPr>
          </w:p>
        </w:tc>
        <w:tc>
          <w:tcPr>
            <w:tcW w:w="887" w:type="dxa"/>
            <w:vMerge/>
            <w:hideMark/>
          </w:tcPr>
          <w:p w14:paraId="420DCBA3" w14:textId="77777777" w:rsidR="006B1681" w:rsidRPr="00332DF6" w:rsidRDefault="006B1681" w:rsidP="00332DF6">
            <w:pPr>
              <w:pStyle w:val="TableTextEntries"/>
            </w:pPr>
          </w:p>
        </w:tc>
        <w:tc>
          <w:tcPr>
            <w:tcW w:w="1840" w:type="dxa"/>
            <w:vMerge/>
            <w:hideMark/>
          </w:tcPr>
          <w:p w14:paraId="420DCBA4" w14:textId="77777777" w:rsidR="006B1681" w:rsidRPr="00332DF6" w:rsidRDefault="006B1681" w:rsidP="00332DF6">
            <w:pPr>
              <w:pStyle w:val="TableTextEntries"/>
            </w:pPr>
          </w:p>
        </w:tc>
        <w:tc>
          <w:tcPr>
            <w:tcW w:w="1128" w:type="dxa"/>
            <w:vMerge/>
            <w:hideMark/>
          </w:tcPr>
          <w:p w14:paraId="420DCBA5" w14:textId="77777777" w:rsidR="006B1681" w:rsidRPr="00332DF6" w:rsidRDefault="006B1681" w:rsidP="00332DF6">
            <w:pPr>
              <w:pStyle w:val="TableTextEntries"/>
            </w:pPr>
          </w:p>
        </w:tc>
        <w:tc>
          <w:tcPr>
            <w:tcW w:w="920" w:type="dxa"/>
            <w:noWrap/>
            <w:hideMark/>
          </w:tcPr>
          <w:p w14:paraId="420DCBA6" w14:textId="77777777" w:rsidR="006B1681" w:rsidRPr="00332DF6" w:rsidRDefault="006B1681" w:rsidP="00332DF6">
            <w:pPr>
              <w:pStyle w:val="TableTextEntries"/>
            </w:pPr>
            <w:r w:rsidRPr="00332DF6">
              <w:t>2012</w:t>
            </w:r>
          </w:p>
        </w:tc>
        <w:tc>
          <w:tcPr>
            <w:tcW w:w="894" w:type="dxa"/>
            <w:shd w:val="clear" w:color="auto" w:fill="92D050"/>
            <w:noWrap/>
            <w:hideMark/>
          </w:tcPr>
          <w:p w14:paraId="420DCBA7" w14:textId="77777777" w:rsidR="006B1681" w:rsidRPr="00332DF6" w:rsidRDefault="006B1681" w:rsidP="00152088">
            <w:pPr>
              <w:pStyle w:val="TableTextEntries"/>
              <w:jc w:val="center"/>
            </w:pPr>
            <w:r w:rsidRPr="00332DF6">
              <w:t>6</w:t>
            </w:r>
          </w:p>
        </w:tc>
        <w:tc>
          <w:tcPr>
            <w:tcW w:w="894" w:type="dxa"/>
            <w:shd w:val="clear" w:color="auto" w:fill="FFFF00"/>
            <w:noWrap/>
            <w:hideMark/>
          </w:tcPr>
          <w:p w14:paraId="420DCBA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A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A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AB"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AC" w14:textId="77777777" w:rsidR="006B1681" w:rsidRPr="00332DF6" w:rsidRDefault="006B1681" w:rsidP="00152088">
            <w:pPr>
              <w:pStyle w:val="TableTextEntries"/>
              <w:jc w:val="center"/>
            </w:pPr>
            <w:r w:rsidRPr="00332DF6">
              <w:t>4</w:t>
            </w:r>
          </w:p>
        </w:tc>
      </w:tr>
      <w:tr w:rsidR="006B1681" w:rsidRPr="00250BC3" w14:paraId="420DCBB9" w14:textId="77777777" w:rsidTr="00A84A34">
        <w:trPr>
          <w:tblHeader w:val="0"/>
        </w:trPr>
        <w:tc>
          <w:tcPr>
            <w:tcW w:w="2785" w:type="dxa"/>
            <w:vMerge w:val="restart"/>
            <w:hideMark/>
          </w:tcPr>
          <w:p w14:paraId="420DCBAE" w14:textId="77777777" w:rsidR="006B1681" w:rsidRPr="00332DF6" w:rsidRDefault="006B1681" w:rsidP="00332DF6">
            <w:pPr>
              <w:pStyle w:val="TableTextEntries"/>
            </w:pPr>
            <w:r w:rsidRPr="00332DF6">
              <w:t>Pacific</w:t>
            </w:r>
            <w:r w:rsidR="00D12BCD" w:rsidRPr="00332DF6">
              <w:t>—</w:t>
            </w:r>
            <w:r w:rsidRPr="00332DF6">
              <w:t>Health System Strengthening</w:t>
            </w:r>
          </w:p>
        </w:tc>
        <w:tc>
          <w:tcPr>
            <w:tcW w:w="887" w:type="dxa"/>
            <w:vMerge w:val="restart"/>
            <w:noWrap/>
            <w:hideMark/>
          </w:tcPr>
          <w:p w14:paraId="420DCBAF" w14:textId="77777777" w:rsidR="006B1681" w:rsidRPr="00332DF6" w:rsidRDefault="006B1681" w:rsidP="00332DF6">
            <w:pPr>
              <w:pStyle w:val="TableTextEntries"/>
            </w:pPr>
            <w:r w:rsidRPr="00332DF6">
              <w:t>INH540</w:t>
            </w:r>
          </w:p>
        </w:tc>
        <w:tc>
          <w:tcPr>
            <w:tcW w:w="1840" w:type="dxa"/>
            <w:vMerge w:val="restart"/>
            <w:hideMark/>
          </w:tcPr>
          <w:p w14:paraId="420DCBB0" w14:textId="77777777" w:rsidR="006B1681" w:rsidRPr="00332DF6" w:rsidRDefault="006B1681" w:rsidP="00332DF6">
            <w:pPr>
              <w:pStyle w:val="TableTextEntries"/>
            </w:pPr>
            <w:r w:rsidRPr="00332DF6">
              <w:t>$17,859,192.06</w:t>
            </w:r>
          </w:p>
        </w:tc>
        <w:tc>
          <w:tcPr>
            <w:tcW w:w="1128" w:type="dxa"/>
            <w:vMerge w:val="restart"/>
            <w:noWrap/>
            <w:hideMark/>
          </w:tcPr>
          <w:p w14:paraId="420DCBB1" w14:textId="77777777" w:rsidR="006B1681" w:rsidRPr="00332DF6" w:rsidRDefault="006B1681" w:rsidP="00332DF6">
            <w:pPr>
              <w:pStyle w:val="TableTextEntries"/>
            </w:pPr>
            <w:r w:rsidRPr="00332DF6">
              <w:t>2007</w:t>
            </w:r>
            <w:r w:rsidR="00464D90" w:rsidRPr="00332DF6">
              <w:t>–</w:t>
            </w:r>
            <w:r w:rsidRPr="00332DF6">
              <w:t>12</w:t>
            </w:r>
          </w:p>
        </w:tc>
        <w:tc>
          <w:tcPr>
            <w:tcW w:w="920" w:type="dxa"/>
            <w:noWrap/>
            <w:hideMark/>
          </w:tcPr>
          <w:p w14:paraId="420DCBB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B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B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B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BB6"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BB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0000"/>
            <w:noWrap/>
            <w:hideMark/>
          </w:tcPr>
          <w:p w14:paraId="420DCBB8" w14:textId="77777777" w:rsidR="006B1681" w:rsidRPr="00332DF6" w:rsidRDefault="006B1681" w:rsidP="00152088">
            <w:pPr>
              <w:pStyle w:val="TableTextEntries"/>
              <w:jc w:val="center"/>
            </w:pPr>
            <w:r w:rsidRPr="00332DF6">
              <w:t>2</w:t>
            </w:r>
          </w:p>
        </w:tc>
      </w:tr>
      <w:tr w:rsidR="006B1681" w:rsidRPr="00250BC3" w14:paraId="420DCBC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BA" w14:textId="77777777" w:rsidR="006B1681" w:rsidRPr="00332DF6" w:rsidRDefault="006B1681" w:rsidP="00332DF6">
            <w:pPr>
              <w:pStyle w:val="TableTextEntries"/>
            </w:pPr>
          </w:p>
        </w:tc>
        <w:tc>
          <w:tcPr>
            <w:tcW w:w="887" w:type="dxa"/>
            <w:vMerge/>
            <w:hideMark/>
          </w:tcPr>
          <w:p w14:paraId="420DCBBB" w14:textId="77777777" w:rsidR="006B1681" w:rsidRPr="00332DF6" w:rsidRDefault="006B1681" w:rsidP="00332DF6">
            <w:pPr>
              <w:pStyle w:val="TableTextEntries"/>
            </w:pPr>
          </w:p>
        </w:tc>
        <w:tc>
          <w:tcPr>
            <w:tcW w:w="1840" w:type="dxa"/>
            <w:vMerge/>
            <w:hideMark/>
          </w:tcPr>
          <w:p w14:paraId="420DCBBC" w14:textId="77777777" w:rsidR="006B1681" w:rsidRPr="00332DF6" w:rsidRDefault="006B1681" w:rsidP="00332DF6">
            <w:pPr>
              <w:pStyle w:val="TableTextEntries"/>
            </w:pPr>
          </w:p>
        </w:tc>
        <w:tc>
          <w:tcPr>
            <w:tcW w:w="1128" w:type="dxa"/>
            <w:vMerge/>
            <w:hideMark/>
          </w:tcPr>
          <w:p w14:paraId="420DCBBD" w14:textId="77777777" w:rsidR="006B1681" w:rsidRPr="00332DF6" w:rsidRDefault="006B1681" w:rsidP="00332DF6">
            <w:pPr>
              <w:pStyle w:val="TableTextEntries"/>
            </w:pPr>
          </w:p>
        </w:tc>
        <w:tc>
          <w:tcPr>
            <w:tcW w:w="920" w:type="dxa"/>
            <w:noWrap/>
            <w:hideMark/>
          </w:tcPr>
          <w:p w14:paraId="420DCBBE" w14:textId="77777777" w:rsidR="006B1681" w:rsidRPr="00332DF6" w:rsidRDefault="006B1681" w:rsidP="00332DF6">
            <w:pPr>
              <w:pStyle w:val="TableTextEntries"/>
            </w:pPr>
            <w:r w:rsidRPr="00332DF6">
              <w:t>2012</w:t>
            </w:r>
          </w:p>
        </w:tc>
        <w:tc>
          <w:tcPr>
            <w:tcW w:w="894" w:type="dxa"/>
            <w:shd w:val="clear" w:color="auto" w:fill="F79646" w:themeFill="accent6"/>
            <w:noWrap/>
            <w:hideMark/>
          </w:tcPr>
          <w:p w14:paraId="420DCBBF"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BC0"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BC1" w14:textId="77777777" w:rsidR="006B1681" w:rsidRPr="00332DF6" w:rsidRDefault="006B1681" w:rsidP="00152088">
            <w:pPr>
              <w:pStyle w:val="TableTextEntries"/>
              <w:jc w:val="center"/>
            </w:pPr>
            <w:r w:rsidRPr="00332DF6">
              <w:t>3</w:t>
            </w:r>
          </w:p>
        </w:tc>
        <w:tc>
          <w:tcPr>
            <w:tcW w:w="894" w:type="dxa"/>
            <w:shd w:val="clear" w:color="auto" w:fill="FF0000"/>
            <w:noWrap/>
            <w:hideMark/>
          </w:tcPr>
          <w:p w14:paraId="420DCBC2" w14:textId="77777777" w:rsidR="006B1681" w:rsidRPr="00332DF6" w:rsidRDefault="006B1681" w:rsidP="00152088">
            <w:pPr>
              <w:pStyle w:val="TableTextEntries"/>
              <w:jc w:val="center"/>
            </w:pPr>
            <w:r w:rsidRPr="00332DF6">
              <w:t>2</w:t>
            </w:r>
          </w:p>
        </w:tc>
        <w:tc>
          <w:tcPr>
            <w:tcW w:w="894" w:type="dxa"/>
            <w:shd w:val="clear" w:color="auto" w:fill="FFFF00"/>
            <w:noWrap/>
            <w:hideMark/>
          </w:tcPr>
          <w:p w14:paraId="420DCBC3"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BC4" w14:textId="77777777" w:rsidR="006B1681" w:rsidRPr="00332DF6" w:rsidRDefault="006B1681" w:rsidP="00152088">
            <w:pPr>
              <w:pStyle w:val="TableTextEntries"/>
              <w:jc w:val="center"/>
            </w:pPr>
            <w:r w:rsidRPr="00332DF6">
              <w:t>3</w:t>
            </w:r>
          </w:p>
        </w:tc>
      </w:tr>
      <w:tr w:rsidR="006B1681" w:rsidRPr="00250BC3" w14:paraId="420DCBD1" w14:textId="77777777" w:rsidTr="00A84A34">
        <w:trPr>
          <w:tblHeader w:val="0"/>
        </w:trPr>
        <w:tc>
          <w:tcPr>
            <w:tcW w:w="2785" w:type="dxa"/>
            <w:vMerge w:val="restart"/>
            <w:hideMark/>
          </w:tcPr>
          <w:p w14:paraId="420DCBC6" w14:textId="77777777" w:rsidR="006B1681" w:rsidRPr="00332DF6" w:rsidRDefault="006B1681" w:rsidP="00332DF6">
            <w:pPr>
              <w:pStyle w:val="TableTextEntries"/>
            </w:pPr>
            <w:r w:rsidRPr="00332DF6">
              <w:lastRenderedPageBreak/>
              <w:t>Pacific HIV &amp; STI Response Fund</w:t>
            </w:r>
          </w:p>
        </w:tc>
        <w:tc>
          <w:tcPr>
            <w:tcW w:w="887" w:type="dxa"/>
            <w:vMerge w:val="restart"/>
            <w:noWrap/>
            <w:hideMark/>
          </w:tcPr>
          <w:p w14:paraId="420DCBC7" w14:textId="77777777" w:rsidR="006B1681" w:rsidRPr="00332DF6" w:rsidRDefault="006B1681" w:rsidP="00332DF6">
            <w:pPr>
              <w:pStyle w:val="TableTextEntries"/>
            </w:pPr>
            <w:r w:rsidRPr="00332DF6">
              <w:t>INH796</w:t>
            </w:r>
          </w:p>
        </w:tc>
        <w:tc>
          <w:tcPr>
            <w:tcW w:w="1840" w:type="dxa"/>
            <w:vMerge w:val="restart"/>
            <w:hideMark/>
          </w:tcPr>
          <w:p w14:paraId="420DCBC8" w14:textId="77777777" w:rsidR="006B1681" w:rsidRPr="00332DF6" w:rsidRDefault="006B1681" w:rsidP="00332DF6">
            <w:pPr>
              <w:pStyle w:val="TableTextEntries"/>
            </w:pPr>
            <w:r w:rsidRPr="00332DF6">
              <w:t>$30,000,000.00</w:t>
            </w:r>
          </w:p>
        </w:tc>
        <w:tc>
          <w:tcPr>
            <w:tcW w:w="1128" w:type="dxa"/>
            <w:vMerge w:val="restart"/>
            <w:noWrap/>
            <w:hideMark/>
          </w:tcPr>
          <w:p w14:paraId="420DCBC9" w14:textId="77777777" w:rsidR="006B1681" w:rsidRPr="00332DF6" w:rsidRDefault="006B1681" w:rsidP="00332DF6">
            <w:pPr>
              <w:pStyle w:val="TableTextEntries"/>
            </w:pPr>
            <w:r w:rsidRPr="00332DF6">
              <w:t>2008</w:t>
            </w:r>
            <w:r w:rsidR="00464D90" w:rsidRPr="00332DF6">
              <w:t>–</w:t>
            </w:r>
            <w:r w:rsidRPr="00332DF6">
              <w:t>13</w:t>
            </w:r>
          </w:p>
        </w:tc>
        <w:tc>
          <w:tcPr>
            <w:tcW w:w="920" w:type="dxa"/>
            <w:noWrap/>
            <w:hideMark/>
          </w:tcPr>
          <w:p w14:paraId="420DCBC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C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C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BCD"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79646" w:themeFill="accent6"/>
            <w:noWrap/>
            <w:hideMark/>
          </w:tcPr>
          <w:p w14:paraId="420DCBCE"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BC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BD0" w14:textId="77777777" w:rsidR="006B1681" w:rsidRPr="00332DF6" w:rsidRDefault="006B1681" w:rsidP="00152088">
            <w:pPr>
              <w:pStyle w:val="TableTextEntries"/>
              <w:jc w:val="center"/>
            </w:pPr>
            <w:r w:rsidRPr="00332DF6">
              <w:t>3</w:t>
            </w:r>
          </w:p>
        </w:tc>
      </w:tr>
      <w:tr w:rsidR="006B1681" w:rsidRPr="00250BC3" w14:paraId="420DCBD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D2" w14:textId="77777777" w:rsidR="006B1681" w:rsidRPr="00332DF6" w:rsidRDefault="006B1681" w:rsidP="00332DF6">
            <w:pPr>
              <w:pStyle w:val="TableTextEntries"/>
            </w:pPr>
          </w:p>
        </w:tc>
        <w:tc>
          <w:tcPr>
            <w:tcW w:w="887" w:type="dxa"/>
            <w:vMerge/>
            <w:hideMark/>
          </w:tcPr>
          <w:p w14:paraId="420DCBD3" w14:textId="77777777" w:rsidR="006B1681" w:rsidRPr="00332DF6" w:rsidRDefault="006B1681" w:rsidP="00332DF6">
            <w:pPr>
              <w:pStyle w:val="TableTextEntries"/>
            </w:pPr>
          </w:p>
        </w:tc>
        <w:tc>
          <w:tcPr>
            <w:tcW w:w="1840" w:type="dxa"/>
            <w:vMerge/>
            <w:hideMark/>
          </w:tcPr>
          <w:p w14:paraId="420DCBD4" w14:textId="77777777" w:rsidR="006B1681" w:rsidRPr="00332DF6" w:rsidRDefault="006B1681" w:rsidP="00332DF6">
            <w:pPr>
              <w:pStyle w:val="TableTextEntries"/>
            </w:pPr>
          </w:p>
        </w:tc>
        <w:tc>
          <w:tcPr>
            <w:tcW w:w="1128" w:type="dxa"/>
            <w:vMerge/>
            <w:hideMark/>
          </w:tcPr>
          <w:p w14:paraId="420DCBD5" w14:textId="77777777" w:rsidR="006B1681" w:rsidRPr="00332DF6" w:rsidRDefault="006B1681" w:rsidP="00332DF6">
            <w:pPr>
              <w:pStyle w:val="TableTextEntries"/>
            </w:pPr>
          </w:p>
        </w:tc>
        <w:tc>
          <w:tcPr>
            <w:tcW w:w="920" w:type="dxa"/>
            <w:noWrap/>
            <w:hideMark/>
          </w:tcPr>
          <w:p w14:paraId="420DCBD6" w14:textId="77777777" w:rsidR="006B1681" w:rsidRPr="00332DF6" w:rsidRDefault="006B1681" w:rsidP="00332DF6">
            <w:pPr>
              <w:pStyle w:val="TableTextEntries"/>
            </w:pPr>
            <w:r w:rsidRPr="00332DF6">
              <w:t>2012</w:t>
            </w:r>
          </w:p>
        </w:tc>
        <w:tc>
          <w:tcPr>
            <w:tcW w:w="894" w:type="dxa"/>
            <w:shd w:val="clear" w:color="auto" w:fill="FFFF00"/>
            <w:noWrap/>
            <w:hideMark/>
          </w:tcPr>
          <w:p w14:paraId="420DCBD7"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BD8" w14:textId="77777777" w:rsidR="006B1681" w:rsidRPr="00332DF6" w:rsidRDefault="006B1681" w:rsidP="00152088">
            <w:pPr>
              <w:pStyle w:val="TableTextEntries"/>
              <w:jc w:val="center"/>
            </w:pPr>
            <w:r w:rsidRPr="00332DF6">
              <w:t>3</w:t>
            </w:r>
          </w:p>
        </w:tc>
        <w:tc>
          <w:tcPr>
            <w:tcW w:w="894" w:type="dxa"/>
            <w:shd w:val="clear" w:color="auto" w:fill="FF0000"/>
            <w:noWrap/>
            <w:hideMark/>
          </w:tcPr>
          <w:p w14:paraId="420DCBD9" w14:textId="77777777" w:rsidR="006B1681" w:rsidRPr="00332DF6" w:rsidRDefault="006B1681" w:rsidP="00152088">
            <w:pPr>
              <w:pStyle w:val="TableTextEntries"/>
              <w:jc w:val="center"/>
            </w:pPr>
            <w:r w:rsidRPr="00332DF6">
              <w:t>2</w:t>
            </w:r>
          </w:p>
        </w:tc>
        <w:tc>
          <w:tcPr>
            <w:tcW w:w="894" w:type="dxa"/>
            <w:shd w:val="clear" w:color="auto" w:fill="F79646" w:themeFill="accent6"/>
            <w:noWrap/>
            <w:hideMark/>
          </w:tcPr>
          <w:p w14:paraId="420DCBDA"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BDB"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BDC" w14:textId="77777777" w:rsidR="006B1681" w:rsidRPr="00332DF6" w:rsidRDefault="006B1681" w:rsidP="00152088">
            <w:pPr>
              <w:pStyle w:val="TableTextEntries"/>
              <w:jc w:val="center"/>
            </w:pPr>
            <w:r w:rsidRPr="00332DF6">
              <w:t>3</w:t>
            </w:r>
          </w:p>
        </w:tc>
      </w:tr>
      <w:tr w:rsidR="006B1681" w:rsidRPr="00250BC3" w14:paraId="420DCBE9" w14:textId="77777777" w:rsidTr="00332DF6">
        <w:trPr>
          <w:tblHeader w:val="0"/>
        </w:trPr>
        <w:tc>
          <w:tcPr>
            <w:tcW w:w="2785" w:type="dxa"/>
            <w:vMerge w:val="restart"/>
            <w:hideMark/>
          </w:tcPr>
          <w:p w14:paraId="420DCBDE" w14:textId="77777777" w:rsidR="006B1681" w:rsidRPr="00332DF6" w:rsidRDefault="006B1681" w:rsidP="00332DF6">
            <w:pPr>
              <w:pStyle w:val="TableTextEntries"/>
            </w:pPr>
            <w:r w:rsidRPr="00332DF6">
              <w:t xml:space="preserve">SPBEA Regional Qualifications Register: </w:t>
            </w:r>
            <w:r w:rsidR="00D12BCD" w:rsidRPr="00332DF6">
              <w:t>p</w:t>
            </w:r>
            <w:r w:rsidRPr="00332DF6">
              <w:t>hases 2</w:t>
            </w:r>
            <w:r w:rsidR="00464D90" w:rsidRPr="00332DF6">
              <w:t xml:space="preserve"> to </w:t>
            </w:r>
            <w:r w:rsidRPr="00332DF6">
              <w:t>6</w:t>
            </w:r>
          </w:p>
        </w:tc>
        <w:tc>
          <w:tcPr>
            <w:tcW w:w="887" w:type="dxa"/>
            <w:vMerge w:val="restart"/>
            <w:noWrap/>
            <w:hideMark/>
          </w:tcPr>
          <w:p w14:paraId="420DCBDF" w14:textId="77777777" w:rsidR="006B1681" w:rsidRPr="00332DF6" w:rsidRDefault="006B1681" w:rsidP="00332DF6">
            <w:pPr>
              <w:pStyle w:val="TableTextEntries"/>
            </w:pPr>
            <w:r w:rsidRPr="00332DF6">
              <w:t>INH852</w:t>
            </w:r>
          </w:p>
        </w:tc>
        <w:tc>
          <w:tcPr>
            <w:tcW w:w="1840" w:type="dxa"/>
            <w:vMerge w:val="restart"/>
            <w:hideMark/>
          </w:tcPr>
          <w:p w14:paraId="420DCBE0" w14:textId="77777777" w:rsidR="006B1681" w:rsidRPr="00332DF6" w:rsidRDefault="006B1681" w:rsidP="00332DF6">
            <w:pPr>
              <w:pStyle w:val="TableTextEntries"/>
            </w:pPr>
            <w:r w:rsidRPr="00332DF6">
              <w:t>$1,750,000.00</w:t>
            </w:r>
          </w:p>
        </w:tc>
        <w:tc>
          <w:tcPr>
            <w:tcW w:w="1128" w:type="dxa"/>
            <w:vMerge w:val="restart"/>
            <w:noWrap/>
            <w:hideMark/>
          </w:tcPr>
          <w:p w14:paraId="420DCBE1" w14:textId="77777777" w:rsidR="006B1681" w:rsidRPr="00332DF6" w:rsidRDefault="006B1681" w:rsidP="00332DF6">
            <w:pPr>
              <w:pStyle w:val="TableTextEntries"/>
            </w:pPr>
            <w:r w:rsidRPr="00332DF6">
              <w:t>2008</w:t>
            </w:r>
            <w:r w:rsidR="00464D90" w:rsidRPr="00332DF6">
              <w:t>–</w:t>
            </w:r>
            <w:r w:rsidRPr="00332DF6">
              <w:t>13</w:t>
            </w:r>
          </w:p>
        </w:tc>
        <w:tc>
          <w:tcPr>
            <w:tcW w:w="920" w:type="dxa"/>
            <w:noWrap/>
            <w:hideMark/>
          </w:tcPr>
          <w:p w14:paraId="420DCBE2" w14:textId="77777777" w:rsidR="006B1681" w:rsidRPr="00332DF6" w:rsidRDefault="006B1681" w:rsidP="00332DF6">
            <w:pPr>
              <w:pStyle w:val="TableTextEntries"/>
            </w:pPr>
            <w:r w:rsidRPr="00332DF6">
              <w:t>2011</w:t>
            </w:r>
          </w:p>
        </w:tc>
        <w:tc>
          <w:tcPr>
            <w:tcW w:w="894" w:type="dxa"/>
            <w:noWrap/>
            <w:hideMark/>
          </w:tcPr>
          <w:p w14:paraId="420DCBE3" w14:textId="77777777" w:rsidR="006B1681" w:rsidRPr="00332DF6" w:rsidRDefault="006B1681" w:rsidP="00152088">
            <w:pPr>
              <w:pStyle w:val="TableTextEntries"/>
              <w:jc w:val="center"/>
            </w:pPr>
            <w:r w:rsidRPr="00332DF6">
              <w:t>N/A</w:t>
            </w:r>
          </w:p>
        </w:tc>
        <w:tc>
          <w:tcPr>
            <w:tcW w:w="894" w:type="dxa"/>
            <w:noWrap/>
            <w:hideMark/>
          </w:tcPr>
          <w:p w14:paraId="420DCBE4" w14:textId="77777777" w:rsidR="006B1681" w:rsidRPr="00332DF6" w:rsidRDefault="006B1681" w:rsidP="00152088">
            <w:pPr>
              <w:pStyle w:val="TableTextEntries"/>
              <w:jc w:val="center"/>
            </w:pPr>
            <w:r w:rsidRPr="00332DF6">
              <w:t>N/A</w:t>
            </w:r>
          </w:p>
        </w:tc>
        <w:tc>
          <w:tcPr>
            <w:tcW w:w="894" w:type="dxa"/>
            <w:noWrap/>
            <w:hideMark/>
          </w:tcPr>
          <w:p w14:paraId="420DCBE5" w14:textId="77777777" w:rsidR="006B1681" w:rsidRPr="00332DF6" w:rsidRDefault="006B1681" w:rsidP="00152088">
            <w:pPr>
              <w:pStyle w:val="TableTextEntries"/>
              <w:jc w:val="center"/>
            </w:pPr>
            <w:r w:rsidRPr="00332DF6">
              <w:t>N/A</w:t>
            </w:r>
          </w:p>
        </w:tc>
        <w:tc>
          <w:tcPr>
            <w:tcW w:w="894" w:type="dxa"/>
            <w:noWrap/>
            <w:hideMark/>
          </w:tcPr>
          <w:p w14:paraId="420DCBE6" w14:textId="77777777" w:rsidR="006B1681" w:rsidRPr="00332DF6" w:rsidRDefault="006B1681" w:rsidP="00152088">
            <w:pPr>
              <w:pStyle w:val="TableTextEntries"/>
              <w:jc w:val="center"/>
            </w:pPr>
            <w:r w:rsidRPr="00332DF6">
              <w:t>N/A</w:t>
            </w:r>
          </w:p>
        </w:tc>
        <w:tc>
          <w:tcPr>
            <w:tcW w:w="894" w:type="dxa"/>
            <w:noWrap/>
            <w:hideMark/>
          </w:tcPr>
          <w:p w14:paraId="420DCBE7" w14:textId="77777777" w:rsidR="006B1681" w:rsidRPr="00332DF6" w:rsidRDefault="006B1681" w:rsidP="00152088">
            <w:pPr>
              <w:pStyle w:val="TableTextEntries"/>
              <w:jc w:val="center"/>
            </w:pPr>
            <w:r w:rsidRPr="00332DF6">
              <w:t>N/A</w:t>
            </w:r>
          </w:p>
        </w:tc>
        <w:tc>
          <w:tcPr>
            <w:tcW w:w="894" w:type="dxa"/>
            <w:noWrap/>
            <w:hideMark/>
          </w:tcPr>
          <w:p w14:paraId="420DCBE8" w14:textId="77777777" w:rsidR="006B1681" w:rsidRPr="00332DF6" w:rsidRDefault="006B1681" w:rsidP="00152088">
            <w:pPr>
              <w:pStyle w:val="TableTextEntries"/>
              <w:jc w:val="center"/>
            </w:pPr>
            <w:r w:rsidRPr="00332DF6">
              <w:t>N/A</w:t>
            </w:r>
          </w:p>
        </w:tc>
      </w:tr>
      <w:tr w:rsidR="006B1681" w:rsidRPr="00250BC3" w14:paraId="420DCBF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BEA" w14:textId="77777777" w:rsidR="006B1681" w:rsidRPr="00332DF6" w:rsidRDefault="006B1681" w:rsidP="00332DF6">
            <w:pPr>
              <w:pStyle w:val="TableTextEntries"/>
            </w:pPr>
          </w:p>
        </w:tc>
        <w:tc>
          <w:tcPr>
            <w:tcW w:w="887" w:type="dxa"/>
            <w:vMerge/>
            <w:hideMark/>
          </w:tcPr>
          <w:p w14:paraId="420DCBEB" w14:textId="77777777" w:rsidR="006B1681" w:rsidRPr="00332DF6" w:rsidRDefault="006B1681" w:rsidP="00332DF6">
            <w:pPr>
              <w:pStyle w:val="TableTextEntries"/>
            </w:pPr>
          </w:p>
        </w:tc>
        <w:tc>
          <w:tcPr>
            <w:tcW w:w="1840" w:type="dxa"/>
            <w:vMerge/>
            <w:hideMark/>
          </w:tcPr>
          <w:p w14:paraId="420DCBEC" w14:textId="77777777" w:rsidR="006B1681" w:rsidRPr="00332DF6" w:rsidRDefault="006B1681" w:rsidP="00332DF6">
            <w:pPr>
              <w:pStyle w:val="TableTextEntries"/>
            </w:pPr>
          </w:p>
        </w:tc>
        <w:tc>
          <w:tcPr>
            <w:tcW w:w="1128" w:type="dxa"/>
            <w:vMerge/>
            <w:hideMark/>
          </w:tcPr>
          <w:p w14:paraId="420DCBED" w14:textId="77777777" w:rsidR="006B1681" w:rsidRPr="00332DF6" w:rsidRDefault="006B1681" w:rsidP="00332DF6">
            <w:pPr>
              <w:pStyle w:val="TableTextEntries"/>
            </w:pPr>
          </w:p>
        </w:tc>
        <w:tc>
          <w:tcPr>
            <w:tcW w:w="920" w:type="dxa"/>
            <w:noWrap/>
            <w:hideMark/>
          </w:tcPr>
          <w:p w14:paraId="420DCBEE" w14:textId="77777777" w:rsidR="006B1681" w:rsidRPr="00332DF6" w:rsidRDefault="006B1681" w:rsidP="00332DF6">
            <w:pPr>
              <w:pStyle w:val="TableTextEntries"/>
            </w:pPr>
            <w:r w:rsidRPr="00332DF6">
              <w:t>2012</w:t>
            </w:r>
          </w:p>
        </w:tc>
        <w:tc>
          <w:tcPr>
            <w:tcW w:w="894" w:type="dxa"/>
            <w:shd w:val="clear" w:color="auto" w:fill="92D050"/>
            <w:noWrap/>
            <w:hideMark/>
          </w:tcPr>
          <w:p w14:paraId="420DCBEF"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BF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BF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BF2"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BF3"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BF4" w14:textId="77777777" w:rsidR="006B1681" w:rsidRPr="00332DF6" w:rsidRDefault="006B1681" w:rsidP="00152088">
            <w:pPr>
              <w:pStyle w:val="TableTextEntries"/>
              <w:jc w:val="center"/>
            </w:pPr>
            <w:r w:rsidRPr="00332DF6">
              <w:t>5</w:t>
            </w:r>
          </w:p>
        </w:tc>
      </w:tr>
      <w:tr w:rsidR="006B1681" w:rsidRPr="00250BC3" w14:paraId="420DCC01" w14:textId="77777777" w:rsidTr="00A84A34">
        <w:trPr>
          <w:tblHeader w:val="0"/>
        </w:trPr>
        <w:tc>
          <w:tcPr>
            <w:tcW w:w="2785" w:type="dxa"/>
            <w:vMerge w:val="restart"/>
            <w:hideMark/>
          </w:tcPr>
          <w:p w14:paraId="420DCBF6" w14:textId="77777777" w:rsidR="006B1681" w:rsidRPr="00332DF6" w:rsidRDefault="006B1681" w:rsidP="00332DF6">
            <w:pPr>
              <w:pStyle w:val="TableTextEntries"/>
            </w:pPr>
            <w:r w:rsidRPr="00332DF6">
              <w:t>Pacific Regional Audit Initiative</w:t>
            </w:r>
          </w:p>
        </w:tc>
        <w:tc>
          <w:tcPr>
            <w:tcW w:w="887" w:type="dxa"/>
            <w:vMerge w:val="restart"/>
            <w:noWrap/>
            <w:hideMark/>
          </w:tcPr>
          <w:p w14:paraId="420DCBF7" w14:textId="77777777" w:rsidR="006B1681" w:rsidRPr="00332DF6" w:rsidRDefault="006B1681" w:rsidP="00332DF6">
            <w:pPr>
              <w:pStyle w:val="TableTextEntries"/>
            </w:pPr>
            <w:r w:rsidRPr="00332DF6">
              <w:t>INI329</w:t>
            </w:r>
          </w:p>
        </w:tc>
        <w:tc>
          <w:tcPr>
            <w:tcW w:w="1840" w:type="dxa"/>
            <w:vMerge w:val="restart"/>
            <w:hideMark/>
          </w:tcPr>
          <w:p w14:paraId="420DCBF8" w14:textId="77777777" w:rsidR="006B1681" w:rsidRPr="00332DF6" w:rsidRDefault="006B1681" w:rsidP="00332DF6">
            <w:pPr>
              <w:pStyle w:val="TableTextEntries"/>
            </w:pPr>
            <w:r w:rsidRPr="00332DF6">
              <w:t>$4,300,000.00</w:t>
            </w:r>
          </w:p>
        </w:tc>
        <w:tc>
          <w:tcPr>
            <w:tcW w:w="1128" w:type="dxa"/>
            <w:vMerge w:val="restart"/>
            <w:noWrap/>
            <w:hideMark/>
          </w:tcPr>
          <w:p w14:paraId="420DCBF9" w14:textId="77777777" w:rsidR="006B1681" w:rsidRPr="00332DF6" w:rsidRDefault="006B1681" w:rsidP="00332DF6">
            <w:pPr>
              <w:pStyle w:val="TableTextEntries"/>
            </w:pPr>
            <w:r w:rsidRPr="00332DF6">
              <w:t>2008</w:t>
            </w:r>
            <w:r w:rsidR="00464D90" w:rsidRPr="00332DF6">
              <w:t>–</w:t>
            </w:r>
            <w:r w:rsidRPr="00332DF6">
              <w:t>12</w:t>
            </w:r>
          </w:p>
        </w:tc>
        <w:tc>
          <w:tcPr>
            <w:tcW w:w="920" w:type="dxa"/>
            <w:noWrap/>
            <w:hideMark/>
          </w:tcPr>
          <w:p w14:paraId="420DCBF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BF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BF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F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F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BF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00" w14:textId="77777777" w:rsidR="006B1681" w:rsidRPr="00332DF6" w:rsidRDefault="006B1681" w:rsidP="00152088">
            <w:pPr>
              <w:pStyle w:val="TableTextEntries"/>
              <w:jc w:val="center"/>
            </w:pPr>
            <w:r w:rsidRPr="00332DF6">
              <w:t>4</w:t>
            </w:r>
          </w:p>
        </w:tc>
      </w:tr>
      <w:tr w:rsidR="006B1681" w:rsidRPr="00250BC3" w14:paraId="420DCC0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02" w14:textId="77777777" w:rsidR="006B1681" w:rsidRPr="00332DF6" w:rsidRDefault="006B1681" w:rsidP="00332DF6">
            <w:pPr>
              <w:pStyle w:val="TableTextEntries"/>
            </w:pPr>
          </w:p>
        </w:tc>
        <w:tc>
          <w:tcPr>
            <w:tcW w:w="887" w:type="dxa"/>
            <w:vMerge/>
            <w:hideMark/>
          </w:tcPr>
          <w:p w14:paraId="420DCC03" w14:textId="77777777" w:rsidR="006B1681" w:rsidRPr="00332DF6" w:rsidRDefault="006B1681" w:rsidP="00332DF6">
            <w:pPr>
              <w:pStyle w:val="TableTextEntries"/>
            </w:pPr>
          </w:p>
        </w:tc>
        <w:tc>
          <w:tcPr>
            <w:tcW w:w="1840" w:type="dxa"/>
            <w:vMerge/>
            <w:hideMark/>
          </w:tcPr>
          <w:p w14:paraId="420DCC04" w14:textId="77777777" w:rsidR="006B1681" w:rsidRPr="00332DF6" w:rsidRDefault="006B1681" w:rsidP="00332DF6">
            <w:pPr>
              <w:pStyle w:val="TableTextEntries"/>
            </w:pPr>
          </w:p>
        </w:tc>
        <w:tc>
          <w:tcPr>
            <w:tcW w:w="1128" w:type="dxa"/>
            <w:vMerge/>
            <w:hideMark/>
          </w:tcPr>
          <w:p w14:paraId="420DCC05" w14:textId="77777777" w:rsidR="006B1681" w:rsidRPr="00332DF6" w:rsidRDefault="006B1681" w:rsidP="00332DF6">
            <w:pPr>
              <w:pStyle w:val="TableTextEntries"/>
            </w:pPr>
          </w:p>
        </w:tc>
        <w:tc>
          <w:tcPr>
            <w:tcW w:w="920" w:type="dxa"/>
            <w:noWrap/>
            <w:hideMark/>
          </w:tcPr>
          <w:p w14:paraId="420DCC06" w14:textId="77777777" w:rsidR="006B1681" w:rsidRPr="00332DF6" w:rsidRDefault="006B1681" w:rsidP="00332DF6">
            <w:pPr>
              <w:pStyle w:val="TableTextEntries"/>
            </w:pPr>
            <w:r w:rsidRPr="00332DF6">
              <w:t>2012</w:t>
            </w:r>
          </w:p>
        </w:tc>
        <w:tc>
          <w:tcPr>
            <w:tcW w:w="894" w:type="dxa"/>
            <w:shd w:val="clear" w:color="auto" w:fill="92D050"/>
            <w:noWrap/>
            <w:hideMark/>
          </w:tcPr>
          <w:p w14:paraId="420DCC0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C0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0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0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0B"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C0C" w14:textId="77777777" w:rsidR="006B1681" w:rsidRPr="00332DF6" w:rsidRDefault="006B1681" w:rsidP="00152088">
            <w:pPr>
              <w:pStyle w:val="TableTextEntries"/>
              <w:jc w:val="center"/>
            </w:pPr>
            <w:r w:rsidRPr="00332DF6">
              <w:t>3</w:t>
            </w:r>
          </w:p>
        </w:tc>
      </w:tr>
      <w:tr w:rsidR="006B1681" w:rsidRPr="00250BC3" w14:paraId="420DCC19" w14:textId="77777777" w:rsidTr="00332DF6">
        <w:trPr>
          <w:tblHeader w:val="0"/>
        </w:trPr>
        <w:tc>
          <w:tcPr>
            <w:tcW w:w="2785" w:type="dxa"/>
            <w:vMerge w:val="restart"/>
            <w:hideMark/>
          </w:tcPr>
          <w:p w14:paraId="420DCC0E" w14:textId="77777777" w:rsidR="006B1681" w:rsidRPr="00332DF6" w:rsidRDefault="006B1681" w:rsidP="00332DF6">
            <w:pPr>
              <w:pStyle w:val="TableTextEntries"/>
            </w:pPr>
            <w:r w:rsidRPr="00332DF6">
              <w:t xml:space="preserve">Pacific Biomedical Equipment Maintenance </w:t>
            </w:r>
          </w:p>
        </w:tc>
        <w:tc>
          <w:tcPr>
            <w:tcW w:w="887" w:type="dxa"/>
            <w:vMerge w:val="restart"/>
            <w:noWrap/>
            <w:hideMark/>
          </w:tcPr>
          <w:p w14:paraId="420DCC0F" w14:textId="77777777" w:rsidR="006B1681" w:rsidRPr="00332DF6" w:rsidRDefault="006B1681" w:rsidP="00332DF6">
            <w:pPr>
              <w:pStyle w:val="TableTextEntries"/>
            </w:pPr>
            <w:r w:rsidRPr="00332DF6">
              <w:t>INI421</w:t>
            </w:r>
          </w:p>
        </w:tc>
        <w:tc>
          <w:tcPr>
            <w:tcW w:w="1840" w:type="dxa"/>
            <w:vMerge w:val="restart"/>
            <w:hideMark/>
          </w:tcPr>
          <w:p w14:paraId="420DCC10" w14:textId="77777777" w:rsidR="006B1681" w:rsidRPr="00332DF6" w:rsidRDefault="006B1681" w:rsidP="00332DF6">
            <w:pPr>
              <w:pStyle w:val="TableTextEntries"/>
            </w:pPr>
            <w:r w:rsidRPr="00332DF6">
              <w:t>$4,195,706.62</w:t>
            </w:r>
          </w:p>
        </w:tc>
        <w:tc>
          <w:tcPr>
            <w:tcW w:w="1128" w:type="dxa"/>
            <w:vMerge w:val="restart"/>
            <w:noWrap/>
            <w:hideMark/>
          </w:tcPr>
          <w:p w14:paraId="420DCC11" w14:textId="77777777" w:rsidR="006B1681" w:rsidRPr="00332DF6" w:rsidRDefault="006B1681" w:rsidP="00332DF6">
            <w:pPr>
              <w:pStyle w:val="TableTextEntries"/>
            </w:pPr>
            <w:r w:rsidRPr="00332DF6">
              <w:t>2009</w:t>
            </w:r>
            <w:r w:rsidR="00464D90" w:rsidRPr="00332DF6">
              <w:t>–</w:t>
            </w:r>
            <w:r w:rsidRPr="00332DF6">
              <w:t>14</w:t>
            </w:r>
          </w:p>
        </w:tc>
        <w:tc>
          <w:tcPr>
            <w:tcW w:w="920" w:type="dxa"/>
            <w:noWrap/>
            <w:hideMark/>
          </w:tcPr>
          <w:p w14:paraId="420DCC12" w14:textId="77777777" w:rsidR="006B1681" w:rsidRPr="00332DF6" w:rsidRDefault="006B1681" w:rsidP="00332DF6">
            <w:pPr>
              <w:pStyle w:val="TableTextEntries"/>
            </w:pPr>
            <w:r w:rsidRPr="00332DF6">
              <w:t>2011</w:t>
            </w:r>
          </w:p>
        </w:tc>
        <w:tc>
          <w:tcPr>
            <w:tcW w:w="894" w:type="dxa"/>
            <w:noWrap/>
            <w:hideMark/>
          </w:tcPr>
          <w:p w14:paraId="420DCC13" w14:textId="77777777" w:rsidR="006B1681" w:rsidRPr="00332DF6" w:rsidRDefault="006B1681" w:rsidP="00152088">
            <w:pPr>
              <w:pStyle w:val="TableTextEntries"/>
              <w:jc w:val="center"/>
            </w:pPr>
            <w:r w:rsidRPr="00332DF6">
              <w:t>N/A</w:t>
            </w:r>
          </w:p>
        </w:tc>
        <w:tc>
          <w:tcPr>
            <w:tcW w:w="894" w:type="dxa"/>
            <w:noWrap/>
            <w:hideMark/>
          </w:tcPr>
          <w:p w14:paraId="420DCC14" w14:textId="77777777" w:rsidR="006B1681" w:rsidRPr="00332DF6" w:rsidRDefault="006B1681" w:rsidP="00152088">
            <w:pPr>
              <w:pStyle w:val="TableTextEntries"/>
              <w:jc w:val="center"/>
            </w:pPr>
            <w:r w:rsidRPr="00332DF6">
              <w:t>N/A</w:t>
            </w:r>
          </w:p>
        </w:tc>
        <w:tc>
          <w:tcPr>
            <w:tcW w:w="894" w:type="dxa"/>
            <w:noWrap/>
            <w:hideMark/>
          </w:tcPr>
          <w:p w14:paraId="420DCC15" w14:textId="77777777" w:rsidR="006B1681" w:rsidRPr="00332DF6" w:rsidRDefault="006B1681" w:rsidP="00152088">
            <w:pPr>
              <w:pStyle w:val="TableTextEntries"/>
              <w:jc w:val="center"/>
            </w:pPr>
            <w:r w:rsidRPr="00332DF6">
              <w:t>N/A</w:t>
            </w:r>
          </w:p>
        </w:tc>
        <w:tc>
          <w:tcPr>
            <w:tcW w:w="894" w:type="dxa"/>
            <w:noWrap/>
            <w:hideMark/>
          </w:tcPr>
          <w:p w14:paraId="420DCC16" w14:textId="77777777" w:rsidR="006B1681" w:rsidRPr="00332DF6" w:rsidRDefault="006B1681" w:rsidP="00152088">
            <w:pPr>
              <w:pStyle w:val="TableTextEntries"/>
              <w:jc w:val="center"/>
            </w:pPr>
            <w:r w:rsidRPr="00332DF6">
              <w:t>N/A</w:t>
            </w:r>
          </w:p>
        </w:tc>
        <w:tc>
          <w:tcPr>
            <w:tcW w:w="894" w:type="dxa"/>
            <w:noWrap/>
            <w:hideMark/>
          </w:tcPr>
          <w:p w14:paraId="420DCC17" w14:textId="77777777" w:rsidR="006B1681" w:rsidRPr="00332DF6" w:rsidRDefault="006B1681" w:rsidP="00152088">
            <w:pPr>
              <w:pStyle w:val="TableTextEntries"/>
              <w:jc w:val="center"/>
            </w:pPr>
            <w:r w:rsidRPr="00332DF6">
              <w:t>N/A</w:t>
            </w:r>
          </w:p>
        </w:tc>
        <w:tc>
          <w:tcPr>
            <w:tcW w:w="894" w:type="dxa"/>
            <w:noWrap/>
            <w:hideMark/>
          </w:tcPr>
          <w:p w14:paraId="420DCC18" w14:textId="77777777" w:rsidR="006B1681" w:rsidRPr="00332DF6" w:rsidRDefault="006B1681" w:rsidP="00152088">
            <w:pPr>
              <w:pStyle w:val="TableTextEntries"/>
              <w:jc w:val="center"/>
            </w:pPr>
            <w:r w:rsidRPr="00332DF6">
              <w:t>N/A</w:t>
            </w:r>
          </w:p>
        </w:tc>
      </w:tr>
      <w:tr w:rsidR="006B1681" w:rsidRPr="00250BC3" w14:paraId="420DCC2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1A" w14:textId="77777777" w:rsidR="006B1681" w:rsidRPr="00332DF6" w:rsidRDefault="006B1681" w:rsidP="00332DF6">
            <w:pPr>
              <w:pStyle w:val="TableTextEntries"/>
            </w:pPr>
          </w:p>
        </w:tc>
        <w:tc>
          <w:tcPr>
            <w:tcW w:w="887" w:type="dxa"/>
            <w:vMerge/>
            <w:hideMark/>
          </w:tcPr>
          <w:p w14:paraId="420DCC1B" w14:textId="77777777" w:rsidR="006B1681" w:rsidRPr="00332DF6" w:rsidRDefault="006B1681" w:rsidP="00332DF6">
            <w:pPr>
              <w:pStyle w:val="TableTextEntries"/>
            </w:pPr>
          </w:p>
        </w:tc>
        <w:tc>
          <w:tcPr>
            <w:tcW w:w="1840" w:type="dxa"/>
            <w:vMerge/>
            <w:hideMark/>
          </w:tcPr>
          <w:p w14:paraId="420DCC1C" w14:textId="77777777" w:rsidR="006B1681" w:rsidRPr="00332DF6" w:rsidRDefault="006B1681" w:rsidP="00332DF6">
            <w:pPr>
              <w:pStyle w:val="TableTextEntries"/>
            </w:pPr>
          </w:p>
        </w:tc>
        <w:tc>
          <w:tcPr>
            <w:tcW w:w="1128" w:type="dxa"/>
            <w:vMerge/>
            <w:hideMark/>
          </w:tcPr>
          <w:p w14:paraId="420DCC1D" w14:textId="77777777" w:rsidR="006B1681" w:rsidRPr="00332DF6" w:rsidRDefault="006B1681" w:rsidP="00332DF6">
            <w:pPr>
              <w:pStyle w:val="TableTextEntries"/>
            </w:pPr>
          </w:p>
        </w:tc>
        <w:tc>
          <w:tcPr>
            <w:tcW w:w="920" w:type="dxa"/>
            <w:noWrap/>
            <w:hideMark/>
          </w:tcPr>
          <w:p w14:paraId="420DCC1E" w14:textId="77777777" w:rsidR="006B1681" w:rsidRPr="00332DF6" w:rsidRDefault="006B1681" w:rsidP="00332DF6">
            <w:pPr>
              <w:pStyle w:val="TableTextEntries"/>
            </w:pPr>
            <w:r w:rsidRPr="00332DF6">
              <w:t>2012</w:t>
            </w:r>
          </w:p>
        </w:tc>
        <w:tc>
          <w:tcPr>
            <w:tcW w:w="894" w:type="dxa"/>
            <w:shd w:val="clear" w:color="auto" w:fill="F79646" w:themeFill="accent6"/>
            <w:noWrap/>
            <w:hideMark/>
          </w:tcPr>
          <w:p w14:paraId="420DCC1F"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C20"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C21"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C22"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C23"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C24" w14:textId="77777777" w:rsidR="006B1681" w:rsidRPr="00332DF6" w:rsidRDefault="006B1681" w:rsidP="00152088">
            <w:pPr>
              <w:pStyle w:val="TableTextEntries"/>
              <w:jc w:val="center"/>
            </w:pPr>
            <w:r w:rsidRPr="00332DF6">
              <w:t>4</w:t>
            </w:r>
          </w:p>
        </w:tc>
      </w:tr>
      <w:tr w:rsidR="006B1681" w:rsidRPr="00250BC3" w14:paraId="420DCC31" w14:textId="77777777" w:rsidTr="00A84A34">
        <w:trPr>
          <w:tblHeader w:val="0"/>
        </w:trPr>
        <w:tc>
          <w:tcPr>
            <w:tcW w:w="2785" w:type="dxa"/>
            <w:vMerge w:val="restart"/>
            <w:hideMark/>
          </w:tcPr>
          <w:p w14:paraId="420DCC26" w14:textId="77777777" w:rsidR="006B1681" w:rsidRPr="00332DF6" w:rsidRDefault="006B1681" w:rsidP="00332DF6">
            <w:pPr>
              <w:pStyle w:val="TableTextEntries"/>
            </w:pPr>
            <w:r w:rsidRPr="00332DF6">
              <w:t>Fiji Women</w:t>
            </w:r>
            <w:r w:rsidR="00464D90" w:rsidRPr="00332DF6">
              <w:t>’</w:t>
            </w:r>
            <w:r w:rsidRPr="00332DF6">
              <w:t>s Crisis Centre Phase 5</w:t>
            </w:r>
          </w:p>
        </w:tc>
        <w:tc>
          <w:tcPr>
            <w:tcW w:w="887" w:type="dxa"/>
            <w:vMerge w:val="restart"/>
            <w:noWrap/>
            <w:hideMark/>
          </w:tcPr>
          <w:p w14:paraId="420DCC27" w14:textId="77777777" w:rsidR="006B1681" w:rsidRPr="00332DF6" w:rsidRDefault="006B1681" w:rsidP="00332DF6">
            <w:pPr>
              <w:pStyle w:val="TableTextEntries"/>
            </w:pPr>
            <w:r w:rsidRPr="00332DF6">
              <w:t>INI598</w:t>
            </w:r>
          </w:p>
        </w:tc>
        <w:tc>
          <w:tcPr>
            <w:tcW w:w="1840" w:type="dxa"/>
            <w:vMerge w:val="restart"/>
            <w:hideMark/>
          </w:tcPr>
          <w:p w14:paraId="420DCC28" w14:textId="77777777" w:rsidR="006B1681" w:rsidRPr="00332DF6" w:rsidRDefault="006B1681" w:rsidP="00332DF6">
            <w:pPr>
              <w:pStyle w:val="TableTextEntries"/>
            </w:pPr>
            <w:r w:rsidRPr="00332DF6">
              <w:t>$8,447,499.68</w:t>
            </w:r>
          </w:p>
        </w:tc>
        <w:tc>
          <w:tcPr>
            <w:tcW w:w="1128" w:type="dxa"/>
            <w:vMerge w:val="restart"/>
            <w:noWrap/>
            <w:hideMark/>
          </w:tcPr>
          <w:p w14:paraId="420DCC29" w14:textId="77777777" w:rsidR="006B1681" w:rsidRPr="00332DF6" w:rsidRDefault="006B1681" w:rsidP="00332DF6">
            <w:pPr>
              <w:pStyle w:val="TableTextEntries"/>
            </w:pPr>
            <w:r w:rsidRPr="00332DF6">
              <w:t>2009</w:t>
            </w:r>
            <w:r w:rsidR="00464D90" w:rsidRPr="00332DF6">
              <w:t>–</w:t>
            </w:r>
            <w:r w:rsidRPr="00332DF6">
              <w:t>15</w:t>
            </w:r>
          </w:p>
        </w:tc>
        <w:tc>
          <w:tcPr>
            <w:tcW w:w="920" w:type="dxa"/>
            <w:noWrap/>
            <w:hideMark/>
          </w:tcPr>
          <w:p w14:paraId="420DCC2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C2B"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C2C"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C2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C2E"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C2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C30" w14:textId="77777777" w:rsidR="006B1681" w:rsidRPr="00332DF6" w:rsidRDefault="006B1681" w:rsidP="00152088">
            <w:pPr>
              <w:pStyle w:val="TableTextEntries"/>
              <w:jc w:val="center"/>
            </w:pPr>
            <w:r w:rsidRPr="00332DF6">
              <w:t>6</w:t>
            </w:r>
          </w:p>
        </w:tc>
      </w:tr>
      <w:tr w:rsidR="006B1681" w:rsidRPr="00250BC3" w14:paraId="420DCC3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32" w14:textId="77777777" w:rsidR="006B1681" w:rsidRPr="00332DF6" w:rsidRDefault="006B1681" w:rsidP="00332DF6">
            <w:pPr>
              <w:pStyle w:val="TableTextEntries"/>
            </w:pPr>
          </w:p>
        </w:tc>
        <w:tc>
          <w:tcPr>
            <w:tcW w:w="887" w:type="dxa"/>
            <w:vMerge/>
            <w:hideMark/>
          </w:tcPr>
          <w:p w14:paraId="420DCC33" w14:textId="77777777" w:rsidR="006B1681" w:rsidRPr="00332DF6" w:rsidRDefault="006B1681" w:rsidP="00332DF6">
            <w:pPr>
              <w:pStyle w:val="TableTextEntries"/>
            </w:pPr>
          </w:p>
        </w:tc>
        <w:tc>
          <w:tcPr>
            <w:tcW w:w="1840" w:type="dxa"/>
            <w:vMerge/>
            <w:hideMark/>
          </w:tcPr>
          <w:p w14:paraId="420DCC34" w14:textId="77777777" w:rsidR="006B1681" w:rsidRPr="00332DF6" w:rsidRDefault="006B1681" w:rsidP="00332DF6">
            <w:pPr>
              <w:pStyle w:val="TableTextEntries"/>
            </w:pPr>
          </w:p>
        </w:tc>
        <w:tc>
          <w:tcPr>
            <w:tcW w:w="1128" w:type="dxa"/>
            <w:vMerge/>
            <w:hideMark/>
          </w:tcPr>
          <w:p w14:paraId="420DCC35" w14:textId="77777777" w:rsidR="006B1681" w:rsidRPr="00332DF6" w:rsidRDefault="006B1681" w:rsidP="00332DF6">
            <w:pPr>
              <w:pStyle w:val="TableTextEntries"/>
            </w:pPr>
          </w:p>
        </w:tc>
        <w:tc>
          <w:tcPr>
            <w:tcW w:w="920" w:type="dxa"/>
            <w:noWrap/>
            <w:hideMark/>
          </w:tcPr>
          <w:p w14:paraId="420DCC36" w14:textId="77777777" w:rsidR="006B1681" w:rsidRPr="00332DF6" w:rsidRDefault="006B1681" w:rsidP="00332DF6">
            <w:pPr>
              <w:pStyle w:val="TableTextEntries"/>
            </w:pPr>
            <w:r w:rsidRPr="00332DF6">
              <w:t>2012</w:t>
            </w:r>
          </w:p>
        </w:tc>
        <w:tc>
          <w:tcPr>
            <w:tcW w:w="894" w:type="dxa"/>
            <w:shd w:val="clear" w:color="auto" w:fill="92D050"/>
            <w:noWrap/>
            <w:hideMark/>
          </w:tcPr>
          <w:p w14:paraId="420DCC37"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C38"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39"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3A"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C3B"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C3C" w14:textId="77777777" w:rsidR="006B1681" w:rsidRPr="00332DF6" w:rsidRDefault="006B1681" w:rsidP="00152088">
            <w:pPr>
              <w:pStyle w:val="TableTextEntries"/>
              <w:jc w:val="center"/>
            </w:pPr>
            <w:r w:rsidRPr="00332DF6">
              <w:t>6</w:t>
            </w:r>
          </w:p>
        </w:tc>
      </w:tr>
      <w:tr w:rsidR="006B1681" w:rsidRPr="00250BC3" w14:paraId="420DCC49" w14:textId="77777777" w:rsidTr="00332DF6">
        <w:trPr>
          <w:tblHeader w:val="0"/>
        </w:trPr>
        <w:tc>
          <w:tcPr>
            <w:tcW w:w="2785" w:type="dxa"/>
            <w:vMerge w:val="restart"/>
            <w:hideMark/>
          </w:tcPr>
          <w:p w14:paraId="420DCC3E" w14:textId="77777777" w:rsidR="006B1681" w:rsidRPr="00332DF6" w:rsidRDefault="006B1681" w:rsidP="00332DF6">
            <w:pPr>
              <w:pStyle w:val="TableTextEntries"/>
            </w:pPr>
            <w:r w:rsidRPr="00332DF6">
              <w:t>Pacific A</w:t>
            </w:r>
            <w:r w:rsidR="00283947" w:rsidRPr="00332DF6">
              <w:t xml:space="preserve">ustralia </w:t>
            </w:r>
            <w:r w:rsidRPr="00332DF6">
              <w:t>R</w:t>
            </w:r>
            <w:r w:rsidR="00283947" w:rsidRPr="00332DF6">
              <w:t xml:space="preserve">egional </w:t>
            </w:r>
            <w:r w:rsidRPr="00332DF6">
              <w:t>D</w:t>
            </w:r>
            <w:r w:rsidR="00283947" w:rsidRPr="00332DF6">
              <w:t xml:space="preserve">evelopment </w:t>
            </w:r>
            <w:r w:rsidRPr="00332DF6">
              <w:t>S</w:t>
            </w:r>
            <w:r w:rsidR="00283947" w:rsidRPr="00332DF6">
              <w:t>cholarships</w:t>
            </w:r>
            <w:r w:rsidRPr="00332DF6">
              <w:t xml:space="preserve"> </w:t>
            </w:r>
          </w:p>
        </w:tc>
        <w:tc>
          <w:tcPr>
            <w:tcW w:w="887" w:type="dxa"/>
            <w:vMerge w:val="restart"/>
            <w:noWrap/>
            <w:hideMark/>
          </w:tcPr>
          <w:p w14:paraId="420DCC3F" w14:textId="77777777" w:rsidR="006B1681" w:rsidRPr="00332DF6" w:rsidRDefault="006B1681" w:rsidP="00332DF6">
            <w:pPr>
              <w:pStyle w:val="TableTextEntries"/>
            </w:pPr>
            <w:r w:rsidRPr="00332DF6">
              <w:t>INI677</w:t>
            </w:r>
          </w:p>
        </w:tc>
        <w:tc>
          <w:tcPr>
            <w:tcW w:w="1840" w:type="dxa"/>
            <w:vMerge w:val="restart"/>
            <w:hideMark/>
          </w:tcPr>
          <w:p w14:paraId="420DCC40" w14:textId="77777777" w:rsidR="006B1681" w:rsidRPr="00332DF6" w:rsidRDefault="006B1681" w:rsidP="00332DF6">
            <w:pPr>
              <w:pStyle w:val="TableTextEntries"/>
            </w:pPr>
            <w:r w:rsidRPr="00332DF6">
              <w:t>$41,227,971.98</w:t>
            </w:r>
          </w:p>
        </w:tc>
        <w:tc>
          <w:tcPr>
            <w:tcW w:w="1128" w:type="dxa"/>
            <w:vMerge w:val="restart"/>
            <w:noWrap/>
            <w:hideMark/>
          </w:tcPr>
          <w:p w14:paraId="420DCC41" w14:textId="77777777" w:rsidR="006B1681" w:rsidRPr="00332DF6" w:rsidRDefault="006B1681" w:rsidP="00332DF6">
            <w:pPr>
              <w:pStyle w:val="TableTextEntries"/>
            </w:pPr>
            <w:r w:rsidRPr="00332DF6">
              <w:t>2009</w:t>
            </w:r>
            <w:r w:rsidR="00464D90" w:rsidRPr="00332DF6">
              <w:t>–</w:t>
            </w:r>
            <w:r w:rsidRPr="00332DF6">
              <w:t>16</w:t>
            </w:r>
          </w:p>
        </w:tc>
        <w:tc>
          <w:tcPr>
            <w:tcW w:w="920" w:type="dxa"/>
            <w:noWrap/>
            <w:hideMark/>
          </w:tcPr>
          <w:p w14:paraId="420DCC42" w14:textId="77777777" w:rsidR="006B1681" w:rsidRPr="00332DF6" w:rsidRDefault="006B1681" w:rsidP="00332DF6">
            <w:pPr>
              <w:pStyle w:val="TableTextEntries"/>
            </w:pPr>
            <w:r w:rsidRPr="00332DF6">
              <w:t>2011</w:t>
            </w:r>
          </w:p>
        </w:tc>
        <w:tc>
          <w:tcPr>
            <w:tcW w:w="894" w:type="dxa"/>
            <w:noWrap/>
            <w:hideMark/>
          </w:tcPr>
          <w:p w14:paraId="420DCC43" w14:textId="77777777" w:rsidR="006B1681" w:rsidRPr="00332DF6" w:rsidRDefault="006B1681" w:rsidP="00152088">
            <w:pPr>
              <w:pStyle w:val="TableTextEntries"/>
              <w:jc w:val="center"/>
            </w:pPr>
            <w:r w:rsidRPr="00332DF6">
              <w:t>Exempt</w:t>
            </w:r>
          </w:p>
        </w:tc>
        <w:tc>
          <w:tcPr>
            <w:tcW w:w="894" w:type="dxa"/>
            <w:noWrap/>
            <w:hideMark/>
          </w:tcPr>
          <w:p w14:paraId="420DCC44" w14:textId="77777777" w:rsidR="006B1681" w:rsidRPr="00332DF6" w:rsidRDefault="006B1681" w:rsidP="00152088">
            <w:pPr>
              <w:pStyle w:val="TableTextEntries"/>
              <w:jc w:val="center"/>
            </w:pPr>
            <w:r w:rsidRPr="00332DF6">
              <w:t>Exempt</w:t>
            </w:r>
          </w:p>
        </w:tc>
        <w:tc>
          <w:tcPr>
            <w:tcW w:w="894" w:type="dxa"/>
            <w:noWrap/>
            <w:hideMark/>
          </w:tcPr>
          <w:p w14:paraId="420DCC45" w14:textId="77777777" w:rsidR="006B1681" w:rsidRPr="00332DF6" w:rsidRDefault="006B1681" w:rsidP="00152088">
            <w:pPr>
              <w:pStyle w:val="TableTextEntries"/>
              <w:jc w:val="center"/>
            </w:pPr>
            <w:r w:rsidRPr="00332DF6">
              <w:t>Exempt</w:t>
            </w:r>
          </w:p>
        </w:tc>
        <w:tc>
          <w:tcPr>
            <w:tcW w:w="894" w:type="dxa"/>
            <w:noWrap/>
            <w:hideMark/>
          </w:tcPr>
          <w:p w14:paraId="420DCC46" w14:textId="77777777" w:rsidR="006B1681" w:rsidRPr="00332DF6" w:rsidRDefault="006B1681" w:rsidP="00152088">
            <w:pPr>
              <w:pStyle w:val="TableTextEntries"/>
              <w:jc w:val="center"/>
            </w:pPr>
            <w:r w:rsidRPr="00332DF6">
              <w:t>Exempt</w:t>
            </w:r>
          </w:p>
        </w:tc>
        <w:tc>
          <w:tcPr>
            <w:tcW w:w="894" w:type="dxa"/>
            <w:noWrap/>
            <w:hideMark/>
          </w:tcPr>
          <w:p w14:paraId="420DCC47" w14:textId="77777777" w:rsidR="006B1681" w:rsidRPr="00332DF6" w:rsidRDefault="006B1681" w:rsidP="00152088">
            <w:pPr>
              <w:pStyle w:val="TableTextEntries"/>
              <w:jc w:val="center"/>
            </w:pPr>
            <w:r w:rsidRPr="00332DF6">
              <w:t>Exempt</w:t>
            </w:r>
          </w:p>
        </w:tc>
        <w:tc>
          <w:tcPr>
            <w:tcW w:w="894" w:type="dxa"/>
            <w:noWrap/>
            <w:hideMark/>
          </w:tcPr>
          <w:p w14:paraId="420DCC48" w14:textId="77777777" w:rsidR="006B1681" w:rsidRPr="00332DF6" w:rsidRDefault="006B1681" w:rsidP="00152088">
            <w:pPr>
              <w:pStyle w:val="TableTextEntries"/>
              <w:jc w:val="center"/>
            </w:pPr>
            <w:r w:rsidRPr="00332DF6">
              <w:t>Exempt</w:t>
            </w:r>
          </w:p>
        </w:tc>
      </w:tr>
      <w:tr w:rsidR="006B1681" w:rsidRPr="00250BC3" w14:paraId="420DCC5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4A" w14:textId="77777777" w:rsidR="006B1681" w:rsidRPr="00332DF6" w:rsidRDefault="006B1681" w:rsidP="00332DF6">
            <w:pPr>
              <w:pStyle w:val="TableTextEntries"/>
            </w:pPr>
          </w:p>
        </w:tc>
        <w:tc>
          <w:tcPr>
            <w:tcW w:w="887" w:type="dxa"/>
            <w:vMerge/>
            <w:hideMark/>
          </w:tcPr>
          <w:p w14:paraId="420DCC4B" w14:textId="77777777" w:rsidR="006B1681" w:rsidRPr="00332DF6" w:rsidRDefault="006B1681" w:rsidP="00332DF6">
            <w:pPr>
              <w:pStyle w:val="TableTextEntries"/>
            </w:pPr>
          </w:p>
        </w:tc>
        <w:tc>
          <w:tcPr>
            <w:tcW w:w="1840" w:type="dxa"/>
            <w:vMerge/>
            <w:hideMark/>
          </w:tcPr>
          <w:p w14:paraId="420DCC4C" w14:textId="77777777" w:rsidR="006B1681" w:rsidRPr="00332DF6" w:rsidRDefault="006B1681" w:rsidP="00332DF6">
            <w:pPr>
              <w:pStyle w:val="TableTextEntries"/>
            </w:pPr>
          </w:p>
        </w:tc>
        <w:tc>
          <w:tcPr>
            <w:tcW w:w="1128" w:type="dxa"/>
            <w:vMerge/>
            <w:hideMark/>
          </w:tcPr>
          <w:p w14:paraId="420DCC4D" w14:textId="77777777" w:rsidR="006B1681" w:rsidRPr="00332DF6" w:rsidRDefault="006B1681" w:rsidP="00332DF6">
            <w:pPr>
              <w:pStyle w:val="TableTextEntries"/>
            </w:pPr>
          </w:p>
        </w:tc>
        <w:tc>
          <w:tcPr>
            <w:tcW w:w="920" w:type="dxa"/>
            <w:noWrap/>
            <w:hideMark/>
          </w:tcPr>
          <w:p w14:paraId="420DCC4E" w14:textId="77777777" w:rsidR="006B1681" w:rsidRPr="00332DF6" w:rsidRDefault="006B1681" w:rsidP="00332DF6">
            <w:pPr>
              <w:pStyle w:val="TableTextEntries"/>
            </w:pPr>
            <w:r w:rsidRPr="00332DF6">
              <w:t>2012</w:t>
            </w:r>
          </w:p>
        </w:tc>
        <w:tc>
          <w:tcPr>
            <w:tcW w:w="894" w:type="dxa"/>
            <w:noWrap/>
            <w:hideMark/>
          </w:tcPr>
          <w:p w14:paraId="420DCC4F" w14:textId="77777777" w:rsidR="006B1681" w:rsidRPr="00332DF6" w:rsidRDefault="006B1681" w:rsidP="00152088">
            <w:pPr>
              <w:pStyle w:val="TableTextEntries"/>
              <w:jc w:val="center"/>
            </w:pPr>
            <w:r w:rsidRPr="00332DF6">
              <w:t>Exempt</w:t>
            </w:r>
          </w:p>
        </w:tc>
        <w:tc>
          <w:tcPr>
            <w:tcW w:w="894" w:type="dxa"/>
            <w:noWrap/>
            <w:hideMark/>
          </w:tcPr>
          <w:p w14:paraId="420DCC50" w14:textId="77777777" w:rsidR="006B1681" w:rsidRPr="00332DF6" w:rsidRDefault="006B1681" w:rsidP="00152088">
            <w:pPr>
              <w:pStyle w:val="TableTextEntries"/>
              <w:jc w:val="center"/>
            </w:pPr>
            <w:r w:rsidRPr="00332DF6">
              <w:t>Exempt</w:t>
            </w:r>
          </w:p>
        </w:tc>
        <w:tc>
          <w:tcPr>
            <w:tcW w:w="894" w:type="dxa"/>
            <w:noWrap/>
            <w:hideMark/>
          </w:tcPr>
          <w:p w14:paraId="420DCC51" w14:textId="77777777" w:rsidR="006B1681" w:rsidRPr="00332DF6" w:rsidRDefault="006B1681" w:rsidP="00152088">
            <w:pPr>
              <w:pStyle w:val="TableTextEntries"/>
              <w:jc w:val="center"/>
            </w:pPr>
            <w:r w:rsidRPr="00332DF6">
              <w:t>Exempt</w:t>
            </w:r>
          </w:p>
        </w:tc>
        <w:tc>
          <w:tcPr>
            <w:tcW w:w="894" w:type="dxa"/>
            <w:noWrap/>
            <w:hideMark/>
          </w:tcPr>
          <w:p w14:paraId="420DCC52" w14:textId="77777777" w:rsidR="006B1681" w:rsidRPr="00332DF6" w:rsidRDefault="006B1681" w:rsidP="00152088">
            <w:pPr>
              <w:pStyle w:val="TableTextEntries"/>
              <w:jc w:val="center"/>
            </w:pPr>
            <w:r w:rsidRPr="00332DF6">
              <w:t>Exempt</w:t>
            </w:r>
          </w:p>
        </w:tc>
        <w:tc>
          <w:tcPr>
            <w:tcW w:w="894" w:type="dxa"/>
            <w:noWrap/>
            <w:hideMark/>
          </w:tcPr>
          <w:p w14:paraId="420DCC53" w14:textId="77777777" w:rsidR="006B1681" w:rsidRPr="00332DF6" w:rsidRDefault="006B1681" w:rsidP="00152088">
            <w:pPr>
              <w:pStyle w:val="TableTextEntries"/>
              <w:jc w:val="center"/>
            </w:pPr>
            <w:r w:rsidRPr="00332DF6">
              <w:t>Exempt</w:t>
            </w:r>
          </w:p>
        </w:tc>
        <w:tc>
          <w:tcPr>
            <w:tcW w:w="894" w:type="dxa"/>
            <w:noWrap/>
            <w:hideMark/>
          </w:tcPr>
          <w:p w14:paraId="420DCC54" w14:textId="77777777" w:rsidR="006B1681" w:rsidRPr="00332DF6" w:rsidRDefault="006B1681" w:rsidP="00152088">
            <w:pPr>
              <w:pStyle w:val="TableTextEntries"/>
              <w:jc w:val="center"/>
            </w:pPr>
            <w:r w:rsidRPr="00332DF6">
              <w:t>Exempt</w:t>
            </w:r>
          </w:p>
        </w:tc>
      </w:tr>
      <w:tr w:rsidR="006B1681" w:rsidRPr="00250BC3" w14:paraId="420DCC61" w14:textId="77777777" w:rsidTr="00A84A34">
        <w:trPr>
          <w:tblHeader w:val="0"/>
        </w:trPr>
        <w:tc>
          <w:tcPr>
            <w:tcW w:w="2785" w:type="dxa"/>
            <w:vMerge w:val="restart"/>
            <w:hideMark/>
          </w:tcPr>
          <w:p w14:paraId="420DCC56" w14:textId="77777777" w:rsidR="006B1681" w:rsidRPr="00332DF6" w:rsidRDefault="006B1681" w:rsidP="00332DF6">
            <w:pPr>
              <w:pStyle w:val="TableTextEntries"/>
            </w:pPr>
            <w:r w:rsidRPr="00332DF6">
              <w:t>SPC Climate Change Activities</w:t>
            </w:r>
          </w:p>
        </w:tc>
        <w:tc>
          <w:tcPr>
            <w:tcW w:w="887" w:type="dxa"/>
            <w:vMerge w:val="restart"/>
            <w:noWrap/>
            <w:hideMark/>
          </w:tcPr>
          <w:p w14:paraId="420DCC57" w14:textId="77777777" w:rsidR="006B1681" w:rsidRPr="00332DF6" w:rsidRDefault="006B1681" w:rsidP="00332DF6">
            <w:pPr>
              <w:pStyle w:val="TableTextEntries"/>
            </w:pPr>
            <w:r w:rsidRPr="00332DF6">
              <w:t>INI962</w:t>
            </w:r>
          </w:p>
        </w:tc>
        <w:tc>
          <w:tcPr>
            <w:tcW w:w="1840" w:type="dxa"/>
            <w:vMerge w:val="restart"/>
            <w:hideMark/>
          </w:tcPr>
          <w:p w14:paraId="420DCC58" w14:textId="77777777" w:rsidR="006B1681" w:rsidRPr="00332DF6" w:rsidRDefault="006B1681" w:rsidP="00332DF6">
            <w:pPr>
              <w:pStyle w:val="TableTextEntries"/>
            </w:pPr>
            <w:r w:rsidRPr="00332DF6">
              <w:t>$9,000,000.00</w:t>
            </w:r>
          </w:p>
        </w:tc>
        <w:tc>
          <w:tcPr>
            <w:tcW w:w="1128" w:type="dxa"/>
            <w:vMerge w:val="restart"/>
            <w:noWrap/>
            <w:hideMark/>
          </w:tcPr>
          <w:p w14:paraId="420DCC59" w14:textId="77777777" w:rsidR="006B1681" w:rsidRPr="00332DF6" w:rsidRDefault="006B1681" w:rsidP="00332DF6">
            <w:pPr>
              <w:pStyle w:val="TableTextEntries"/>
            </w:pPr>
            <w:r w:rsidRPr="00332DF6">
              <w:t>2009</w:t>
            </w:r>
            <w:r w:rsidR="00464D90" w:rsidRPr="00332DF6">
              <w:t>–</w:t>
            </w:r>
            <w:r w:rsidRPr="00332DF6">
              <w:t>14</w:t>
            </w:r>
          </w:p>
        </w:tc>
        <w:tc>
          <w:tcPr>
            <w:tcW w:w="920" w:type="dxa"/>
            <w:noWrap/>
            <w:hideMark/>
          </w:tcPr>
          <w:p w14:paraId="420DCC5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C5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C5C"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C5D"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79646" w:themeFill="accent6"/>
            <w:noWrap/>
            <w:hideMark/>
          </w:tcPr>
          <w:p w14:paraId="420DCC5E"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C5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C60" w14:textId="77777777" w:rsidR="006B1681" w:rsidRPr="00332DF6" w:rsidRDefault="006B1681" w:rsidP="00152088">
            <w:pPr>
              <w:pStyle w:val="TableTextEntries"/>
              <w:jc w:val="center"/>
            </w:pPr>
            <w:r w:rsidRPr="00332DF6">
              <w:t>3</w:t>
            </w:r>
          </w:p>
        </w:tc>
      </w:tr>
      <w:tr w:rsidR="006B1681" w:rsidRPr="00250BC3" w14:paraId="420DCC6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62" w14:textId="77777777" w:rsidR="006B1681" w:rsidRPr="00332DF6" w:rsidRDefault="006B1681" w:rsidP="00332DF6">
            <w:pPr>
              <w:pStyle w:val="TableTextEntries"/>
            </w:pPr>
          </w:p>
        </w:tc>
        <w:tc>
          <w:tcPr>
            <w:tcW w:w="887" w:type="dxa"/>
            <w:vMerge/>
            <w:hideMark/>
          </w:tcPr>
          <w:p w14:paraId="420DCC63" w14:textId="77777777" w:rsidR="006B1681" w:rsidRPr="00332DF6" w:rsidRDefault="006B1681" w:rsidP="00332DF6">
            <w:pPr>
              <w:pStyle w:val="TableTextEntries"/>
            </w:pPr>
          </w:p>
        </w:tc>
        <w:tc>
          <w:tcPr>
            <w:tcW w:w="1840" w:type="dxa"/>
            <w:vMerge/>
            <w:hideMark/>
          </w:tcPr>
          <w:p w14:paraId="420DCC64" w14:textId="77777777" w:rsidR="006B1681" w:rsidRPr="00332DF6" w:rsidRDefault="006B1681" w:rsidP="00332DF6">
            <w:pPr>
              <w:pStyle w:val="TableTextEntries"/>
            </w:pPr>
          </w:p>
        </w:tc>
        <w:tc>
          <w:tcPr>
            <w:tcW w:w="1128" w:type="dxa"/>
            <w:vMerge/>
            <w:hideMark/>
          </w:tcPr>
          <w:p w14:paraId="420DCC65" w14:textId="77777777" w:rsidR="006B1681" w:rsidRPr="00332DF6" w:rsidRDefault="006B1681" w:rsidP="00332DF6">
            <w:pPr>
              <w:pStyle w:val="TableTextEntries"/>
            </w:pPr>
          </w:p>
        </w:tc>
        <w:tc>
          <w:tcPr>
            <w:tcW w:w="920" w:type="dxa"/>
            <w:noWrap/>
            <w:hideMark/>
          </w:tcPr>
          <w:p w14:paraId="420DCC66" w14:textId="77777777" w:rsidR="006B1681" w:rsidRPr="00332DF6" w:rsidRDefault="006B1681" w:rsidP="00332DF6">
            <w:pPr>
              <w:pStyle w:val="TableTextEntries"/>
            </w:pPr>
            <w:r w:rsidRPr="00332DF6">
              <w:t>2012</w:t>
            </w:r>
          </w:p>
        </w:tc>
        <w:tc>
          <w:tcPr>
            <w:tcW w:w="894" w:type="dxa"/>
            <w:shd w:val="clear" w:color="auto" w:fill="92D050"/>
            <w:noWrap/>
            <w:hideMark/>
          </w:tcPr>
          <w:p w14:paraId="420DCC67"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68"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69" w14:textId="77777777" w:rsidR="006B1681" w:rsidRPr="00332DF6" w:rsidRDefault="006B1681" w:rsidP="00152088">
            <w:pPr>
              <w:pStyle w:val="TableTextEntries"/>
              <w:jc w:val="center"/>
            </w:pPr>
            <w:r w:rsidRPr="00332DF6">
              <w:t>5</w:t>
            </w:r>
          </w:p>
        </w:tc>
        <w:tc>
          <w:tcPr>
            <w:tcW w:w="894" w:type="dxa"/>
            <w:shd w:val="clear" w:color="auto" w:fill="F79646" w:themeFill="accent6"/>
            <w:noWrap/>
            <w:hideMark/>
          </w:tcPr>
          <w:p w14:paraId="420DCC6A"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C6B"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C6C" w14:textId="77777777" w:rsidR="006B1681" w:rsidRPr="00332DF6" w:rsidRDefault="006B1681" w:rsidP="00152088">
            <w:pPr>
              <w:pStyle w:val="TableTextEntries"/>
              <w:jc w:val="center"/>
            </w:pPr>
            <w:r w:rsidRPr="00332DF6">
              <w:t>3</w:t>
            </w:r>
          </w:p>
        </w:tc>
      </w:tr>
      <w:tr w:rsidR="006B1681" w:rsidRPr="00250BC3" w14:paraId="420DCC79" w14:textId="77777777" w:rsidTr="00152088">
        <w:trPr>
          <w:tblHeader w:val="0"/>
        </w:trPr>
        <w:tc>
          <w:tcPr>
            <w:tcW w:w="2785" w:type="dxa"/>
            <w:vMerge w:val="restart"/>
            <w:hideMark/>
          </w:tcPr>
          <w:p w14:paraId="420DCC6E" w14:textId="77777777" w:rsidR="006B1681" w:rsidRPr="00332DF6" w:rsidRDefault="006B1681" w:rsidP="00332DF6">
            <w:pPr>
              <w:pStyle w:val="TableTextEntries"/>
            </w:pPr>
            <w:r w:rsidRPr="00332DF6">
              <w:t>University of the South Pacific Partnership</w:t>
            </w:r>
          </w:p>
        </w:tc>
        <w:tc>
          <w:tcPr>
            <w:tcW w:w="887" w:type="dxa"/>
            <w:vMerge w:val="restart"/>
            <w:noWrap/>
            <w:hideMark/>
          </w:tcPr>
          <w:p w14:paraId="420DCC6F" w14:textId="77777777" w:rsidR="006B1681" w:rsidRPr="00332DF6" w:rsidRDefault="006B1681" w:rsidP="00332DF6">
            <w:pPr>
              <w:pStyle w:val="TableTextEntries"/>
            </w:pPr>
            <w:r w:rsidRPr="00332DF6">
              <w:t>INJ054</w:t>
            </w:r>
          </w:p>
        </w:tc>
        <w:tc>
          <w:tcPr>
            <w:tcW w:w="1840" w:type="dxa"/>
            <w:vMerge w:val="restart"/>
            <w:hideMark/>
          </w:tcPr>
          <w:p w14:paraId="420DCC70" w14:textId="77777777" w:rsidR="006B1681" w:rsidRPr="00332DF6" w:rsidRDefault="006B1681" w:rsidP="00332DF6">
            <w:pPr>
              <w:pStyle w:val="TableTextEntries"/>
            </w:pPr>
            <w:r w:rsidRPr="00332DF6">
              <w:t>$32,475,000.00</w:t>
            </w:r>
          </w:p>
        </w:tc>
        <w:tc>
          <w:tcPr>
            <w:tcW w:w="1128" w:type="dxa"/>
            <w:vMerge w:val="restart"/>
            <w:noWrap/>
            <w:hideMark/>
          </w:tcPr>
          <w:p w14:paraId="420DCC71" w14:textId="77777777" w:rsidR="006B1681" w:rsidRPr="00332DF6" w:rsidRDefault="006B1681" w:rsidP="00332DF6">
            <w:pPr>
              <w:pStyle w:val="TableTextEntries"/>
            </w:pPr>
            <w:r w:rsidRPr="00332DF6">
              <w:t>2010</w:t>
            </w:r>
            <w:r w:rsidR="00464D90" w:rsidRPr="00332DF6">
              <w:t>–</w:t>
            </w:r>
            <w:r w:rsidRPr="00332DF6">
              <w:t>12</w:t>
            </w:r>
          </w:p>
        </w:tc>
        <w:tc>
          <w:tcPr>
            <w:tcW w:w="920" w:type="dxa"/>
            <w:noWrap/>
            <w:hideMark/>
          </w:tcPr>
          <w:p w14:paraId="420DCC7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C73"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C74"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C75"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92D050"/>
            <w:noWrap/>
            <w:hideMark/>
          </w:tcPr>
          <w:p w14:paraId="420DCC76"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C77"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92D050"/>
            <w:noWrap/>
            <w:hideMark/>
          </w:tcPr>
          <w:p w14:paraId="420DCC78" w14:textId="77777777" w:rsidR="006B1681" w:rsidRPr="00332DF6" w:rsidRDefault="006B1681" w:rsidP="00152088">
            <w:pPr>
              <w:pStyle w:val="TableTextEntries"/>
              <w:jc w:val="center"/>
            </w:pPr>
            <w:r w:rsidRPr="00332DF6">
              <w:t>5</w:t>
            </w:r>
          </w:p>
        </w:tc>
      </w:tr>
      <w:tr w:rsidR="006B1681" w:rsidRPr="00250BC3" w14:paraId="420DCC85" w14:textId="77777777" w:rsidTr="00152088">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7A" w14:textId="77777777" w:rsidR="006B1681" w:rsidRPr="00332DF6" w:rsidRDefault="006B1681" w:rsidP="00332DF6">
            <w:pPr>
              <w:pStyle w:val="TableTextEntries"/>
            </w:pPr>
          </w:p>
        </w:tc>
        <w:tc>
          <w:tcPr>
            <w:tcW w:w="887" w:type="dxa"/>
            <w:vMerge/>
            <w:hideMark/>
          </w:tcPr>
          <w:p w14:paraId="420DCC7B" w14:textId="77777777" w:rsidR="006B1681" w:rsidRPr="00332DF6" w:rsidRDefault="006B1681" w:rsidP="00332DF6">
            <w:pPr>
              <w:pStyle w:val="TableTextEntries"/>
            </w:pPr>
          </w:p>
        </w:tc>
        <w:tc>
          <w:tcPr>
            <w:tcW w:w="1840" w:type="dxa"/>
            <w:vMerge/>
            <w:hideMark/>
          </w:tcPr>
          <w:p w14:paraId="420DCC7C" w14:textId="77777777" w:rsidR="006B1681" w:rsidRPr="00332DF6" w:rsidRDefault="006B1681" w:rsidP="00332DF6">
            <w:pPr>
              <w:pStyle w:val="TableTextEntries"/>
            </w:pPr>
          </w:p>
        </w:tc>
        <w:tc>
          <w:tcPr>
            <w:tcW w:w="1128" w:type="dxa"/>
            <w:vMerge/>
            <w:hideMark/>
          </w:tcPr>
          <w:p w14:paraId="420DCC7D" w14:textId="77777777" w:rsidR="006B1681" w:rsidRPr="00332DF6" w:rsidRDefault="006B1681" w:rsidP="00332DF6">
            <w:pPr>
              <w:pStyle w:val="TableTextEntries"/>
            </w:pPr>
          </w:p>
        </w:tc>
        <w:tc>
          <w:tcPr>
            <w:tcW w:w="920" w:type="dxa"/>
            <w:noWrap/>
            <w:hideMark/>
          </w:tcPr>
          <w:p w14:paraId="420DCC7E" w14:textId="77777777" w:rsidR="006B1681" w:rsidRPr="00332DF6" w:rsidRDefault="006B1681" w:rsidP="00332DF6">
            <w:pPr>
              <w:pStyle w:val="TableTextEntries"/>
            </w:pPr>
            <w:r w:rsidRPr="00332DF6">
              <w:t>2012</w:t>
            </w:r>
          </w:p>
        </w:tc>
        <w:tc>
          <w:tcPr>
            <w:tcW w:w="894" w:type="dxa"/>
            <w:shd w:val="clear" w:color="auto" w:fill="92D050"/>
            <w:noWrap/>
            <w:hideMark/>
          </w:tcPr>
          <w:p w14:paraId="420DCC7F"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C80"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81"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82"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C83"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C84" w14:textId="77777777" w:rsidR="006B1681" w:rsidRPr="00332DF6" w:rsidRDefault="006B1681" w:rsidP="00152088">
            <w:pPr>
              <w:pStyle w:val="TableTextEntries"/>
              <w:jc w:val="center"/>
            </w:pPr>
            <w:r w:rsidRPr="00332DF6">
              <w:t>5</w:t>
            </w:r>
          </w:p>
        </w:tc>
      </w:tr>
      <w:tr w:rsidR="006B1681" w:rsidRPr="00250BC3" w14:paraId="420DCC91" w14:textId="77777777" w:rsidTr="00332DF6">
        <w:trPr>
          <w:tblHeader w:val="0"/>
        </w:trPr>
        <w:tc>
          <w:tcPr>
            <w:tcW w:w="2785" w:type="dxa"/>
            <w:vMerge w:val="restart"/>
            <w:hideMark/>
          </w:tcPr>
          <w:p w14:paraId="420DCC86" w14:textId="77777777" w:rsidR="006B1681" w:rsidRPr="00332DF6" w:rsidRDefault="006B1681" w:rsidP="00332DF6">
            <w:pPr>
              <w:pStyle w:val="TableTextEntries"/>
            </w:pPr>
            <w:r w:rsidRPr="00332DF6">
              <w:t>Climate and Oceans Support Program in the Pacific</w:t>
            </w:r>
          </w:p>
        </w:tc>
        <w:tc>
          <w:tcPr>
            <w:tcW w:w="887" w:type="dxa"/>
            <w:vMerge w:val="restart"/>
            <w:noWrap/>
            <w:hideMark/>
          </w:tcPr>
          <w:p w14:paraId="420DCC87" w14:textId="77777777" w:rsidR="006B1681" w:rsidRPr="00332DF6" w:rsidRDefault="006B1681" w:rsidP="00332DF6">
            <w:pPr>
              <w:pStyle w:val="TableTextEntries"/>
            </w:pPr>
            <w:r w:rsidRPr="00332DF6">
              <w:t>INJ488</w:t>
            </w:r>
          </w:p>
        </w:tc>
        <w:tc>
          <w:tcPr>
            <w:tcW w:w="1840" w:type="dxa"/>
            <w:vMerge w:val="restart"/>
            <w:hideMark/>
          </w:tcPr>
          <w:p w14:paraId="420DCC88" w14:textId="77777777" w:rsidR="006B1681" w:rsidRPr="00332DF6" w:rsidRDefault="006B1681" w:rsidP="00332DF6">
            <w:pPr>
              <w:pStyle w:val="TableTextEntries"/>
            </w:pPr>
            <w:r w:rsidRPr="00332DF6">
              <w:t>$32,200,000.00</w:t>
            </w:r>
          </w:p>
        </w:tc>
        <w:tc>
          <w:tcPr>
            <w:tcW w:w="1128" w:type="dxa"/>
            <w:vMerge w:val="restart"/>
            <w:noWrap/>
            <w:hideMark/>
          </w:tcPr>
          <w:p w14:paraId="420DCC89" w14:textId="77777777" w:rsidR="006B1681" w:rsidRPr="00332DF6" w:rsidRDefault="006B1681" w:rsidP="00332DF6">
            <w:pPr>
              <w:pStyle w:val="TableTextEntries"/>
            </w:pPr>
            <w:r w:rsidRPr="00332DF6">
              <w:t>2010</w:t>
            </w:r>
            <w:r w:rsidR="00464D90" w:rsidRPr="00332DF6">
              <w:t>–</w:t>
            </w:r>
            <w:r w:rsidRPr="00332DF6">
              <w:t>16</w:t>
            </w:r>
          </w:p>
        </w:tc>
        <w:tc>
          <w:tcPr>
            <w:tcW w:w="920" w:type="dxa"/>
            <w:noWrap/>
            <w:hideMark/>
          </w:tcPr>
          <w:p w14:paraId="420DCC8A" w14:textId="77777777" w:rsidR="006B1681" w:rsidRPr="00332DF6" w:rsidRDefault="006B1681" w:rsidP="00332DF6">
            <w:pPr>
              <w:pStyle w:val="TableTextEntries"/>
            </w:pPr>
            <w:r w:rsidRPr="00332DF6">
              <w:t>2011</w:t>
            </w:r>
          </w:p>
        </w:tc>
        <w:tc>
          <w:tcPr>
            <w:tcW w:w="894" w:type="dxa"/>
            <w:noWrap/>
            <w:hideMark/>
          </w:tcPr>
          <w:p w14:paraId="420DCC8B" w14:textId="77777777" w:rsidR="006B1681" w:rsidRPr="00332DF6" w:rsidRDefault="006B1681" w:rsidP="00152088">
            <w:pPr>
              <w:pStyle w:val="TableTextEntries"/>
              <w:jc w:val="center"/>
            </w:pPr>
            <w:r w:rsidRPr="00332DF6">
              <w:t>Expired</w:t>
            </w:r>
          </w:p>
        </w:tc>
        <w:tc>
          <w:tcPr>
            <w:tcW w:w="894" w:type="dxa"/>
            <w:noWrap/>
            <w:hideMark/>
          </w:tcPr>
          <w:p w14:paraId="420DCC8C" w14:textId="77777777" w:rsidR="006B1681" w:rsidRPr="00332DF6" w:rsidRDefault="006B1681" w:rsidP="00152088">
            <w:pPr>
              <w:pStyle w:val="TableTextEntries"/>
              <w:jc w:val="center"/>
            </w:pPr>
            <w:r w:rsidRPr="00332DF6">
              <w:t>Expired</w:t>
            </w:r>
          </w:p>
        </w:tc>
        <w:tc>
          <w:tcPr>
            <w:tcW w:w="894" w:type="dxa"/>
            <w:noWrap/>
            <w:hideMark/>
          </w:tcPr>
          <w:p w14:paraId="420DCC8D" w14:textId="77777777" w:rsidR="006B1681" w:rsidRPr="00332DF6" w:rsidRDefault="006B1681" w:rsidP="00152088">
            <w:pPr>
              <w:pStyle w:val="TableTextEntries"/>
              <w:jc w:val="center"/>
            </w:pPr>
            <w:r w:rsidRPr="00332DF6">
              <w:t>Expired</w:t>
            </w:r>
          </w:p>
        </w:tc>
        <w:tc>
          <w:tcPr>
            <w:tcW w:w="894" w:type="dxa"/>
            <w:noWrap/>
            <w:hideMark/>
          </w:tcPr>
          <w:p w14:paraId="420DCC8E" w14:textId="77777777" w:rsidR="006B1681" w:rsidRPr="00332DF6" w:rsidRDefault="006B1681" w:rsidP="00152088">
            <w:pPr>
              <w:pStyle w:val="TableTextEntries"/>
              <w:jc w:val="center"/>
            </w:pPr>
            <w:r w:rsidRPr="00332DF6">
              <w:t>Expired</w:t>
            </w:r>
          </w:p>
        </w:tc>
        <w:tc>
          <w:tcPr>
            <w:tcW w:w="894" w:type="dxa"/>
            <w:noWrap/>
            <w:hideMark/>
          </w:tcPr>
          <w:p w14:paraId="420DCC8F" w14:textId="77777777" w:rsidR="006B1681" w:rsidRPr="00332DF6" w:rsidRDefault="006B1681" w:rsidP="00152088">
            <w:pPr>
              <w:pStyle w:val="TableTextEntries"/>
              <w:jc w:val="center"/>
            </w:pPr>
            <w:r w:rsidRPr="00332DF6">
              <w:t>Expired</w:t>
            </w:r>
          </w:p>
        </w:tc>
        <w:tc>
          <w:tcPr>
            <w:tcW w:w="894" w:type="dxa"/>
            <w:noWrap/>
            <w:hideMark/>
          </w:tcPr>
          <w:p w14:paraId="420DCC90" w14:textId="77777777" w:rsidR="006B1681" w:rsidRPr="00332DF6" w:rsidRDefault="006B1681" w:rsidP="00152088">
            <w:pPr>
              <w:pStyle w:val="TableTextEntries"/>
              <w:jc w:val="center"/>
            </w:pPr>
            <w:r w:rsidRPr="00332DF6">
              <w:t>Expired</w:t>
            </w:r>
          </w:p>
        </w:tc>
      </w:tr>
      <w:tr w:rsidR="006B1681" w:rsidRPr="00250BC3" w14:paraId="420DCC9D"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92" w14:textId="77777777" w:rsidR="006B1681" w:rsidRPr="00332DF6" w:rsidRDefault="006B1681" w:rsidP="00332DF6">
            <w:pPr>
              <w:pStyle w:val="TableTextEntries"/>
            </w:pPr>
          </w:p>
        </w:tc>
        <w:tc>
          <w:tcPr>
            <w:tcW w:w="887" w:type="dxa"/>
            <w:vMerge/>
            <w:hideMark/>
          </w:tcPr>
          <w:p w14:paraId="420DCC93" w14:textId="77777777" w:rsidR="006B1681" w:rsidRPr="00332DF6" w:rsidRDefault="006B1681" w:rsidP="00332DF6">
            <w:pPr>
              <w:pStyle w:val="TableTextEntries"/>
            </w:pPr>
          </w:p>
        </w:tc>
        <w:tc>
          <w:tcPr>
            <w:tcW w:w="1840" w:type="dxa"/>
            <w:vMerge/>
            <w:hideMark/>
          </w:tcPr>
          <w:p w14:paraId="420DCC94" w14:textId="77777777" w:rsidR="006B1681" w:rsidRPr="00332DF6" w:rsidRDefault="006B1681" w:rsidP="00332DF6">
            <w:pPr>
              <w:pStyle w:val="TableTextEntries"/>
            </w:pPr>
          </w:p>
        </w:tc>
        <w:tc>
          <w:tcPr>
            <w:tcW w:w="1128" w:type="dxa"/>
            <w:vMerge/>
            <w:hideMark/>
          </w:tcPr>
          <w:p w14:paraId="420DCC95" w14:textId="77777777" w:rsidR="006B1681" w:rsidRPr="00332DF6" w:rsidRDefault="006B1681" w:rsidP="00332DF6">
            <w:pPr>
              <w:pStyle w:val="TableTextEntries"/>
            </w:pPr>
          </w:p>
        </w:tc>
        <w:tc>
          <w:tcPr>
            <w:tcW w:w="920" w:type="dxa"/>
            <w:noWrap/>
            <w:hideMark/>
          </w:tcPr>
          <w:p w14:paraId="420DCC96" w14:textId="77777777" w:rsidR="006B1681" w:rsidRPr="00332DF6" w:rsidRDefault="006B1681" w:rsidP="00332DF6">
            <w:pPr>
              <w:pStyle w:val="TableTextEntries"/>
            </w:pPr>
            <w:r w:rsidRPr="00332DF6">
              <w:t>2012</w:t>
            </w:r>
          </w:p>
        </w:tc>
        <w:tc>
          <w:tcPr>
            <w:tcW w:w="894" w:type="dxa"/>
            <w:noWrap/>
            <w:hideMark/>
          </w:tcPr>
          <w:p w14:paraId="420DCC97" w14:textId="77777777" w:rsidR="006B1681" w:rsidRPr="00332DF6" w:rsidRDefault="006B1681" w:rsidP="00152088">
            <w:pPr>
              <w:pStyle w:val="TableTextEntries"/>
              <w:jc w:val="center"/>
            </w:pPr>
            <w:r w:rsidRPr="00332DF6">
              <w:t>Exempt</w:t>
            </w:r>
          </w:p>
        </w:tc>
        <w:tc>
          <w:tcPr>
            <w:tcW w:w="894" w:type="dxa"/>
            <w:noWrap/>
            <w:hideMark/>
          </w:tcPr>
          <w:p w14:paraId="420DCC98" w14:textId="77777777" w:rsidR="006B1681" w:rsidRPr="00332DF6" w:rsidRDefault="006B1681" w:rsidP="00152088">
            <w:pPr>
              <w:pStyle w:val="TableTextEntries"/>
              <w:jc w:val="center"/>
            </w:pPr>
            <w:r w:rsidRPr="00332DF6">
              <w:t>Exempt</w:t>
            </w:r>
          </w:p>
        </w:tc>
        <w:tc>
          <w:tcPr>
            <w:tcW w:w="894" w:type="dxa"/>
            <w:noWrap/>
            <w:hideMark/>
          </w:tcPr>
          <w:p w14:paraId="420DCC99" w14:textId="77777777" w:rsidR="006B1681" w:rsidRPr="00332DF6" w:rsidRDefault="006B1681" w:rsidP="00152088">
            <w:pPr>
              <w:pStyle w:val="TableTextEntries"/>
              <w:jc w:val="center"/>
            </w:pPr>
            <w:r w:rsidRPr="00332DF6">
              <w:t>Exempt</w:t>
            </w:r>
          </w:p>
        </w:tc>
        <w:tc>
          <w:tcPr>
            <w:tcW w:w="894" w:type="dxa"/>
            <w:noWrap/>
            <w:hideMark/>
          </w:tcPr>
          <w:p w14:paraId="420DCC9A" w14:textId="77777777" w:rsidR="006B1681" w:rsidRPr="00332DF6" w:rsidRDefault="006B1681" w:rsidP="00152088">
            <w:pPr>
              <w:pStyle w:val="TableTextEntries"/>
              <w:jc w:val="center"/>
            </w:pPr>
            <w:r w:rsidRPr="00332DF6">
              <w:t>Exempt</w:t>
            </w:r>
          </w:p>
        </w:tc>
        <w:tc>
          <w:tcPr>
            <w:tcW w:w="894" w:type="dxa"/>
            <w:noWrap/>
            <w:hideMark/>
          </w:tcPr>
          <w:p w14:paraId="420DCC9B" w14:textId="77777777" w:rsidR="006B1681" w:rsidRPr="00332DF6" w:rsidRDefault="006B1681" w:rsidP="00152088">
            <w:pPr>
              <w:pStyle w:val="TableTextEntries"/>
              <w:jc w:val="center"/>
            </w:pPr>
            <w:r w:rsidRPr="00332DF6">
              <w:t>Exempt</w:t>
            </w:r>
          </w:p>
        </w:tc>
        <w:tc>
          <w:tcPr>
            <w:tcW w:w="894" w:type="dxa"/>
            <w:noWrap/>
            <w:hideMark/>
          </w:tcPr>
          <w:p w14:paraId="420DCC9C" w14:textId="77777777" w:rsidR="006B1681" w:rsidRPr="00332DF6" w:rsidRDefault="006B1681" w:rsidP="00152088">
            <w:pPr>
              <w:pStyle w:val="TableTextEntries"/>
              <w:jc w:val="center"/>
            </w:pPr>
            <w:r w:rsidRPr="00332DF6">
              <w:t>Exempt</w:t>
            </w:r>
          </w:p>
        </w:tc>
      </w:tr>
      <w:tr w:rsidR="006B1681" w:rsidRPr="00250BC3" w14:paraId="420DCCA9" w14:textId="77777777" w:rsidTr="00A84A34">
        <w:trPr>
          <w:tblHeader w:val="0"/>
        </w:trPr>
        <w:tc>
          <w:tcPr>
            <w:tcW w:w="2785" w:type="dxa"/>
            <w:vMerge w:val="restart"/>
            <w:hideMark/>
          </w:tcPr>
          <w:p w14:paraId="420DCC9E" w14:textId="77777777" w:rsidR="006B1681" w:rsidRPr="00332DF6" w:rsidRDefault="006B1681" w:rsidP="00332DF6">
            <w:pPr>
              <w:pStyle w:val="TableTextEntries"/>
            </w:pPr>
            <w:r w:rsidRPr="00332DF6">
              <w:t>SPC</w:t>
            </w:r>
            <w:r w:rsidR="00D12BCD" w:rsidRPr="00332DF6">
              <w:t>—</w:t>
            </w:r>
            <w:r w:rsidR="009A3815" w:rsidRPr="00332DF6">
              <w:t>c</w:t>
            </w:r>
            <w:r w:rsidRPr="00332DF6">
              <w:t xml:space="preserve">ore </w:t>
            </w:r>
            <w:r w:rsidR="009A3815" w:rsidRPr="00332DF6">
              <w:t>b</w:t>
            </w:r>
            <w:r w:rsidRPr="00332DF6">
              <w:t xml:space="preserve">udget and </w:t>
            </w:r>
            <w:r w:rsidR="009A3815" w:rsidRPr="00332DF6">
              <w:t>p</w:t>
            </w:r>
            <w:r w:rsidRPr="00332DF6">
              <w:t xml:space="preserve">rogram </w:t>
            </w:r>
            <w:r w:rsidR="009A3815" w:rsidRPr="00332DF6">
              <w:t>s</w:t>
            </w:r>
            <w:r w:rsidRPr="00332DF6">
              <w:t>upport 2011</w:t>
            </w:r>
          </w:p>
        </w:tc>
        <w:tc>
          <w:tcPr>
            <w:tcW w:w="887" w:type="dxa"/>
            <w:vMerge w:val="restart"/>
            <w:noWrap/>
            <w:hideMark/>
          </w:tcPr>
          <w:p w14:paraId="420DCC9F" w14:textId="77777777" w:rsidR="006B1681" w:rsidRPr="00332DF6" w:rsidRDefault="006B1681" w:rsidP="00332DF6">
            <w:pPr>
              <w:pStyle w:val="TableTextEntries"/>
            </w:pPr>
            <w:r w:rsidRPr="00332DF6">
              <w:t>INJ746</w:t>
            </w:r>
          </w:p>
        </w:tc>
        <w:tc>
          <w:tcPr>
            <w:tcW w:w="1840" w:type="dxa"/>
            <w:vMerge w:val="restart"/>
            <w:hideMark/>
          </w:tcPr>
          <w:p w14:paraId="420DCCA0" w14:textId="77777777" w:rsidR="006B1681" w:rsidRPr="00332DF6" w:rsidRDefault="006B1681" w:rsidP="00332DF6">
            <w:pPr>
              <w:pStyle w:val="TableTextEntries"/>
            </w:pPr>
            <w:r w:rsidRPr="00332DF6">
              <w:t>$52,025,017.05</w:t>
            </w:r>
          </w:p>
        </w:tc>
        <w:tc>
          <w:tcPr>
            <w:tcW w:w="1128" w:type="dxa"/>
            <w:vMerge w:val="restart"/>
            <w:noWrap/>
            <w:hideMark/>
          </w:tcPr>
          <w:p w14:paraId="420DCCA1" w14:textId="77777777" w:rsidR="006B1681" w:rsidRPr="00332DF6" w:rsidRDefault="006B1681" w:rsidP="00332DF6">
            <w:pPr>
              <w:pStyle w:val="TableTextEntries"/>
            </w:pPr>
            <w:r w:rsidRPr="00332DF6">
              <w:t>2011</w:t>
            </w:r>
            <w:r w:rsidR="00464D90" w:rsidRPr="00332DF6">
              <w:t>–</w:t>
            </w:r>
            <w:r w:rsidRPr="00332DF6">
              <w:t>12</w:t>
            </w:r>
          </w:p>
        </w:tc>
        <w:tc>
          <w:tcPr>
            <w:tcW w:w="920" w:type="dxa"/>
            <w:noWrap/>
            <w:hideMark/>
          </w:tcPr>
          <w:p w14:paraId="420DCCA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CA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CA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A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CA6"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CA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CA8" w14:textId="77777777" w:rsidR="006B1681" w:rsidRPr="00332DF6" w:rsidRDefault="006B1681" w:rsidP="00152088">
            <w:pPr>
              <w:pStyle w:val="TableTextEntries"/>
              <w:jc w:val="center"/>
            </w:pPr>
            <w:r w:rsidRPr="00332DF6">
              <w:t>3</w:t>
            </w:r>
          </w:p>
        </w:tc>
      </w:tr>
      <w:tr w:rsidR="006B1681" w:rsidRPr="00250BC3" w14:paraId="420DCCB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AA" w14:textId="77777777" w:rsidR="006B1681" w:rsidRPr="00332DF6" w:rsidRDefault="006B1681" w:rsidP="00332DF6">
            <w:pPr>
              <w:pStyle w:val="TableTextEntries"/>
            </w:pPr>
          </w:p>
        </w:tc>
        <w:tc>
          <w:tcPr>
            <w:tcW w:w="887" w:type="dxa"/>
            <w:vMerge/>
            <w:hideMark/>
          </w:tcPr>
          <w:p w14:paraId="420DCCAB" w14:textId="77777777" w:rsidR="006B1681" w:rsidRPr="00332DF6" w:rsidRDefault="006B1681" w:rsidP="00332DF6">
            <w:pPr>
              <w:pStyle w:val="TableTextEntries"/>
            </w:pPr>
          </w:p>
        </w:tc>
        <w:tc>
          <w:tcPr>
            <w:tcW w:w="1840" w:type="dxa"/>
            <w:vMerge/>
            <w:hideMark/>
          </w:tcPr>
          <w:p w14:paraId="420DCCAC" w14:textId="77777777" w:rsidR="006B1681" w:rsidRPr="00332DF6" w:rsidRDefault="006B1681" w:rsidP="00332DF6">
            <w:pPr>
              <w:pStyle w:val="TableTextEntries"/>
            </w:pPr>
          </w:p>
        </w:tc>
        <w:tc>
          <w:tcPr>
            <w:tcW w:w="1128" w:type="dxa"/>
            <w:vMerge/>
            <w:hideMark/>
          </w:tcPr>
          <w:p w14:paraId="420DCCAD" w14:textId="77777777" w:rsidR="006B1681" w:rsidRPr="00332DF6" w:rsidRDefault="006B1681" w:rsidP="00332DF6">
            <w:pPr>
              <w:pStyle w:val="TableTextEntries"/>
            </w:pPr>
          </w:p>
        </w:tc>
        <w:tc>
          <w:tcPr>
            <w:tcW w:w="920" w:type="dxa"/>
            <w:noWrap/>
            <w:hideMark/>
          </w:tcPr>
          <w:p w14:paraId="420DCCAE" w14:textId="77777777" w:rsidR="006B1681" w:rsidRPr="00332DF6" w:rsidRDefault="006B1681" w:rsidP="00332DF6">
            <w:pPr>
              <w:pStyle w:val="TableTextEntries"/>
            </w:pPr>
            <w:r w:rsidRPr="00332DF6">
              <w:t>2012</w:t>
            </w:r>
          </w:p>
        </w:tc>
        <w:tc>
          <w:tcPr>
            <w:tcW w:w="894" w:type="dxa"/>
            <w:shd w:val="clear" w:color="auto" w:fill="92D050"/>
            <w:noWrap/>
            <w:hideMark/>
          </w:tcPr>
          <w:p w14:paraId="420DCCAF"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CB0"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B1"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CB2"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CB3"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CB4" w14:textId="77777777" w:rsidR="006B1681" w:rsidRPr="00332DF6" w:rsidRDefault="006B1681" w:rsidP="00152088">
            <w:pPr>
              <w:pStyle w:val="TableTextEntries"/>
              <w:jc w:val="center"/>
            </w:pPr>
            <w:r w:rsidRPr="00332DF6">
              <w:t>3</w:t>
            </w:r>
          </w:p>
        </w:tc>
      </w:tr>
      <w:tr w:rsidR="006B1681" w:rsidRPr="00250BC3" w14:paraId="420DCCC1" w14:textId="77777777" w:rsidTr="00A84A34">
        <w:trPr>
          <w:tblHeader w:val="0"/>
        </w:trPr>
        <w:tc>
          <w:tcPr>
            <w:tcW w:w="2785" w:type="dxa"/>
            <w:vMerge w:val="restart"/>
            <w:hideMark/>
          </w:tcPr>
          <w:p w14:paraId="420DCCB6" w14:textId="77777777" w:rsidR="006B1681" w:rsidRPr="00332DF6" w:rsidRDefault="006B1681" w:rsidP="00332DF6">
            <w:pPr>
              <w:pStyle w:val="TableTextEntries"/>
            </w:pPr>
            <w:r w:rsidRPr="00332DF6">
              <w:t>UNICEF Multi-Country Program 2011</w:t>
            </w:r>
            <w:r w:rsidR="00D12BCD" w:rsidRPr="00332DF6">
              <w:t>–</w:t>
            </w:r>
            <w:r w:rsidRPr="00332DF6">
              <w:t>2012</w:t>
            </w:r>
          </w:p>
        </w:tc>
        <w:tc>
          <w:tcPr>
            <w:tcW w:w="887" w:type="dxa"/>
            <w:vMerge w:val="restart"/>
            <w:noWrap/>
            <w:hideMark/>
          </w:tcPr>
          <w:p w14:paraId="420DCCB7" w14:textId="77777777" w:rsidR="006B1681" w:rsidRPr="00332DF6" w:rsidRDefault="006B1681" w:rsidP="00332DF6">
            <w:pPr>
              <w:pStyle w:val="TableTextEntries"/>
            </w:pPr>
            <w:r w:rsidRPr="00332DF6">
              <w:t>INJ760</w:t>
            </w:r>
          </w:p>
        </w:tc>
        <w:tc>
          <w:tcPr>
            <w:tcW w:w="1840" w:type="dxa"/>
            <w:vMerge w:val="restart"/>
            <w:hideMark/>
          </w:tcPr>
          <w:p w14:paraId="420DCCB8" w14:textId="77777777" w:rsidR="006B1681" w:rsidRPr="00332DF6" w:rsidRDefault="006B1681" w:rsidP="00332DF6">
            <w:pPr>
              <w:pStyle w:val="TableTextEntries"/>
            </w:pPr>
            <w:r w:rsidRPr="00332DF6">
              <w:t>$11,745,000.00</w:t>
            </w:r>
          </w:p>
        </w:tc>
        <w:tc>
          <w:tcPr>
            <w:tcW w:w="1128" w:type="dxa"/>
            <w:vMerge w:val="restart"/>
            <w:noWrap/>
            <w:hideMark/>
          </w:tcPr>
          <w:p w14:paraId="420DCCB9" w14:textId="77777777" w:rsidR="006B1681" w:rsidRPr="00332DF6" w:rsidRDefault="006B1681" w:rsidP="00332DF6">
            <w:pPr>
              <w:pStyle w:val="TableTextEntries"/>
            </w:pPr>
            <w:r w:rsidRPr="00332DF6">
              <w:t>2011</w:t>
            </w:r>
            <w:r w:rsidR="00464D90" w:rsidRPr="00332DF6">
              <w:t>–</w:t>
            </w:r>
            <w:r w:rsidRPr="00332DF6">
              <w:t>13</w:t>
            </w:r>
          </w:p>
        </w:tc>
        <w:tc>
          <w:tcPr>
            <w:tcW w:w="920" w:type="dxa"/>
            <w:noWrap/>
            <w:hideMark/>
          </w:tcPr>
          <w:p w14:paraId="420DCCB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CBB" w14:textId="77777777" w:rsidR="006B1681" w:rsidRPr="00332DF6" w:rsidRDefault="006B1681" w:rsidP="00152088">
            <w:pPr>
              <w:pStyle w:val="TableTextEntries"/>
              <w:jc w:val="center"/>
            </w:pPr>
            <w:r w:rsidRPr="00332DF6">
              <w:t>6</w:t>
            </w:r>
          </w:p>
        </w:tc>
        <w:tc>
          <w:tcPr>
            <w:tcW w:w="894" w:type="dxa"/>
            <w:tcBorders>
              <w:top w:val="nil"/>
              <w:bottom w:val="nil"/>
            </w:tcBorders>
            <w:shd w:val="clear" w:color="auto" w:fill="FFFF00"/>
            <w:noWrap/>
            <w:hideMark/>
          </w:tcPr>
          <w:p w14:paraId="420DCCBC"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B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CBE"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CB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92D050"/>
            <w:noWrap/>
            <w:hideMark/>
          </w:tcPr>
          <w:p w14:paraId="420DCCC0" w14:textId="77777777" w:rsidR="006B1681" w:rsidRPr="00332DF6" w:rsidRDefault="006B1681" w:rsidP="00152088">
            <w:pPr>
              <w:pStyle w:val="TableTextEntries"/>
              <w:jc w:val="center"/>
            </w:pPr>
            <w:r w:rsidRPr="00332DF6">
              <w:t>5</w:t>
            </w:r>
          </w:p>
        </w:tc>
      </w:tr>
      <w:tr w:rsidR="006B1681" w:rsidRPr="00250BC3" w14:paraId="420DCCC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C2" w14:textId="77777777" w:rsidR="006B1681" w:rsidRPr="00332DF6" w:rsidRDefault="006B1681" w:rsidP="00332DF6">
            <w:pPr>
              <w:pStyle w:val="TableTextEntries"/>
            </w:pPr>
          </w:p>
        </w:tc>
        <w:tc>
          <w:tcPr>
            <w:tcW w:w="887" w:type="dxa"/>
            <w:vMerge/>
            <w:hideMark/>
          </w:tcPr>
          <w:p w14:paraId="420DCCC3" w14:textId="77777777" w:rsidR="006B1681" w:rsidRPr="00332DF6" w:rsidRDefault="006B1681" w:rsidP="00332DF6">
            <w:pPr>
              <w:pStyle w:val="TableTextEntries"/>
            </w:pPr>
          </w:p>
        </w:tc>
        <w:tc>
          <w:tcPr>
            <w:tcW w:w="1840" w:type="dxa"/>
            <w:vMerge/>
            <w:hideMark/>
          </w:tcPr>
          <w:p w14:paraId="420DCCC4" w14:textId="77777777" w:rsidR="006B1681" w:rsidRPr="00332DF6" w:rsidRDefault="006B1681" w:rsidP="00332DF6">
            <w:pPr>
              <w:pStyle w:val="TableTextEntries"/>
            </w:pPr>
          </w:p>
        </w:tc>
        <w:tc>
          <w:tcPr>
            <w:tcW w:w="1128" w:type="dxa"/>
            <w:vMerge/>
            <w:hideMark/>
          </w:tcPr>
          <w:p w14:paraId="420DCCC5" w14:textId="77777777" w:rsidR="006B1681" w:rsidRPr="00332DF6" w:rsidRDefault="006B1681" w:rsidP="00332DF6">
            <w:pPr>
              <w:pStyle w:val="TableTextEntries"/>
            </w:pPr>
          </w:p>
        </w:tc>
        <w:tc>
          <w:tcPr>
            <w:tcW w:w="920" w:type="dxa"/>
            <w:noWrap/>
            <w:hideMark/>
          </w:tcPr>
          <w:p w14:paraId="420DCCC6" w14:textId="77777777" w:rsidR="006B1681" w:rsidRPr="00332DF6" w:rsidRDefault="006B1681" w:rsidP="00332DF6">
            <w:pPr>
              <w:pStyle w:val="TableTextEntries"/>
            </w:pPr>
            <w:r w:rsidRPr="00332DF6">
              <w:t>2012</w:t>
            </w:r>
          </w:p>
        </w:tc>
        <w:tc>
          <w:tcPr>
            <w:tcW w:w="894" w:type="dxa"/>
            <w:shd w:val="clear" w:color="auto" w:fill="92D050"/>
            <w:noWrap/>
            <w:hideMark/>
          </w:tcPr>
          <w:p w14:paraId="420DCCC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CC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C9"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CA"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CB"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CCC" w14:textId="77777777" w:rsidR="006B1681" w:rsidRPr="00332DF6" w:rsidRDefault="006B1681" w:rsidP="00152088">
            <w:pPr>
              <w:pStyle w:val="TableTextEntries"/>
              <w:jc w:val="center"/>
            </w:pPr>
            <w:r w:rsidRPr="00332DF6">
              <w:t>5</w:t>
            </w:r>
          </w:p>
        </w:tc>
      </w:tr>
      <w:tr w:rsidR="006B1681" w:rsidRPr="00250BC3" w14:paraId="420DCCD9" w14:textId="77777777" w:rsidTr="00A84A34">
        <w:trPr>
          <w:tblHeader w:val="0"/>
        </w:trPr>
        <w:tc>
          <w:tcPr>
            <w:tcW w:w="2785" w:type="dxa"/>
            <w:vMerge w:val="restart"/>
            <w:hideMark/>
          </w:tcPr>
          <w:p w14:paraId="420DCCCE" w14:textId="77777777" w:rsidR="006B1681" w:rsidRPr="00332DF6" w:rsidRDefault="006B1681" w:rsidP="00332DF6">
            <w:pPr>
              <w:pStyle w:val="TableTextEntries"/>
            </w:pPr>
            <w:r w:rsidRPr="00332DF6">
              <w:t xml:space="preserve">SPREP Partnership Arrangement </w:t>
            </w:r>
            <w:r w:rsidRPr="00332DF6">
              <w:lastRenderedPageBreak/>
              <w:t>2011</w:t>
            </w:r>
            <w:r w:rsidR="00D12BCD" w:rsidRPr="00332DF6">
              <w:t>–</w:t>
            </w:r>
            <w:r w:rsidRPr="00332DF6">
              <w:t>2015</w:t>
            </w:r>
          </w:p>
        </w:tc>
        <w:tc>
          <w:tcPr>
            <w:tcW w:w="887" w:type="dxa"/>
            <w:vMerge w:val="restart"/>
            <w:noWrap/>
            <w:hideMark/>
          </w:tcPr>
          <w:p w14:paraId="420DCCCF" w14:textId="77777777" w:rsidR="006B1681" w:rsidRPr="00332DF6" w:rsidRDefault="006B1681" w:rsidP="00332DF6">
            <w:pPr>
              <w:pStyle w:val="TableTextEntries"/>
            </w:pPr>
            <w:r w:rsidRPr="00332DF6">
              <w:lastRenderedPageBreak/>
              <w:t>INJ804</w:t>
            </w:r>
          </w:p>
        </w:tc>
        <w:tc>
          <w:tcPr>
            <w:tcW w:w="1840" w:type="dxa"/>
            <w:vMerge w:val="restart"/>
            <w:hideMark/>
          </w:tcPr>
          <w:p w14:paraId="420DCCD0" w14:textId="77777777" w:rsidR="006B1681" w:rsidRPr="00332DF6" w:rsidRDefault="006B1681" w:rsidP="00332DF6">
            <w:pPr>
              <w:pStyle w:val="TableTextEntries"/>
            </w:pPr>
            <w:r w:rsidRPr="00332DF6">
              <w:t>$16,297,000.00</w:t>
            </w:r>
          </w:p>
        </w:tc>
        <w:tc>
          <w:tcPr>
            <w:tcW w:w="1128" w:type="dxa"/>
            <w:vMerge w:val="restart"/>
            <w:noWrap/>
            <w:hideMark/>
          </w:tcPr>
          <w:p w14:paraId="420DCCD1" w14:textId="77777777" w:rsidR="006B1681" w:rsidRPr="00332DF6" w:rsidRDefault="006B1681" w:rsidP="00332DF6">
            <w:pPr>
              <w:pStyle w:val="TableTextEntries"/>
            </w:pPr>
            <w:r w:rsidRPr="00332DF6">
              <w:t>2011</w:t>
            </w:r>
            <w:r w:rsidR="00464D90" w:rsidRPr="00332DF6">
              <w:t>–</w:t>
            </w:r>
            <w:r w:rsidRPr="00332DF6">
              <w:t>15</w:t>
            </w:r>
          </w:p>
        </w:tc>
        <w:tc>
          <w:tcPr>
            <w:tcW w:w="920" w:type="dxa"/>
            <w:noWrap/>
            <w:hideMark/>
          </w:tcPr>
          <w:p w14:paraId="420DCCD2"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CD3"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FFF00"/>
            <w:noWrap/>
            <w:hideMark/>
          </w:tcPr>
          <w:p w14:paraId="420DCCD4"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D5"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D6"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D7"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CD8" w14:textId="77777777" w:rsidR="006B1681" w:rsidRPr="00332DF6" w:rsidRDefault="006B1681" w:rsidP="00152088">
            <w:pPr>
              <w:pStyle w:val="TableTextEntries"/>
              <w:jc w:val="center"/>
            </w:pPr>
            <w:r w:rsidRPr="00332DF6">
              <w:t>4</w:t>
            </w:r>
          </w:p>
        </w:tc>
      </w:tr>
      <w:tr w:rsidR="006B1681" w:rsidRPr="00250BC3" w14:paraId="420DCCE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DA" w14:textId="77777777" w:rsidR="006B1681" w:rsidRPr="00332DF6" w:rsidRDefault="006B1681" w:rsidP="00332DF6">
            <w:pPr>
              <w:pStyle w:val="TableTextEntries"/>
            </w:pPr>
          </w:p>
        </w:tc>
        <w:tc>
          <w:tcPr>
            <w:tcW w:w="887" w:type="dxa"/>
            <w:vMerge/>
            <w:hideMark/>
          </w:tcPr>
          <w:p w14:paraId="420DCCDB" w14:textId="77777777" w:rsidR="006B1681" w:rsidRPr="00332DF6" w:rsidRDefault="006B1681" w:rsidP="00332DF6">
            <w:pPr>
              <w:pStyle w:val="TableTextEntries"/>
            </w:pPr>
          </w:p>
        </w:tc>
        <w:tc>
          <w:tcPr>
            <w:tcW w:w="1840" w:type="dxa"/>
            <w:vMerge/>
            <w:hideMark/>
          </w:tcPr>
          <w:p w14:paraId="420DCCDC" w14:textId="77777777" w:rsidR="006B1681" w:rsidRPr="00332DF6" w:rsidRDefault="006B1681" w:rsidP="00332DF6">
            <w:pPr>
              <w:pStyle w:val="TableTextEntries"/>
            </w:pPr>
          </w:p>
        </w:tc>
        <w:tc>
          <w:tcPr>
            <w:tcW w:w="1128" w:type="dxa"/>
            <w:vMerge/>
            <w:hideMark/>
          </w:tcPr>
          <w:p w14:paraId="420DCCDD" w14:textId="77777777" w:rsidR="006B1681" w:rsidRPr="00332DF6" w:rsidRDefault="006B1681" w:rsidP="00332DF6">
            <w:pPr>
              <w:pStyle w:val="TableTextEntries"/>
            </w:pPr>
          </w:p>
        </w:tc>
        <w:tc>
          <w:tcPr>
            <w:tcW w:w="920" w:type="dxa"/>
            <w:noWrap/>
            <w:hideMark/>
          </w:tcPr>
          <w:p w14:paraId="420DCCDE" w14:textId="77777777" w:rsidR="006B1681" w:rsidRPr="00332DF6" w:rsidRDefault="006B1681" w:rsidP="00332DF6">
            <w:pPr>
              <w:pStyle w:val="TableTextEntries"/>
            </w:pPr>
            <w:r w:rsidRPr="00332DF6">
              <w:t>2012</w:t>
            </w:r>
          </w:p>
        </w:tc>
        <w:tc>
          <w:tcPr>
            <w:tcW w:w="894" w:type="dxa"/>
            <w:shd w:val="clear" w:color="auto" w:fill="92D050"/>
            <w:noWrap/>
            <w:hideMark/>
          </w:tcPr>
          <w:p w14:paraId="420DCCDF"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CE0"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E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E2"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CE3" w14:textId="77777777" w:rsidR="006B1681" w:rsidRPr="00332DF6" w:rsidRDefault="006B1681" w:rsidP="00152088">
            <w:pPr>
              <w:pStyle w:val="TableTextEntries"/>
              <w:jc w:val="center"/>
            </w:pPr>
            <w:r w:rsidRPr="00332DF6">
              <w:t>5</w:t>
            </w:r>
          </w:p>
        </w:tc>
        <w:tc>
          <w:tcPr>
            <w:tcW w:w="894" w:type="dxa"/>
            <w:shd w:val="clear" w:color="auto" w:fill="F79646" w:themeFill="accent6"/>
            <w:noWrap/>
            <w:hideMark/>
          </w:tcPr>
          <w:p w14:paraId="420DCCE4" w14:textId="77777777" w:rsidR="006B1681" w:rsidRPr="00332DF6" w:rsidRDefault="006B1681" w:rsidP="00152088">
            <w:pPr>
              <w:pStyle w:val="TableTextEntries"/>
              <w:jc w:val="center"/>
            </w:pPr>
            <w:r w:rsidRPr="00332DF6">
              <w:t>3</w:t>
            </w:r>
          </w:p>
        </w:tc>
      </w:tr>
      <w:tr w:rsidR="006B1681" w:rsidRPr="00250BC3" w14:paraId="420DCCF1" w14:textId="77777777" w:rsidTr="00332DF6">
        <w:trPr>
          <w:tblHeader w:val="0"/>
        </w:trPr>
        <w:tc>
          <w:tcPr>
            <w:tcW w:w="2785" w:type="dxa"/>
            <w:vMerge w:val="restart"/>
            <w:hideMark/>
          </w:tcPr>
          <w:p w14:paraId="420DCCE6" w14:textId="77777777" w:rsidR="006B1681" w:rsidRPr="00332DF6" w:rsidRDefault="006B1681" w:rsidP="00332DF6">
            <w:pPr>
              <w:pStyle w:val="TableTextEntries"/>
            </w:pPr>
            <w:r w:rsidRPr="00332DF6">
              <w:lastRenderedPageBreak/>
              <w:t xml:space="preserve">Tertiary Health </w:t>
            </w:r>
            <w:r w:rsidR="00D12BCD" w:rsidRPr="00332DF6">
              <w:br/>
            </w:r>
            <w:r w:rsidRPr="00332DF6">
              <w:t>(Pacific Islands Project)</w:t>
            </w:r>
          </w:p>
        </w:tc>
        <w:tc>
          <w:tcPr>
            <w:tcW w:w="887" w:type="dxa"/>
            <w:vMerge w:val="restart"/>
            <w:noWrap/>
            <w:hideMark/>
          </w:tcPr>
          <w:p w14:paraId="420DCCE7" w14:textId="77777777" w:rsidR="006B1681" w:rsidRPr="00332DF6" w:rsidRDefault="006B1681" w:rsidP="00332DF6">
            <w:pPr>
              <w:pStyle w:val="TableTextEntries"/>
            </w:pPr>
            <w:r w:rsidRPr="00332DF6">
              <w:t>INJ833</w:t>
            </w:r>
          </w:p>
        </w:tc>
        <w:tc>
          <w:tcPr>
            <w:tcW w:w="1840" w:type="dxa"/>
            <w:vMerge w:val="restart"/>
            <w:hideMark/>
          </w:tcPr>
          <w:p w14:paraId="420DCCE8" w14:textId="77777777" w:rsidR="006B1681" w:rsidRPr="00332DF6" w:rsidRDefault="006B1681" w:rsidP="00332DF6">
            <w:pPr>
              <w:pStyle w:val="TableTextEntries"/>
            </w:pPr>
            <w:r w:rsidRPr="00332DF6">
              <w:t>$8,083,200.00</w:t>
            </w:r>
          </w:p>
        </w:tc>
        <w:tc>
          <w:tcPr>
            <w:tcW w:w="1128" w:type="dxa"/>
            <w:vMerge w:val="restart"/>
            <w:noWrap/>
            <w:hideMark/>
          </w:tcPr>
          <w:p w14:paraId="420DCCE9" w14:textId="77777777" w:rsidR="006B1681" w:rsidRPr="00332DF6" w:rsidRDefault="006B1681" w:rsidP="00332DF6">
            <w:pPr>
              <w:pStyle w:val="TableTextEntries"/>
            </w:pPr>
            <w:r w:rsidRPr="00332DF6">
              <w:t>2011</w:t>
            </w:r>
            <w:r w:rsidR="00464D90" w:rsidRPr="00332DF6">
              <w:t>–</w:t>
            </w:r>
            <w:r w:rsidRPr="00332DF6">
              <w:t>15</w:t>
            </w:r>
          </w:p>
        </w:tc>
        <w:tc>
          <w:tcPr>
            <w:tcW w:w="920" w:type="dxa"/>
            <w:noWrap/>
            <w:hideMark/>
          </w:tcPr>
          <w:p w14:paraId="420DCCEA" w14:textId="77777777" w:rsidR="006B1681" w:rsidRPr="00332DF6" w:rsidRDefault="006B1681" w:rsidP="00332DF6">
            <w:pPr>
              <w:pStyle w:val="TableTextEntries"/>
            </w:pPr>
            <w:r w:rsidRPr="00332DF6">
              <w:t>2011</w:t>
            </w:r>
          </w:p>
        </w:tc>
        <w:tc>
          <w:tcPr>
            <w:tcW w:w="894" w:type="dxa"/>
            <w:noWrap/>
            <w:hideMark/>
          </w:tcPr>
          <w:p w14:paraId="420DCCEB" w14:textId="77777777" w:rsidR="006B1681" w:rsidRPr="00332DF6" w:rsidRDefault="006B1681" w:rsidP="00152088">
            <w:pPr>
              <w:pStyle w:val="TableTextEntries"/>
              <w:jc w:val="center"/>
            </w:pPr>
            <w:r w:rsidRPr="00332DF6">
              <w:t>N/A</w:t>
            </w:r>
          </w:p>
        </w:tc>
        <w:tc>
          <w:tcPr>
            <w:tcW w:w="894" w:type="dxa"/>
            <w:noWrap/>
            <w:hideMark/>
          </w:tcPr>
          <w:p w14:paraId="420DCCEC" w14:textId="77777777" w:rsidR="006B1681" w:rsidRPr="00332DF6" w:rsidRDefault="006B1681" w:rsidP="00152088">
            <w:pPr>
              <w:pStyle w:val="TableTextEntries"/>
              <w:jc w:val="center"/>
            </w:pPr>
            <w:r w:rsidRPr="00332DF6">
              <w:t>N/A</w:t>
            </w:r>
          </w:p>
        </w:tc>
        <w:tc>
          <w:tcPr>
            <w:tcW w:w="894" w:type="dxa"/>
            <w:noWrap/>
            <w:hideMark/>
          </w:tcPr>
          <w:p w14:paraId="420DCCED" w14:textId="77777777" w:rsidR="006B1681" w:rsidRPr="00332DF6" w:rsidRDefault="006B1681" w:rsidP="00152088">
            <w:pPr>
              <w:pStyle w:val="TableTextEntries"/>
              <w:jc w:val="center"/>
            </w:pPr>
            <w:r w:rsidRPr="00332DF6">
              <w:t>N/A</w:t>
            </w:r>
          </w:p>
        </w:tc>
        <w:tc>
          <w:tcPr>
            <w:tcW w:w="894" w:type="dxa"/>
            <w:noWrap/>
            <w:hideMark/>
          </w:tcPr>
          <w:p w14:paraId="420DCCEE" w14:textId="77777777" w:rsidR="006B1681" w:rsidRPr="00332DF6" w:rsidRDefault="006B1681" w:rsidP="00152088">
            <w:pPr>
              <w:pStyle w:val="TableTextEntries"/>
              <w:jc w:val="center"/>
            </w:pPr>
            <w:r w:rsidRPr="00332DF6">
              <w:t>N/A</w:t>
            </w:r>
          </w:p>
        </w:tc>
        <w:tc>
          <w:tcPr>
            <w:tcW w:w="894" w:type="dxa"/>
            <w:noWrap/>
            <w:hideMark/>
          </w:tcPr>
          <w:p w14:paraId="420DCCEF" w14:textId="77777777" w:rsidR="006B1681" w:rsidRPr="00332DF6" w:rsidRDefault="006B1681" w:rsidP="00152088">
            <w:pPr>
              <w:pStyle w:val="TableTextEntries"/>
              <w:jc w:val="center"/>
            </w:pPr>
            <w:r w:rsidRPr="00332DF6">
              <w:t>N/A</w:t>
            </w:r>
          </w:p>
        </w:tc>
        <w:tc>
          <w:tcPr>
            <w:tcW w:w="894" w:type="dxa"/>
            <w:noWrap/>
            <w:hideMark/>
          </w:tcPr>
          <w:p w14:paraId="420DCCF0" w14:textId="77777777" w:rsidR="006B1681" w:rsidRPr="00332DF6" w:rsidRDefault="006B1681" w:rsidP="00152088">
            <w:pPr>
              <w:pStyle w:val="TableTextEntries"/>
              <w:jc w:val="center"/>
            </w:pPr>
            <w:r w:rsidRPr="00332DF6">
              <w:t>N/A</w:t>
            </w:r>
          </w:p>
        </w:tc>
      </w:tr>
      <w:tr w:rsidR="006B1681" w:rsidRPr="00250BC3" w14:paraId="420DCCF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CF2" w14:textId="77777777" w:rsidR="006B1681" w:rsidRPr="00332DF6" w:rsidRDefault="006B1681" w:rsidP="00332DF6">
            <w:pPr>
              <w:pStyle w:val="TableTextEntries"/>
            </w:pPr>
          </w:p>
        </w:tc>
        <w:tc>
          <w:tcPr>
            <w:tcW w:w="887" w:type="dxa"/>
            <w:vMerge/>
            <w:hideMark/>
          </w:tcPr>
          <w:p w14:paraId="420DCCF3" w14:textId="77777777" w:rsidR="006B1681" w:rsidRPr="00332DF6" w:rsidRDefault="006B1681" w:rsidP="00332DF6">
            <w:pPr>
              <w:pStyle w:val="TableTextEntries"/>
            </w:pPr>
          </w:p>
        </w:tc>
        <w:tc>
          <w:tcPr>
            <w:tcW w:w="1840" w:type="dxa"/>
            <w:vMerge/>
            <w:hideMark/>
          </w:tcPr>
          <w:p w14:paraId="420DCCF4" w14:textId="77777777" w:rsidR="006B1681" w:rsidRPr="00332DF6" w:rsidRDefault="006B1681" w:rsidP="00332DF6">
            <w:pPr>
              <w:pStyle w:val="TableTextEntries"/>
            </w:pPr>
          </w:p>
        </w:tc>
        <w:tc>
          <w:tcPr>
            <w:tcW w:w="1128" w:type="dxa"/>
            <w:vMerge/>
            <w:hideMark/>
          </w:tcPr>
          <w:p w14:paraId="420DCCF5" w14:textId="77777777" w:rsidR="006B1681" w:rsidRPr="00332DF6" w:rsidRDefault="006B1681" w:rsidP="00332DF6">
            <w:pPr>
              <w:pStyle w:val="TableTextEntries"/>
            </w:pPr>
          </w:p>
        </w:tc>
        <w:tc>
          <w:tcPr>
            <w:tcW w:w="920" w:type="dxa"/>
            <w:noWrap/>
            <w:hideMark/>
          </w:tcPr>
          <w:p w14:paraId="420DCCF6" w14:textId="77777777" w:rsidR="006B1681" w:rsidRPr="00332DF6" w:rsidRDefault="006B1681" w:rsidP="00332DF6">
            <w:pPr>
              <w:pStyle w:val="TableTextEntries"/>
            </w:pPr>
            <w:r w:rsidRPr="00332DF6">
              <w:t>2012</w:t>
            </w:r>
          </w:p>
        </w:tc>
        <w:tc>
          <w:tcPr>
            <w:tcW w:w="894" w:type="dxa"/>
            <w:shd w:val="clear" w:color="auto" w:fill="92D050"/>
            <w:noWrap/>
            <w:hideMark/>
          </w:tcPr>
          <w:p w14:paraId="420DCCF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CF8"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F9"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CFA" w14:textId="77777777" w:rsidR="006B1681" w:rsidRPr="00332DF6" w:rsidRDefault="006B1681" w:rsidP="00152088">
            <w:pPr>
              <w:pStyle w:val="TableTextEntries"/>
              <w:jc w:val="center"/>
            </w:pPr>
            <w:r w:rsidRPr="00332DF6">
              <w:t>3</w:t>
            </w:r>
          </w:p>
        </w:tc>
        <w:tc>
          <w:tcPr>
            <w:tcW w:w="894" w:type="dxa"/>
            <w:shd w:val="clear" w:color="auto" w:fill="FFFF00"/>
            <w:noWrap/>
            <w:hideMark/>
          </w:tcPr>
          <w:p w14:paraId="420DCCFB"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CFC" w14:textId="77777777" w:rsidR="006B1681" w:rsidRPr="00332DF6" w:rsidRDefault="006B1681" w:rsidP="00152088">
            <w:pPr>
              <w:pStyle w:val="TableTextEntries"/>
              <w:jc w:val="center"/>
            </w:pPr>
            <w:r w:rsidRPr="00332DF6">
              <w:t>4</w:t>
            </w:r>
          </w:p>
        </w:tc>
      </w:tr>
      <w:tr w:rsidR="006B1681" w:rsidRPr="00250BC3" w14:paraId="420DCD09" w14:textId="77777777" w:rsidTr="00332DF6">
        <w:trPr>
          <w:tblHeader w:val="0"/>
        </w:trPr>
        <w:tc>
          <w:tcPr>
            <w:tcW w:w="2785" w:type="dxa"/>
            <w:vMerge w:val="restart"/>
            <w:hideMark/>
          </w:tcPr>
          <w:p w14:paraId="420DCCFE" w14:textId="77777777" w:rsidR="006B1681" w:rsidRPr="00332DF6" w:rsidRDefault="006B1681" w:rsidP="00332DF6">
            <w:pPr>
              <w:pStyle w:val="TableTextEntries"/>
            </w:pPr>
            <w:r w:rsidRPr="00332DF6">
              <w:t xml:space="preserve">Pacific Legal Information Institute </w:t>
            </w:r>
          </w:p>
        </w:tc>
        <w:tc>
          <w:tcPr>
            <w:tcW w:w="887" w:type="dxa"/>
            <w:vMerge w:val="restart"/>
            <w:noWrap/>
            <w:hideMark/>
          </w:tcPr>
          <w:p w14:paraId="420DCCFF" w14:textId="77777777" w:rsidR="006B1681" w:rsidRPr="00332DF6" w:rsidRDefault="006B1681" w:rsidP="00332DF6">
            <w:pPr>
              <w:pStyle w:val="TableTextEntries"/>
            </w:pPr>
            <w:r w:rsidRPr="00332DF6">
              <w:t>INJ911</w:t>
            </w:r>
          </w:p>
        </w:tc>
        <w:tc>
          <w:tcPr>
            <w:tcW w:w="1840" w:type="dxa"/>
            <w:vMerge w:val="restart"/>
            <w:hideMark/>
          </w:tcPr>
          <w:p w14:paraId="420DCD00" w14:textId="77777777" w:rsidR="006B1681" w:rsidRPr="00332DF6" w:rsidRDefault="006B1681" w:rsidP="00332DF6">
            <w:pPr>
              <w:pStyle w:val="TableTextEntries"/>
            </w:pPr>
            <w:r w:rsidRPr="00332DF6">
              <w:t>$2,637,215.00</w:t>
            </w:r>
          </w:p>
        </w:tc>
        <w:tc>
          <w:tcPr>
            <w:tcW w:w="1128" w:type="dxa"/>
            <w:vMerge w:val="restart"/>
            <w:noWrap/>
            <w:hideMark/>
          </w:tcPr>
          <w:p w14:paraId="420DCD01" w14:textId="77777777" w:rsidR="006B1681" w:rsidRPr="00332DF6" w:rsidRDefault="006B1681" w:rsidP="00332DF6">
            <w:pPr>
              <w:pStyle w:val="TableTextEntries"/>
            </w:pPr>
            <w:r w:rsidRPr="00332DF6">
              <w:t>2011</w:t>
            </w:r>
            <w:r w:rsidR="00464D90" w:rsidRPr="00332DF6">
              <w:t>–</w:t>
            </w:r>
            <w:r w:rsidRPr="00332DF6">
              <w:t>15</w:t>
            </w:r>
          </w:p>
        </w:tc>
        <w:tc>
          <w:tcPr>
            <w:tcW w:w="920" w:type="dxa"/>
            <w:noWrap/>
            <w:hideMark/>
          </w:tcPr>
          <w:p w14:paraId="420DCD02" w14:textId="77777777" w:rsidR="006B1681" w:rsidRPr="00332DF6" w:rsidRDefault="006B1681" w:rsidP="00332DF6">
            <w:pPr>
              <w:pStyle w:val="TableTextEntries"/>
            </w:pPr>
            <w:r w:rsidRPr="00332DF6">
              <w:t>2011</w:t>
            </w:r>
          </w:p>
        </w:tc>
        <w:tc>
          <w:tcPr>
            <w:tcW w:w="894" w:type="dxa"/>
            <w:noWrap/>
            <w:hideMark/>
          </w:tcPr>
          <w:p w14:paraId="420DCD03" w14:textId="77777777" w:rsidR="006B1681" w:rsidRPr="00332DF6" w:rsidRDefault="006B1681" w:rsidP="00152088">
            <w:pPr>
              <w:pStyle w:val="TableTextEntries"/>
              <w:jc w:val="center"/>
            </w:pPr>
            <w:r w:rsidRPr="00332DF6">
              <w:t>N/A</w:t>
            </w:r>
          </w:p>
        </w:tc>
        <w:tc>
          <w:tcPr>
            <w:tcW w:w="894" w:type="dxa"/>
            <w:noWrap/>
            <w:hideMark/>
          </w:tcPr>
          <w:p w14:paraId="420DCD04" w14:textId="77777777" w:rsidR="006B1681" w:rsidRPr="00332DF6" w:rsidRDefault="006B1681" w:rsidP="00152088">
            <w:pPr>
              <w:pStyle w:val="TableTextEntries"/>
              <w:jc w:val="center"/>
            </w:pPr>
            <w:r w:rsidRPr="00332DF6">
              <w:t>N/A</w:t>
            </w:r>
          </w:p>
        </w:tc>
        <w:tc>
          <w:tcPr>
            <w:tcW w:w="894" w:type="dxa"/>
            <w:noWrap/>
            <w:hideMark/>
          </w:tcPr>
          <w:p w14:paraId="420DCD05" w14:textId="77777777" w:rsidR="006B1681" w:rsidRPr="00332DF6" w:rsidRDefault="006B1681" w:rsidP="00152088">
            <w:pPr>
              <w:pStyle w:val="TableTextEntries"/>
              <w:jc w:val="center"/>
            </w:pPr>
            <w:r w:rsidRPr="00332DF6">
              <w:t>N/A</w:t>
            </w:r>
          </w:p>
        </w:tc>
        <w:tc>
          <w:tcPr>
            <w:tcW w:w="894" w:type="dxa"/>
            <w:noWrap/>
            <w:hideMark/>
          </w:tcPr>
          <w:p w14:paraId="420DCD06" w14:textId="77777777" w:rsidR="006B1681" w:rsidRPr="00332DF6" w:rsidRDefault="006B1681" w:rsidP="00152088">
            <w:pPr>
              <w:pStyle w:val="TableTextEntries"/>
              <w:jc w:val="center"/>
            </w:pPr>
            <w:r w:rsidRPr="00332DF6">
              <w:t>N/A</w:t>
            </w:r>
          </w:p>
        </w:tc>
        <w:tc>
          <w:tcPr>
            <w:tcW w:w="894" w:type="dxa"/>
            <w:noWrap/>
            <w:hideMark/>
          </w:tcPr>
          <w:p w14:paraId="420DCD07" w14:textId="77777777" w:rsidR="006B1681" w:rsidRPr="00332DF6" w:rsidRDefault="006B1681" w:rsidP="00152088">
            <w:pPr>
              <w:pStyle w:val="TableTextEntries"/>
              <w:jc w:val="center"/>
            </w:pPr>
            <w:r w:rsidRPr="00332DF6">
              <w:t>N/A</w:t>
            </w:r>
          </w:p>
        </w:tc>
        <w:tc>
          <w:tcPr>
            <w:tcW w:w="894" w:type="dxa"/>
            <w:noWrap/>
            <w:hideMark/>
          </w:tcPr>
          <w:p w14:paraId="420DCD08" w14:textId="77777777" w:rsidR="006B1681" w:rsidRPr="00332DF6" w:rsidRDefault="006B1681" w:rsidP="00152088">
            <w:pPr>
              <w:pStyle w:val="TableTextEntries"/>
              <w:jc w:val="center"/>
            </w:pPr>
            <w:r w:rsidRPr="00332DF6">
              <w:t>N/A</w:t>
            </w:r>
          </w:p>
        </w:tc>
      </w:tr>
      <w:tr w:rsidR="006B1681" w:rsidRPr="00250BC3" w14:paraId="420DCD1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0A" w14:textId="77777777" w:rsidR="006B1681" w:rsidRPr="00332DF6" w:rsidRDefault="006B1681" w:rsidP="00332DF6">
            <w:pPr>
              <w:pStyle w:val="TableTextEntries"/>
            </w:pPr>
          </w:p>
        </w:tc>
        <w:tc>
          <w:tcPr>
            <w:tcW w:w="887" w:type="dxa"/>
            <w:vMerge/>
            <w:hideMark/>
          </w:tcPr>
          <w:p w14:paraId="420DCD0B" w14:textId="77777777" w:rsidR="006B1681" w:rsidRPr="00332DF6" w:rsidRDefault="006B1681" w:rsidP="00332DF6">
            <w:pPr>
              <w:pStyle w:val="TableTextEntries"/>
            </w:pPr>
          </w:p>
        </w:tc>
        <w:tc>
          <w:tcPr>
            <w:tcW w:w="1840" w:type="dxa"/>
            <w:vMerge/>
            <w:hideMark/>
          </w:tcPr>
          <w:p w14:paraId="420DCD0C" w14:textId="77777777" w:rsidR="006B1681" w:rsidRPr="00332DF6" w:rsidRDefault="006B1681" w:rsidP="00332DF6">
            <w:pPr>
              <w:pStyle w:val="TableTextEntries"/>
            </w:pPr>
          </w:p>
        </w:tc>
        <w:tc>
          <w:tcPr>
            <w:tcW w:w="1128" w:type="dxa"/>
            <w:vMerge/>
            <w:hideMark/>
          </w:tcPr>
          <w:p w14:paraId="420DCD0D" w14:textId="77777777" w:rsidR="006B1681" w:rsidRPr="00332DF6" w:rsidRDefault="006B1681" w:rsidP="00332DF6">
            <w:pPr>
              <w:pStyle w:val="TableTextEntries"/>
            </w:pPr>
          </w:p>
        </w:tc>
        <w:tc>
          <w:tcPr>
            <w:tcW w:w="920" w:type="dxa"/>
            <w:noWrap/>
            <w:hideMark/>
          </w:tcPr>
          <w:p w14:paraId="420DCD0E" w14:textId="77777777" w:rsidR="006B1681" w:rsidRPr="00332DF6" w:rsidRDefault="006B1681" w:rsidP="00332DF6">
            <w:pPr>
              <w:pStyle w:val="TableTextEntries"/>
            </w:pPr>
            <w:r w:rsidRPr="00332DF6">
              <w:t>2012</w:t>
            </w:r>
          </w:p>
        </w:tc>
        <w:tc>
          <w:tcPr>
            <w:tcW w:w="894" w:type="dxa"/>
            <w:shd w:val="clear" w:color="auto" w:fill="92D050"/>
            <w:noWrap/>
            <w:hideMark/>
          </w:tcPr>
          <w:p w14:paraId="420DCD0F"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D1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1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D12"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D13"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D14" w14:textId="77777777" w:rsidR="006B1681" w:rsidRPr="00332DF6" w:rsidRDefault="006B1681" w:rsidP="00152088">
            <w:pPr>
              <w:pStyle w:val="TableTextEntries"/>
              <w:jc w:val="center"/>
            </w:pPr>
            <w:r w:rsidRPr="00332DF6">
              <w:t>5</w:t>
            </w:r>
          </w:p>
        </w:tc>
      </w:tr>
      <w:tr w:rsidR="006B1681" w:rsidRPr="00250BC3" w14:paraId="420DCD21" w14:textId="77777777" w:rsidTr="00A84A34">
        <w:trPr>
          <w:tblHeader w:val="0"/>
        </w:trPr>
        <w:tc>
          <w:tcPr>
            <w:tcW w:w="2785" w:type="dxa"/>
            <w:vMerge w:val="restart"/>
            <w:hideMark/>
          </w:tcPr>
          <w:p w14:paraId="420DCD16" w14:textId="77777777" w:rsidR="006B1681" w:rsidRPr="00332DF6" w:rsidRDefault="006B1681" w:rsidP="00332DF6">
            <w:pPr>
              <w:pStyle w:val="TableTextEntries"/>
            </w:pPr>
            <w:r w:rsidRPr="00332DF6">
              <w:t>Pacific Adaptation to Climate Change Project</w:t>
            </w:r>
          </w:p>
        </w:tc>
        <w:tc>
          <w:tcPr>
            <w:tcW w:w="887" w:type="dxa"/>
            <w:vMerge w:val="restart"/>
            <w:noWrap/>
            <w:hideMark/>
          </w:tcPr>
          <w:p w14:paraId="420DCD17" w14:textId="77777777" w:rsidR="006B1681" w:rsidRPr="00332DF6" w:rsidRDefault="006B1681" w:rsidP="00332DF6">
            <w:pPr>
              <w:pStyle w:val="TableTextEntries"/>
            </w:pPr>
            <w:r w:rsidRPr="00332DF6">
              <w:t>INJ927</w:t>
            </w:r>
          </w:p>
        </w:tc>
        <w:tc>
          <w:tcPr>
            <w:tcW w:w="1840" w:type="dxa"/>
            <w:vMerge w:val="restart"/>
            <w:hideMark/>
          </w:tcPr>
          <w:p w14:paraId="420DCD18" w14:textId="77777777" w:rsidR="006B1681" w:rsidRPr="00332DF6" w:rsidRDefault="006B1681" w:rsidP="00332DF6">
            <w:pPr>
              <w:pStyle w:val="TableTextEntries"/>
            </w:pPr>
            <w:r w:rsidRPr="00332DF6">
              <w:t>$7,348,242.00</w:t>
            </w:r>
          </w:p>
        </w:tc>
        <w:tc>
          <w:tcPr>
            <w:tcW w:w="1128" w:type="dxa"/>
            <w:vMerge w:val="restart"/>
            <w:noWrap/>
            <w:hideMark/>
          </w:tcPr>
          <w:p w14:paraId="420DCD19" w14:textId="77777777" w:rsidR="006B1681" w:rsidRPr="00332DF6" w:rsidRDefault="006B1681" w:rsidP="00332DF6">
            <w:pPr>
              <w:pStyle w:val="TableTextEntries"/>
            </w:pPr>
            <w:r w:rsidRPr="00332DF6">
              <w:t>2011</w:t>
            </w:r>
            <w:r w:rsidR="00464D90" w:rsidRPr="00332DF6">
              <w:t>–</w:t>
            </w:r>
            <w:r w:rsidRPr="00332DF6">
              <w:t>14</w:t>
            </w:r>
          </w:p>
        </w:tc>
        <w:tc>
          <w:tcPr>
            <w:tcW w:w="920" w:type="dxa"/>
            <w:noWrap/>
            <w:hideMark/>
          </w:tcPr>
          <w:p w14:paraId="420DCD1A" w14:textId="77777777" w:rsidR="006B1681" w:rsidRPr="00332DF6" w:rsidRDefault="006B1681" w:rsidP="00332DF6">
            <w:pPr>
              <w:pStyle w:val="TableTextEntries"/>
            </w:pPr>
            <w:r w:rsidRPr="00332DF6">
              <w:t>2011</w:t>
            </w:r>
          </w:p>
        </w:tc>
        <w:tc>
          <w:tcPr>
            <w:tcW w:w="894" w:type="dxa"/>
            <w:tcBorders>
              <w:top w:val="nil"/>
              <w:bottom w:val="nil"/>
            </w:tcBorders>
            <w:shd w:val="clear" w:color="auto" w:fill="92D050"/>
            <w:noWrap/>
            <w:hideMark/>
          </w:tcPr>
          <w:p w14:paraId="420DCD1B" w14:textId="77777777" w:rsidR="006B1681" w:rsidRPr="00332DF6" w:rsidRDefault="006B1681" w:rsidP="00152088">
            <w:pPr>
              <w:pStyle w:val="TableTextEntries"/>
              <w:jc w:val="center"/>
            </w:pPr>
            <w:r w:rsidRPr="00332DF6">
              <w:t>5</w:t>
            </w:r>
          </w:p>
        </w:tc>
        <w:tc>
          <w:tcPr>
            <w:tcW w:w="894" w:type="dxa"/>
            <w:tcBorders>
              <w:top w:val="nil"/>
              <w:bottom w:val="nil"/>
            </w:tcBorders>
            <w:shd w:val="clear" w:color="auto" w:fill="F79646" w:themeFill="accent6"/>
            <w:noWrap/>
            <w:hideMark/>
          </w:tcPr>
          <w:p w14:paraId="420DCD1C" w14:textId="77777777" w:rsidR="006B1681" w:rsidRPr="00332DF6" w:rsidRDefault="006B1681" w:rsidP="00152088">
            <w:pPr>
              <w:pStyle w:val="TableTextEntries"/>
              <w:jc w:val="center"/>
            </w:pPr>
            <w:r w:rsidRPr="00332DF6">
              <w:t>3</w:t>
            </w:r>
          </w:p>
        </w:tc>
        <w:tc>
          <w:tcPr>
            <w:tcW w:w="894" w:type="dxa"/>
            <w:tcBorders>
              <w:top w:val="nil"/>
              <w:bottom w:val="nil"/>
            </w:tcBorders>
            <w:shd w:val="clear" w:color="auto" w:fill="FFFF00"/>
            <w:noWrap/>
            <w:hideMark/>
          </w:tcPr>
          <w:p w14:paraId="420DCD1D"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D1E"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FFF00"/>
            <w:noWrap/>
            <w:hideMark/>
          </w:tcPr>
          <w:p w14:paraId="420DCD1F" w14:textId="77777777" w:rsidR="006B1681" w:rsidRPr="00332DF6" w:rsidRDefault="006B1681" w:rsidP="00152088">
            <w:pPr>
              <w:pStyle w:val="TableTextEntries"/>
              <w:jc w:val="center"/>
            </w:pPr>
            <w:r w:rsidRPr="00332DF6">
              <w:t>4</w:t>
            </w:r>
          </w:p>
        </w:tc>
        <w:tc>
          <w:tcPr>
            <w:tcW w:w="894" w:type="dxa"/>
            <w:tcBorders>
              <w:top w:val="nil"/>
              <w:bottom w:val="nil"/>
            </w:tcBorders>
            <w:shd w:val="clear" w:color="auto" w:fill="F79646" w:themeFill="accent6"/>
            <w:noWrap/>
            <w:hideMark/>
          </w:tcPr>
          <w:p w14:paraId="420DCD20" w14:textId="77777777" w:rsidR="006B1681" w:rsidRPr="00332DF6" w:rsidRDefault="006B1681" w:rsidP="00152088">
            <w:pPr>
              <w:pStyle w:val="TableTextEntries"/>
              <w:jc w:val="center"/>
            </w:pPr>
            <w:r w:rsidRPr="00332DF6">
              <w:t>3</w:t>
            </w:r>
          </w:p>
        </w:tc>
      </w:tr>
      <w:tr w:rsidR="006B1681" w:rsidRPr="00250BC3" w14:paraId="420DCD2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22" w14:textId="77777777" w:rsidR="006B1681" w:rsidRPr="00332DF6" w:rsidRDefault="006B1681" w:rsidP="00332DF6">
            <w:pPr>
              <w:pStyle w:val="TableTextEntries"/>
            </w:pPr>
          </w:p>
        </w:tc>
        <w:tc>
          <w:tcPr>
            <w:tcW w:w="887" w:type="dxa"/>
            <w:vMerge/>
            <w:hideMark/>
          </w:tcPr>
          <w:p w14:paraId="420DCD23" w14:textId="77777777" w:rsidR="006B1681" w:rsidRPr="00332DF6" w:rsidRDefault="006B1681" w:rsidP="00332DF6">
            <w:pPr>
              <w:pStyle w:val="TableTextEntries"/>
            </w:pPr>
          </w:p>
        </w:tc>
        <w:tc>
          <w:tcPr>
            <w:tcW w:w="1840" w:type="dxa"/>
            <w:vMerge/>
            <w:hideMark/>
          </w:tcPr>
          <w:p w14:paraId="420DCD24" w14:textId="77777777" w:rsidR="006B1681" w:rsidRPr="00332DF6" w:rsidRDefault="006B1681" w:rsidP="00332DF6">
            <w:pPr>
              <w:pStyle w:val="TableTextEntries"/>
            </w:pPr>
          </w:p>
        </w:tc>
        <w:tc>
          <w:tcPr>
            <w:tcW w:w="1128" w:type="dxa"/>
            <w:vMerge/>
            <w:hideMark/>
          </w:tcPr>
          <w:p w14:paraId="420DCD25" w14:textId="77777777" w:rsidR="006B1681" w:rsidRPr="00332DF6" w:rsidRDefault="006B1681" w:rsidP="00332DF6">
            <w:pPr>
              <w:pStyle w:val="TableTextEntries"/>
            </w:pPr>
          </w:p>
        </w:tc>
        <w:tc>
          <w:tcPr>
            <w:tcW w:w="920" w:type="dxa"/>
            <w:noWrap/>
            <w:hideMark/>
          </w:tcPr>
          <w:p w14:paraId="420DCD26" w14:textId="77777777" w:rsidR="006B1681" w:rsidRPr="00332DF6" w:rsidRDefault="006B1681" w:rsidP="00332DF6">
            <w:pPr>
              <w:pStyle w:val="TableTextEntries"/>
            </w:pPr>
            <w:r w:rsidRPr="00332DF6">
              <w:t>2012</w:t>
            </w:r>
          </w:p>
        </w:tc>
        <w:tc>
          <w:tcPr>
            <w:tcW w:w="894" w:type="dxa"/>
            <w:shd w:val="clear" w:color="auto" w:fill="FFFF00"/>
            <w:noWrap/>
            <w:hideMark/>
          </w:tcPr>
          <w:p w14:paraId="420DCD27" w14:textId="77777777" w:rsidR="006B1681" w:rsidRPr="00332DF6" w:rsidRDefault="006B1681" w:rsidP="00152088">
            <w:pPr>
              <w:pStyle w:val="TableTextEntries"/>
              <w:jc w:val="center"/>
            </w:pPr>
            <w:r w:rsidRPr="00332DF6">
              <w:t>4</w:t>
            </w:r>
          </w:p>
        </w:tc>
        <w:tc>
          <w:tcPr>
            <w:tcW w:w="894" w:type="dxa"/>
            <w:shd w:val="clear" w:color="auto" w:fill="FF0000"/>
            <w:noWrap/>
            <w:hideMark/>
          </w:tcPr>
          <w:p w14:paraId="420DCD28" w14:textId="77777777" w:rsidR="006B1681" w:rsidRPr="00332DF6" w:rsidRDefault="006B1681" w:rsidP="00152088">
            <w:pPr>
              <w:pStyle w:val="TableTextEntries"/>
              <w:jc w:val="center"/>
            </w:pPr>
            <w:r w:rsidRPr="00332DF6">
              <w:t>2</w:t>
            </w:r>
          </w:p>
        </w:tc>
        <w:tc>
          <w:tcPr>
            <w:tcW w:w="894" w:type="dxa"/>
            <w:shd w:val="clear" w:color="auto" w:fill="FF0000"/>
            <w:noWrap/>
            <w:hideMark/>
          </w:tcPr>
          <w:p w14:paraId="420DCD29" w14:textId="77777777" w:rsidR="006B1681" w:rsidRPr="00332DF6" w:rsidRDefault="006B1681" w:rsidP="00152088">
            <w:pPr>
              <w:pStyle w:val="TableTextEntries"/>
              <w:jc w:val="center"/>
            </w:pPr>
            <w:r w:rsidRPr="00332DF6">
              <w:t>2</w:t>
            </w:r>
          </w:p>
        </w:tc>
        <w:tc>
          <w:tcPr>
            <w:tcW w:w="894" w:type="dxa"/>
            <w:shd w:val="clear" w:color="auto" w:fill="FF0000"/>
            <w:noWrap/>
            <w:hideMark/>
          </w:tcPr>
          <w:p w14:paraId="420DCD2A" w14:textId="77777777" w:rsidR="006B1681" w:rsidRPr="00332DF6" w:rsidRDefault="006B1681" w:rsidP="00152088">
            <w:pPr>
              <w:pStyle w:val="TableTextEntries"/>
              <w:jc w:val="center"/>
            </w:pPr>
            <w:r w:rsidRPr="00332DF6">
              <w:t>2</w:t>
            </w:r>
          </w:p>
        </w:tc>
        <w:tc>
          <w:tcPr>
            <w:tcW w:w="894" w:type="dxa"/>
            <w:shd w:val="clear" w:color="auto" w:fill="F79646" w:themeFill="accent6"/>
            <w:noWrap/>
            <w:hideMark/>
          </w:tcPr>
          <w:p w14:paraId="420DCD2B"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D2C" w14:textId="77777777" w:rsidR="006B1681" w:rsidRPr="00332DF6" w:rsidRDefault="006B1681" w:rsidP="00152088">
            <w:pPr>
              <w:pStyle w:val="TableTextEntries"/>
              <w:jc w:val="center"/>
            </w:pPr>
            <w:r w:rsidRPr="00332DF6">
              <w:t>3</w:t>
            </w:r>
          </w:p>
        </w:tc>
      </w:tr>
      <w:tr w:rsidR="006B1681" w:rsidRPr="00250BC3" w14:paraId="420DCD39" w14:textId="77777777" w:rsidTr="00332DF6">
        <w:trPr>
          <w:tblHeader w:val="0"/>
        </w:trPr>
        <w:tc>
          <w:tcPr>
            <w:tcW w:w="2785" w:type="dxa"/>
            <w:vMerge w:val="restart"/>
            <w:hideMark/>
          </w:tcPr>
          <w:p w14:paraId="420DCD2E" w14:textId="77777777" w:rsidR="006B1681" w:rsidRPr="00332DF6" w:rsidRDefault="006B1681" w:rsidP="00332DF6">
            <w:pPr>
              <w:pStyle w:val="TableTextEntries"/>
            </w:pPr>
            <w:r w:rsidRPr="00332DF6">
              <w:t>Pacific Risk Resilience Program</w:t>
            </w:r>
          </w:p>
        </w:tc>
        <w:tc>
          <w:tcPr>
            <w:tcW w:w="887" w:type="dxa"/>
            <w:vMerge w:val="restart"/>
            <w:noWrap/>
            <w:hideMark/>
          </w:tcPr>
          <w:p w14:paraId="420DCD2F" w14:textId="77777777" w:rsidR="006B1681" w:rsidRPr="00332DF6" w:rsidRDefault="006B1681" w:rsidP="00332DF6">
            <w:pPr>
              <w:pStyle w:val="TableTextEntries"/>
            </w:pPr>
            <w:r w:rsidRPr="00332DF6">
              <w:t>INJ964</w:t>
            </w:r>
          </w:p>
        </w:tc>
        <w:tc>
          <w:tcPr>
            <w:tcW w:w="1840" w:type="dxa"/>
            <w:vMerge w:val="restart"/>
            <w:hideMark/>
          </w:tcPr>
          <w:p w14:paraId="420DCD30" w14:textId="77777777" w:rsidR="006B1681" w:rsidRPr="00332DF6" w:rsidRDefault="006B1681" w:rsidP="00332DF6">
            <w:pPr>
              <w:pStyle w:val="TableTextEntries"/>
            </w:pPr>
            <w:r w:rsidRPr="00332DF6">
              <w:t>$17,023,462.24</w:t>
            </w:r>
          </w:p>
        </w:tc>
        <w:tc>
          <w:tcPr>
            <w:tcW w:w="1128" w:type="dxa"/>
            <w:vMerge w:val="restart"/>
            <w:noWrap/>
            <w:hideMark/>
          </w:tcPr>
          <w:p w14:paraId="420DCD31" w14:textId="77777777" w:rsidR="006B1681" w:rsidRPr="00332DF6" w:rsidRDefault="006B1681" w:rsidP="00332DF6">
            <w:pPr>
              <w:pStyle w:val="TableTextEntries"/>
            </w:pPr>
            <w:r w:rsidRPr="00332DF6">
              <w:t>2011</w:t>
            </w:r>
            <w:r w:rsidR="00464D90" w:rsidRPr="00332DF6">
              <w:t>–</w:t>
            </w:r>
            <w:r w:rsidRPr="00332DF6">
              <w:t>16</w:t>
            </w:r>
          </w:p>
        </w:tc>
        <w:tc>
          <w:tcPr>
            <w:tcW w:w="920" w:type="dxa"/>
            <w:noWrap/>
            <w:hideMark/>
          </w:tcPr>
          <w:p w14:paraId="420DCD32" w14:textId="77777777" w:rsidR="006B1681" w:rsidRPr="00332DF6" w:rsidRDefault="006B1681" w:rsidP="00332DF6">
            <w:pPr>
              <w:pStyle w:val="TableTextEntries"/>
            </w:pPr>
            <w:r w:rsidRPr="00332DF6">
              <w:t>2011</w:t>
            </w:r>
          </w:p>
        </w:tc>
        <w:tc>
          <w:tcPr>
            <w:tcW w:w="894" w:type="dxa"/>
            <w:noWrap/>
            <w:hideMark/>
          </w:tcPr>
          <w:p w14:paraId="420DCD33" w14:textId="77777777" w:rsidR="006B1681" w:rsidRPr="00332DF6" w:rsidRDefault="006B1681" w:rsidP="00152088">
            <w:pPr>
              <w:pStyle w:val="TableTextEntries"/>
              <w:jc w:val="center"/>
            </w:pPr>
            <w:r w:rsidRPr="00332DF6">
              <w:t>N/A</w:t>
            </w:r>
          </w:p>
        </w:tc>
        <w:tc>
          <w:tcPr>
            <w:tcW w:w="894" w:type="dxa"/>
            <w:noWrap/>
            <w:hideMark/>
          </w:tcPr>
          <w:p w14:paraId="420DCD34" w14:textId="77777777" w:rsidR="006B1681" w:rsidRPr="00332DF6" w:rsidRDefault="006B1681" w:rsidP="00152088">
            <w:pPr>
              <w:pStyle w:val="TableTextEntries"/>
              <w:jc w:val="center"/>
            </w:pPr>
            <w:r w:rsidRPr="00332DF6">
              <w:t>N/A</w:t>
            </w:r>
          </w:p>
        </w:tc>
        <w:tc>
          <w:tcPr>
            <w:tcW w:w="894" w:type="dxa"/>
            <w:noWrap/>
            <w:hideMark/>
          </w:tcPr>
          <w:p w14:paraId="420DCD35" w14:textId="77777777" w:rsidR="006B1681" w:rsidRPr="00332DF6" w:rsidRDefault="006B1681" w:rsidP="00152088">
            <w:pPr>
              <w:pStyle w:val="TableTextEntries"/>
              <w:jc w:val="center"/>
            </w:pPr>
            <w:r w:rsidRPr="00332DF6">
              <w:t>N/A</w:t>
            </w:r>
          </w:p>
        </w:tc>
        <w:tc>
          <w:tcPr>
            <w:tcW w:w="894" w:type="dxa"/>
            <w:noWrap/>
            <w:hideMark/>
          </w:tcPr>
          <w:p w14:paraId="420DCD36" w14:textId="77777777" w:rsidR="006B1681" w:rsidRPr="00332DF6" w:rsidRDefault="006B1681" w:rsidP="00152088">
            <w:pPr>
              <w:pStyle w:val="TableTextEntries"/>
              <w:jc w:val="center"/>
            </w:pPr>
            <w:r w:rsidRPr="00332DF6">
              <w:t>N/A</w:t>
            </w:r>
          </w:p>
        </w:tc>
        <w:tc>
          <w:tcPr>
            <w:tcW w:w="894" w:type="dxa"/>
            <w:noWrap/>
            <w:hideMark/>
          </w:tcPr>
          <w:p w14:paraId="420DCD37" w14:textId="77777777" w:rsidR="006B1681" w:rsidRPr="00332DF6" w:rsidRDefault="006B1681" w:rsidP="00152088">
            <w:pPr>
              <w:pStyle w:val="TableTextEntries"/>
              <w:jc w:val="center"/>
            </w:pPr>
            <w:r w:rsidRPr="00332DF6">
              <w:t>N/A</w:t>
            </w:r>
          </w:p>
        </w:tc>
        <w:tc>
          <w:tcPr>
            <w:tcW w:w="894" w:type="dxa"/>
            <w:noWrap/>
            <w:hideMark/>
          </w:tcPr>
          <w:p w14:paraId="420DCD38" w14:textId="77777777" w:rsidR="006B1681" w:rsidRPr="00332DF6" w:rsidRDefault="006B1681" w:rsidP="00152088">
            <w:pPr>
              <w:pStyle w:val="TableTextEntries"/>
              <w:jc w:val="center"/>
            </w:pPr>
            <w:r w:rsidRPr="00332DF6">
              <w:t>N/A</w:t>
            </w:r>
          </w:p>
        </w:tc>
      </w:tr>
      <w:tr w:rsidR="006B1681" w:rsidRPr="00250BC3" w14:paraId="420DCD45" w14:textId="77777777" w:rsidTr="00332DF6">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3A" w14:textId="77777777" w:rsidR="006B1681" w:rsidRPr="00332DF6" w:rsidRDefault="006B1681" w:rsidP="00332DF6">
            <w:pPr>
              <w:pStyle w:val="TableTextEntries"/>
            </w:pPr>
          </w:p>
        </w:tc>
        <w:tc>
          <w:tcPr>
            <w:tcW w:w="887" w:type="dxa"/>
            <w:vMerge/>
            <w:hideMark/>
          </w:tcPr>
          <w:p w14:paraId="420DCD3B" w14:textId="77777777" w:rsidR="006B1681" w:rsidRPr="00332DF6" w:rsidRDefault="006B1681" w:rsidP="00332DF6">
            <w:pPr>
              <w:pStyle w:val="TableTextEntries"/>
            </w:pPr>
          </w:p>
        </w:tc>
        <w:tc>
          <w:tcPr>
            <w:tcW w:w="1840" w:type="dxa"/>
            <w:vMerge/>
            <w:hideMark/>
          </w:tcPr>
          <w:p w14:paraId="420DCD3C" w14:textId="77777777" w:rsidR="006B1681" w:rsidRPr="00332DF6" w:rsidRDefault="006B1681" w:rsidP="00332DF6">
            <w:pPr>
              <w:pStyle w:val="TableTextEntries"/>
            </w:pPr>
          </w:p>
        </w:tc>
        <w:tc>
          <w:tcPr>
            <w:tcW w:w="1128" w:type="dxa"/>
            <w:vMerge/>
            <w:hideMark/>
          </w:tcPr>
          <w:p w14:paraId="420DCD3D" w14:textId="77777777" w:rsidR="006B1681" w:rsidRPr="00332DF6" w:rsidRDefault="006B1681" w:rsidP="00332DF6">
            <w:pPr>
              <w:pStyle w:val="TableTextEntries"/>
            </w:pPr>
          </w:p>
        </w:tc>
        <w:tc>
          <w:tcPr>
            <w:tcW w:w="920" w:type="dxa"/>
            <w:noWrap/>
            <w:hideMark/>
          </w:tcPr>
          <w:p w14:paraId="420DCD3E" w14:textId="77777777" w:rsidR="006B1681" w:rsidRPr="00332DF6" w:rsidRDefault="006B1681" w:rsidP="00332DF6">
            <w:pPr>
              <w:pStyle w:val="TableTextEntries"/>
            </w:pPr>
            <w:r w:rsidRPr="00332DF6">
              <w:t>2012</w:t>
            </w:r>
          </w:p>
        </w:tc>
        <w:tc>
          <w:tcPr>
            <w:tcW w:w="894" w:type="dxa"/>
            <w:noWrap/>
            <w:hideMark/>
          </w:tcPr>
          <w:p w14:paraId="420DCD3F" w14:textId="77777777" w:rsidR="006B1681" w:rsidRPr="00332DF6" w:rsidRDefault="006B1681" w:rsidP="00152088">
            <w:pPr>
              <w:pStyle w:val="TableTextEntries"/>
              <w:jc w:val="center"/>
            </w:pPr>
            <w:r w:rsidRPr="00332DF6">
              <w:t>Exempt</w:t>
            </w:r>
          </w:p>
        </w:tc>
        <w:tc>
          <w:tcPr>
            <w:tcW w:w="894" w:type="dxa"/>
            <w:noWrap/>
            <w:hideMark/>
          </w:tcPr>
          <w:p w14:paraId="420DCD40" w14:textId="77777777" w:rsidR="006B1681" w:rsidRPr="00332DF6" w:rsidRDefault="006B1681" w:rsidP="00152088">
            <w:pPr>
              <w:pStyle w:val="TableTextEntries"/>
              <w:jc w:val="center"/>
            </w:pPr>
            <w:r w:rsidRPr="00332DF6">
              <w:t>Exempt</w:t>
            </w:r>
          </w:p>
        </w:tc>
        <w:tc>
          <w:tcPr>
            <w:tcW w:w="894" w:type="dxa"/>
            <w:noWrap/>
            <w:hideMark/>
          </w:tcPr>
          <w:p w14:paraId="420DCD41" w14:textId="77777777" w:rsidR="006B1681" w:rsidRPr="00332DF6" w:rsidRDefault="006B1681" w:rsidP="00152088">
            <w:pPr>
              <w:pStyle w:val="TableTextEntries"/>
              <w:jc w:val="center"/>
            </w:pPr>
            <w:r w:rsidRPr="00332DF6">
              <w:t>Exempt</w:t>
            </w:r>
          </w:p>
        </w:tc>
        <w:tc>
          <w:tcPr>
            <w:tcW w:w="894" w:type="dxa"/>
            <w:noWrap/>
            <w:hideMark/>
          </w:tcPr>
          <w:p w14:paraId="420DCD42" w14:textId="77777777" w:rsidR="006B1681" w:rsidRPr="00332DF6" w:rsidRDefault="006B1681" w:rsidP="00152088">
            <w:pPr>
              <w:pStyle w:val="TableTextEntries"/>
              <w:jc w:val="center"/>
            </w:pPr>
            <w:r w:rsidRPr="00332DF6">
              <w:t>Exempt</w:t>
            </w:r>
          </w:p>
        </w:tc>
        <w:tc>
          <w:tcPr>
            <w:tcW w:w="894" w:type="dxa"/>
            <w:noWrap/>
            <w:hideMark/>
          </w:tcPr>
          <w:p w14:paraId="420DCD43" w14:textId="77777777" w:rsidR="006B1681" w:rsidRPr="00332DF6" w:rsidRDefault="006B1681" w:rsidP="00152088">
            <w:pPr>
              <w:pStyle w:val="TableTextEntries"/>
              <w:jc w:val="center"/>
            </w:pPr>
            <w:r w:rsidRPr="00332DF6">
              <w:t>Exempt</w:t>
            </w:r>
          </w:p>
        </w:tc>
        <w:tc>
          <w:tcPr>
            <w:tcW w:w="894" w:type="dxa"/>
            <w:noWrap/>
            <w:hideMark/>
          </w:tcPr>
          <w:p w14:paraId="420DCD44" w14:textId="77777777" w:rsidR="006B1681" w:rsidRPr="00332DF6" w:rsidRDefault="006B1681" w:rsidP="00152088">
            <w:pPr>
              <w:pStyle w:val="TableTextEntries"/>
              <w:jc w:val="center"/>
            </w:pPr>
            <w:r w:rsidRPr="00332DF6">
              <w:t>Exempt</w:t>
            </w:r>
          </w:p>
        </w:tc>
      </w:tr>
      <w:tr w:rsidR="006B1681" w:rsidRPr="00250BC3" w14:paraId="420DCD51" w14:textId="77777777" w:rsidTr="00332DF6">
        <w:trPr>
          <w:tblHeader w:val="0"/>
        </w:trPr>
        <w:tc>
          <w:tcPr>
            <w:tcW w:w="2785" w:type="dxa"/>
            <w:vMerge w:val="restart"/>
            <w:hideMark/>
          </w:tcPr>
          <w:p w14:paraId="420DCD46" w14:textId="77777777" w:rsidR="006B1681" w:rsidRPr="00332DF6" w:rsidRDefault="006B1681" w:rsidP="00332DF6">
            <w:pPr>
              <w:pStyle w:val="TableTextEntries"/>
            </w:pPr>
            <w:r w:rsidRPr="00332DF6">
              <w:t>Pacific Islands Forum Secretariat</w:t>
            </w:r>
            <w:r w:rsidR="00464D90" w:rsidRPr="00332DF6">
              <w:t>—c</w:t>
            </w:r>
            <w:r w:rsidRPr="00332DF6">
              <w:t xml:space="preserve">ore </w:t>
            </w:r>
            <w:r w:rsidR="00464D90" w:rsidRPr="00332DF6">
              <w:t>b</w:t>
            </w:r>
            <w:r w:rsidRPr="00332DF6">
              <w:t>udget</w:t>
            </w:r>
          </w:p>
        </w:tc>
        <w:tc>
          <w:tcPr>
            <w:tcW w:w="887" w:type="dxa"/>
            <w:vMerge w:val="restart"/>
            <w:noWrap/>
            <w:hideMark/>
          </w:tcPr>
          <w:p w14:paraId="420DCD47" w14:textId="77777777" w:rsidR="006B1681" w:rsidRPr="00332DF6" w:rsidRDefault="006B1681" w:rsidP="00332DF6">
            <w:pPr>
              <w:pStyle w:val="TableTextEntries"/>
            </w:pPr>
            <w:r w:rsidRPr="00332DF6">
              <w:t>INK299</w:t>
            </w:r>
          </w:p>
        </w:tc>
        <w:tc>
          <w:tcPr>
            <w:tcW w:w="1840" w:type="dxa"/>
            <w:vMerge w:val="restart"/>
            <w:hideMark/>
          </w:tcPr>
          <w:p w14:paraId="420DCD48" w14:textId="77777777" w:rsidR="006B1681" w:rsidRPr="00332DF6" w:rsidRDefault="006B1681" w:rsidP="00332DF6">
            <w:pPr>
              <w:pStyle w:val="TableTextEntries"/>
            </w:pPr>
            <w:r w:rsidRPr="00332DF6">
              <w:t>$6,750,000.00</w:t>
            </w:r>
          </w:p>
        </w:tc>
        <w:tc>
          <w:tcPr>
            <w:tcW w:w="1128" w:type="dxa"/>
            <w:vMerge w:val="restart"/>
            <w:noWrap/>
            <w:hideMark/>
          </w:tcPr>
          <w:p w14:paraId="420DCD49" w14:textId="77777777" w:rsidR="006B1681" w:rsidRPr="00332DF6" w:rsidRDefault="006B1681" w:rsidP="00332DF6">
            <w:pPr>
              <w:pStyle w:val="TableTextEntries"/>
            </w:pPr>
            <w:r w:rsidRPr="00332DF6">
              <w:t>2011</w:t>
            </w:r>
            <w:r w:rsidR="00464D90" w:rsidRPr="00332DF6">
              <w:t>–</w:t>
            </w:r>
            <w:r w:rsidRPr="00332DF6">
              <w:t>13</w:t>
            </w:r>
          </w:p>
        </w:tc>
        <w:tc>
          <w:tcPr>
            <w:tcW w:w="920" w:type="dxa"/>
            <w:noWrap/>
            <w:hideMark/>
          </w:tcPr>
          <w:p w14:paraId="420DCD4A" w14:textId="77777777" w:rsidR="006B1681" w:rsidRPr="00332DF6" w:rsidRDefault="006B1681" w:rsidP="00332DF6">
            <w:pPr>
              <w:pStyle w:val="TableTextEntries"/>
            </w:pPr>
            <w:r w:rsidRPr="00332DF6">
              <w:t>2011</w:t>
            </w:r>
          </w:p>
        </w:tc>
        <w:tc>
          <w:tcPr>
            <w:tcW w:w="894" w:type="dxa"/>
            <w:noWrap/>
            <w:hideMark/>
          </w:tcPr>
          <w:p w14:paraId="420DCD4B" w14:textId="77777777" w:rsidR="006B1681" w:rsidRPr="00332DF6" w:rsidRDefault="006B1681" w:rsidP="00152088">
            <w:pPr>
              <w:pStyle w:val="TableTextEntries"/>
              <w:jc w:val="center"/>
            </w:pPr>
            <w:r w:rsidRPr="00332DF6">
              <w:t>N/A</w:t>
            </w:r>
          </w:p>
        </w:tc>
        <w:tc>
          <w:tcPr>
            <w:tcW w:w="894" w:type="dxa"/>
            <w:noWrap/>
            <w:hideMark/>
          </w:tcPr>
          <w:p w14:paraId="420DCD4C" w14:textId="77777777" w:rsidR="006B1681" w:rsidRPr="00332DF6" w:rsidRDefault="006B1681" w:rsidP="00152088">
            <w:pPr>
              <w:pStyle w:val="TableTextEntries"/>
              <w:jc w:val="center"/>
            </w:pPr>
            <w:r w:rsidRPr="00332DF6">
              <w:t>N/A</w:t>
            </w:r>
          </w:p>
        </w:tc>
        <w:tc>
          <w:tcPr>
            <w:tcW w:w="894" w:type="dxa"/>
            <w:noWrap/>
            <w:hideMark/>
          </w:tcPr>
          <w:p w14:paraId="420DCD4D" w14:textId="77777777" w:rsidR="006B1681" w:rsidRPr="00332DF6" w:rsidRDefault="006B1681" w:rsidP="00152088">
            <w:pPr>
              <w:pStyle w:val="TableTextEntries"/>
              <w:jc w:val="center"/>
            </w:pPr>
            <w:r w:rsidRPr="00332DF6">
              <w:t>N/A</w:t>
            </w:r>
          </w:p>
        </w:tc>
        <w:tc>
          <w:tcPr>
            <w:tcW w:w="894" w:type="dxa"/>
            <w:noWrap/>
            <w:hideMark/>
          </w:tcPr>
          <w:p w14:paraId="420DCD4E" w14:textId="77777777" w:rsidR="006B1681" w:rsidRPr="00332DF6" w:rsidRDefault="006B1681" w:rsidP="00152088">
            <w:pPr>
              <w:pStyle w:val="TableTextEntries"/>
              <w:jc w:val="center"/>
            </w:pPr>
            <w:r w:rsidRPr="00332DF6">
              <w:t>N/A</w:t>
            </w:r>
          </w:p>
        </w:tc>
        <w:tc>
          <w:tcPr>
            <w:tcW w:w="894" w:type="dxa"/>
            <w:noWrap/>
            <w:hideMark/>
          </w:tcPr>
          <w:p w14:paraId="420DCD4F" w14:textId="77777777" w:rsidR="006B1681" w:rsidRPr="00332DF6" w:rsidRDefault="006B1681" w:rsidP="00152088">
            <w:pPr>
              <w:pStyle w:val="TableTextEntries"/>
              <w:jc w:val="center"/>
            </w:pPr>
            <w:r w:rsidRPr="00332DF6">
              <w:t>N/A</w:t>
            </w:r>
          </w:p>
        </w:tc>
        <w:tc>
          <w:tcPr>
            <w:tcW w:w="894" w:type="dxa"/>
            <w:noWrap/>
            <w:hideMark/>
          </w:tcPr>
          <w:p w14:paraId="420DCD50" w14:textId="77777777" w:rsidR="006B1681" w:rsidRPr="00332DF6" w:rsidRDefault="006B1681" w:rsidP="00152088">
            <w:pPr>
              <w:pStyle w:val="TableTextEntries"/>
              <w:jc w:val="center"/>
            </w:pPr>
            <w:r w:rsidRPr="00332DF6">
              <w:t>N/A</w:t>
            </w:r>
          </w:p>
        </w:tc>
      </w:tr>
      <w:tr w:rsidR="006B1681" w:rsidRPr="00250BC3" w14:paraId="420DCD5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52" w14:textId="77777777" w:rsidR="006B1681" w:rsidRPr="00332DF6" w:rsidRDefault="006B1681" w:rsidP="00332DF6">
            <w:pPr>
              <w:pStyle w:val="TableTextEntries"/>
            </w:pPr>
          </w:p>
        </w:tc>
        <w:tc>
          <w:tcPr>
            <w:tcW w:w="887" w:type="dxa"/>
            <w:vMerge/>
            <w:hideMark/>
          </w:tcPr>
          <w:p w14:paraId="420DCD53" w14:textId="77777777" w:rsidR="006B1681" w:rsidRPr="00332DF6" w:rsidRDefault="006B1681" w:rsidP="00332DF6">
            <w:pPr>
              <w:pStyle w:val="TableTextEntries"/>
            </w:pPr>
          </w:p>
        </w:tc>
        <w:tc>
          <w:tcPr>
            <w:tcW w:w="1840" w:type="dxa"/>
            <w:vMerge/>
            <w:hideMark/>
          </w:tcPr>
          <w:p w14:paraId="420DCD54" w14:textId="77777777" w:rsidR="006B1681" w:rsidRPr="00332DF6" w:rsidRDefault="006B1681" w:rsidP="00332DF6">
            <w:pPr>
              <w:pStyle w:val="TableTextEntries"/>
            </w:pPr>
          </w:p>
        </w:tc>
        <w:tc>
          <w:tcPr>
            <w:tcW w:w="1128" w:type="dxa"/>
            <w:vMerge/>
            <w:hideMark/>
          </w:tcPr>
          <w:p w14:paraId="420DCD55" w14:textId="77777777" w:rsidR="006B1681" w:rsidRPr="00332DF6" w:rsidRDefault="006B1681" w:rsidP="00332DF6">
            <w:pPr>
              <w:pStyle w:val="TableTextEntries"/>
            </w:pPr>
          </w:p>
        </w:tc>
        <w:tc>
          <w:tcPr>
            <w:tcW w:w="920" w:type="dxa"/>
            <w:noWrap/>
            <w:hideMark/>
          </w:tcPr>
          <w:p w14:paraId="420DCD56" w14:textId="77777777" w:rsidR="006B1681" w:rsidRPr="00332DF6" w:rsidRDefault="006B1681" w:rsidP="00332DF6">
            <w:pPr>
              <w:pStyle w:val="TableTextEntries"/>
            </w:pPr>
            <w:r w:rsidRPr="00332DF6">
              <w:t>2012</w:t>
            </w:r>
          </w:p>
        </w:tc>
        <w:tc>
          <w:tcPr>
            <w:tcW w:w="894" w:type="dxa"/>
            <w:shd w:val="clear" w:color="auto" w:fill="92D050"/>
            <w:noWrap/>
            <w:hideMark/>
          </w:tcPr>
          <w:p w14:paraId="420DCD57" w14:textId="77777777" w:rsidR="006B1681" w:rsidRPr="00332DF6" w:rsidRDefault="006B1681" w:rsidP="00152088">
            <w:pPr>
              <w:pStyle w:val="TableTextEntries"/>
              <w:jc w:val="center"/>
            </w:pPr>
            <w:r w:rsidRPr="00332DF6">
              <w:t>5</w:t>
            </w:r>
          </w:p>
        </w:tc>
        <w:tc>
          <w:tcPr>
            <w:tcW w:w="894" w:type="dxa"/>
            <w:shd w:val="clear" w:color="auto" w:fill="F79646" w:themeFill="accent6"/>
            <w:noWrap/>
            <w:hideMark/>
          </w:tcPr>
          <w:p w14:paraId="420DCD58"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D59" w14:textId="77777777" w:rsidR="006B1681" w:rsidRPr="00332DF6" w:rsidRDefault="006B1681" w:rsidP="00152088">
            <w:pPr>
              <w:pStyle w:val="TableTextEntries"/>
              <w:jc w:val="center"/>
            </w:pPr>
            <w:r w:rsidRPr="00332DF6">
              <w:t>3</w:t>
            </w:r>
          </w:p>
        </w:tc>
        <w:tc>
          <w:tcPr>
            <w:tcW w:w="894" w:type="dxa"/>
            <w:shd w:val="clear" w:color="auto" w:fill="FF0000"/>
            <w:noWrap/>
            <w:hideMark/>
          </w:tcPr>
          <w:p w14:paraId="420DCD5A" w14:textId="77777777" w:rsidR="006B1681" w:rsidRPr="00332DF6" w:rsidRDefault="006B1681" w:rsidP="00152088">
            <w:pPr>
              <w:pStyle w:val="TableTextEntries"/>
              <w:jc w:val="center"/>
            </w:pPr>
            <w:r w:rsidRPr="00332DF6">
              <w:t>2</w:t>
            </w:r>
          </w:p>
        </w:tc>
        <w:tc>
          <w:tcPr>
            <w:tcW w:w="894" w:type="dxa"/>
            <w:shd w:val="clear" w:color="auto" w:fill="FFFF00"/>
            <w:noWrap/>
            <w:hideMark/>
          </w:tcPr>
          <w:p w14:paraId="420DCD5B"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D5C" w14:textId="77777777" w:rsidR="006B1681" w:rsidRPr="00332DF6" w:rsidRDefault="006B1681" w:rsidP="00152088">
            <w:pPr>
              <w:pStyle w:val="TableTextEntries"/>
              <w:jc w:val="center"/>
            </w:pPr>
            <w:r w:rsidRPr="00332DF6">
              <w:t>4</w:t>
            </w:r>
          </w:p>
        </w:tc>
      </w:tr>
      <w:tr w:rsidR="006B1681" w:rsidRPr="00250BC3" w14:paraId="420DCD69" w14:textId="77777777" w:rsidTr="00332DF6">
        <w:trPr>
          <w:tblHeader w:val="0"/>
        </w:trPr>
        <w:tc>
          <w:tcPr>
            <w:tcW w:w="2785" w:type="dxa"/>
            <w:vMerge w:val="restart"/>
            <w:hideMark/>
          </w:tcPr>
          <w:p w14:paraId="420DCD5E" w14:textId="77777777" w:rsidR="006B1681" w:rsidRPr="00332DF6" w:rsidRDefault="006B1681" w:rsidP="00332DF6">
            <w:pPr>
              <w:pStyle w:val="TableTextEntries"/>
            </w:pPr>
            <w:r w:rsidRPr="00332DF6">
              <w:t>Strategic Support: W</w:t>
            </w:r>
            <w:r w:rsidR="00135753" w:rsidRPr="00332DF6">
              <w:t>orld Health Organization</w:t>
            </w:r>
            <w:r w:rsidRPr="00332DF6">
              <w:t xml:space="preserve"> Pacific Sub-Regional Office</w:t>
            </w:r>
          </w:p>
        </w:tc>
        <w:tc>
          <w:tcPr>
            <w:tcW w:w="887" w:type="dxa"/>
            <w:vMerge w:val="restart"/>
            <w:noWrap/>
            <w:hideMark/>
          </w:tcPr>
          <w:p w14:paraId="420DCD5F" w14:textId="77777777" w:rsidR="006B1681" w:rsidRPr="00332DF6" w:rsidRDefault="006B1681" w:rsidP="00332DF6">
            <w:pPr>
              <w:pStyle w:val="TableTextEntries"/>
            </w:pPr>
            <w:r w:rsidRPr="00332DF6">
              <w:t>INK486</w:t>
            </w:r>
          </w:p>
        </w:tc>
        <w:tc>
          <w:tcPr>
            <w:tcW w:w="1840" w:type="dxa"/>
            <w:vMerge w:val="restart"/>
            <w:hideMark/>
          </w:tcPr>
          <w:p w14:paraId="420DCD60" w14:textId="77777777" w:rsidR="006B1681" w:rsidRPr="00332DF6" w:rsidRDefault="006B1681" w:rsidP="00332DF6">
            <w:pPr>
              <w:pStyle w:val="TableTextEntries"/>
            </w:pPr>
            <w:r w:rsidRPr="00332DF6">
              <w:t>$5,000,000.00</w:t>
            </w:r>
          </w:p>
        </w:tc>
        <w:tc>
          <w:tcPr>
            <w:tcW w:w="1128" w:type="dxa"/>
            <w:vMerge w:val="restart"/>
            <w:noWrap/>
            <w:hideMark/>
          </w:tcPr>
          <w:p w14:paraId="420DCD61" w14:textId="77777777" w:rsidR="006B1681" w:rsidRPr="00332DF6" w:rsidRDefault="006B1681" w:rsidP="00332DF6">
            <w:pPr>
              <w:pStyle w:val="TableTextEntries"/>
            </w:pPr>
            <w:r w:rsidRPr="00332DF6">
              <w:t>2012</w:t>
            </w:r>
            <w:r w:rsidR="00464D90" w:rsidRPr="00332DF6">
              <w:t>–</w:t>
            </w:r>
            <w:r w:rsidRPr="00332DF6">
              <w:t>13</w:t>
            </w:r>
          </w:p>
        </w:tc>
        <w:tc>
          <w:tcPr>
            <w:tcW w:w="920" w:type="dxa"/>
            <w:noWrap/>
            <w:hideMark/>
          </w:tcPr>
          <w:p w14:paraId="420DCD62" w14:textId="77777777" w:rsidR="006B1681" w:rsidRPr="00332DF6" w:rsidRDefault="006B1681" w:rsidP="00332DF6">
            <w:pPr>
              <w:pStyle w:val="TableTextEntries"/>
            </w:pPr>
            <w:r w:rsidRPr="00332DF6">
              <w:t>2011</w:t>
            </w:r>
          </w:p>
        </w:tc>
        <w:tc>
          <w:tcPr>
            <w:tcW w:w="894" w:type="dxa"/>
            <w:noWrap/>
            <w:hideMark/>
          </w:tcPr>
          <w:p w14:paraId="420DCD63" w14:textId="77777777" w:rsidR="006B1681" w:rsidRPr="00332DF6" w:rsidRDefault="006B1681" w:rsidP="00152088">
            <w:pPr>
              <w:pStyle w:val="TableTextEntries"/>
              <w:jc w:val="center"/>
            </w:pPr>
            <w:r w:rsidRPr="00332DF6">
              <w:t>N/A</w:t>
            </w:r>
          </w:p>
        </w:tc>
        <w:tc>
          <w:tcPr>
            <w:tcW w:w="894" w:type="dxa"/>
            <w:noWrap/>
            <w:hideMark/>
          </w:tcPr>
          <w:p w14:paraId="420DCD64" w14:textId="77777777" w:rsidR="006B1681" w:rsidRPr="00332DF6" w:rsidRDefault="006B1681" w:rsidP="00152088">
            <w:pPr>
              <w:pStyle w:val="TableTextEntries"/>
              <w:jc w:val="center"/>
            </w:pPr>
            <w:r w:rsidRPr="00332DF6">
              <w:t>N/A</w:t>
            </w:r>
          </w:p>
        </w:tc>
        <w:tc>
          <w:tcPr>
            <w:tcW w:w="894" w:type="dxa"/>
            <w:noWrap/>
            <w:hideMark/>
          </w:tcPr>
          <w:p w14:paraId="420DCD65" w14:textId="77777777" w:rsidR="006B1681" w:rsidRPr="00332DF6" w:rsidRDefault="006B1681" w:rsidP="00152088">
            <w:pPr>
              <w:pStyle w:val="TableTextEntries"/>
              <w:jc w:val="center"/>
            </w:pPr>
            <w:r w:rsidRPr="00332DF6">
              <w:t>N/A</w:t>
            </w:r>
          </w:p>
        </w:tc>
        <w:tc>
          <w:tcPr>
            <w:tcW w:w="894" w:type="dxa"/>
            <w:noWrap/>
            <w:hideMark/>
          </w:tcPr>
          <w:p w14:paraId="420DCD66" w14:textId="77777777" w:rsidR="006B1681" w:rsidRPr="00332DF6" w:rsidRDefault="006B1681" w:rsidP="00152088">
            <w:pPr>
              <w:pStyle w:val="TableTextEntries"/>
              <w:jc w:val="center"/>
            </w:pPr>
            <w:r w:rsidRPr="00332DF6">
              <w:t>N/A</w:t>
            </w:r>
          </w:p>
        </w:tc>
        <w:tc>
          <w:tcPr>
            <w:tcW w:w="894" w:type="dxa"/>
            <w:noWrap/>
            <w:hideMark/>
          </w:tcPr>
          <w:p w14:paraId="420DCD67" w14:textId="77777777" w:rsidR="006B1681" w:rsidRPr="00332DF6" w:rsidRDefault="006B1681" w:rsidP="00152088">
            <w:pPr>
              <w:pStyle w:val="TableTextEntries"/>
              <w:jc w:val="center"/>
            </w:pPr>
            <w:r w:rsidRPr="00332DF6">
              <w:t>N/A</w:t>
            </w:r>
          </w:p>
        </w:tc>
        <w:tc>
          <w:tcPr>
            <w:tcW w:w="894" w:type="dxa"/>
            <w:noWrap/>
            <w:hideMark/>
          </w:tcPr>
          <w:p w14:paraId="420DCD68" w14:textId="77777777" w:rsidR="006B1681" w:rsidRPr="00332DF6" w:rsidRDefault="006B1681" w:rsidP="00152088">
            <w:pPr>
              <w:pStyle w:val="TableTextEntries"/>
              <w:jc w:val="center"/>
            </w:pPr>
            <w:r w:rsidRPr="00332DF6">
              <w:t>N/A</w:t>
            </w:r>
          </w:p>
        </w:tc>
      </w:tr>
      <w:tr w:rsidR="006B1681" w:rsidRPr="00250BC3" w14:paraId="420DCD7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6A" w14:textId="77777777" w:rsidR="006B1681" w:rsidRPr="00332DF6" w:rsidRDefault="006B1681" w:rsidP="00332DF6">
            <w:pPr>
              <w:pStyle w:val="TableTextEntries"/>
            </w:pPr>
          </w:p>
        </w:tc>
        <w:tc>
          <w:tcPr>
            <w:tcW w:w="887" w:type="dxa"/>
            <w:vMerge/>
            <w:hideMark/>
          </w:tcPr>
          <w:p w14:paraId="420DCD6B" w14:textId="77777777" w:rsidR="006B1681" w:rsidRPr="00332DF6" w:rsidRDefault="006B1681" w:rsidP="00332DF6">
            <w:pPr>
              <w:pStyle w:val="TableTextEntries"/>
            </w:pPr>
          </w:p>
        </w:tc>
        <w:tc>
          <w:tcPr>
            <w:tcW w:w="1840" w:type="dxa"/>
            <w:vMerge/>
            <w:hideMark/>
          </w:tcPr>
          <w:p w14:paraId="420DCD6C" w14:textId="77777777" w:rsidR="006B1681" w:rsidRPr="00332DF6" w:rsidRDefault="006B1681" w:rsidP="00332DF6">
            <w:pPr>
              <w:pStyle w:val="TableTextEntries"/>
            </w:pPr>
          </w:p>
        </w:tc>
        <w:tc>
          <w:tcPr>
            <w:tcW w:w="1128" w:type="dxa"/>
            <w:vMerge/>
            <w:hideMark/>
          </w:tcPr>
          <w:p w14:paraId="420DCD6D" w14:textId="77777777" w:rsidR="006B1681" w:rsidRPr="00332DF6" w:rsidRDefault="006B1681" w:rsidP="00332DF6">
            <w:pPr>
              <w:pStyle w:val="TableTextEntries"/>
            </w:pPr>
          </w:p>
        </w:tc>
        <w:tc>
          <w:tcPr>
            <w:tcW w:w="920" w:type="dxa"/>
            <w:noWrap/>
            <w:hideMark/>
          </w:tcPr>
          <w:p w14:paraId="420DCD6E" w14:textId="77777777" w:rsidR="006B1681" w:rsidRPr="00332DF6" w:rsidRDefault="006B1681" w:rsidP="00332DF6">
            <w:pPr>
              <w:pStyle w:val="TableTextEntries"/>
            </w:pPr>
            <w:r w:rsidRPr="00332DF6">
              <w:t>2012</w:t>
            </w:r>
          </w:p>
        </w:tc>
        <w:tc>
          <w:tcPr>
            <w:tcW w:w="894" w:type="dxa"/>
            <w:shd w:val="clear" w:color="auto" w:fill="FFFF00"/>
            <w:noWrap/>
            <w:hideMark/>
          </w:tcPr>
          <w:p w14:paraId="420DCD6F"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D70"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D71" w14:textId="77777777" w:rsidR="006B1681" w:rsidRPr="00332DF6" w:rsidRDefault="006B1681" w:rsidP="00152088">
            <w:pPr>
              <w:pStyle w:val="TableTextEntries"/>
              <w:jc w:val="center"/>
            </w:pPr>
            <w:r w:rsidRPr="00332DF6">
              <w:t>3</w:t>
            </w:r>
          </w:p>
        </w:tc>
        <w:tc>
          <w:tcPr>
            <w:tcW w:w="894" w:type="dxa"/>
            <w:shd w:val="clear" w:color="auto" w:fill="FF0000"/>
            <w:noWrap/>
            <w:hideMark/>
          </w:tcPr>
          <w:p w14:paraId="420DCD72" w14:textId="77777777" w:rsidR="006B1681" w:rsidRPr="00332DF6" w:rsidRDefault="006B1681" w:rsidP="00152088">
            <w:pPr>
              <w:pStyle w:val="TableTextEntries"/>
              <w:jc w:val="center"/>
            </w:pPr>
            <w:r w:rsidRPr="00332DF6">
              <w:t>2</w:t>
            </w:r>
          </w:p>
        </w:tc>
        <w:tc>
          <w:tcPr>
            <w:tcW w:w="894" w:type="dxa"/>
            <w:shd w:val="clear" w:color="auto" w:fill="F79646" w:themeFill="accent6"/>
            <w:noWrap/>
            <w:hideMark/>
          </w:tcPr>
          <w:p w14:paraId="420DCD73" w14:textId="77777777" w:rsidR="006B1681" w:rsidRPr="00332DF6" w:rsidRDefault="006B1681" w:rsidP="00152088">
            <w:pPr>
              <w:pStyle w:val="TableTextEntries"/>
              <w:jc w:val="center"/>
            </w:pPr>
            <w:r w:rsidRPr="00332DF6">
              <w:t>3</w:t>
            </w:r>
          </w:p>
        </w:tc>
        <w:tc>
          <w:tcPr>
            <w:tcW w:w="894" w:type="dxa"/>
            <w:shd w:val="clear" w:color="auto" w:fill="FF0000"/>
            <w:noWrap/>
            <w:hideMark/>
          </w:tcPr>
          <w:p w14:paraId="420DCD74" w14:textId="77777777" w:rsidR="006B1681" w:rsidRPr="00332DF6" w:rsidRDefault="006B1681" w:rsidP="00152088">
            <w:pPr>
              <w:pStyle w:val="TableTextEntries"/>
              <w:jc w:val="center"/>
            </w:pPr>
            <w:r w:rsidRPr="00332DF6">
              <w:t>2</w:t>
            </w:r>
          </w:p>
        </w:tc>
      </w:tr>
      <w:tr w:rsidR="006B1681" w:rsidRPr="00250BC3" w14:paraId="420DCD81" w14:textId="77777777" w:rsidTr="00332DF6">
        <w:trPr>
          <w:tblHeader w:val="0"/>
        </w:trPr>
        <w:tc>
          <w:tcPr>
            <w:tcW w:w="2785" w:type="dxa"/>
            <w:vMerge w:val="restart"/>
            <w:hideMark/>
          </w:tcPr>
          <w:p w14:paraId="420DCD76" w14:textId="77777777" w:rsidR="006B1681" w:rsidRPr="00332DF6" w:rsidRDefault="006B1681" w:rsidP="00332DF6">
            <w:pPr>
              <w:pStyle w:val="TableTextEntries"/>
            </w:pPr>
            <w:r w:rsidRPr="00332DF6">
              <w:t>Strategic Support: Fiji School of Medicine</w:t>
            </w:r>
          </w:p>
        </w:tc>
        <w:tc>
          <w:tcPr>
            <w:tcW w:w="887" w:type="dxa"/>
            <w:vMerge w:val="restart"/>
            <w:noWrap/>
            <w:hideMark/>
          </w:tcPr>
          <w:p w14:paraId="420DCD77" w14:textId="77777777" w:rsidR="006B1681" w:rsidRPr="00332DF6" w:rsidRDefault="006B1681" w:rsidP="00332DF6">
            <w:pPr>
              <w:pStyle w:val="TableTextEntries"/>
            </w:pPr>
            <w:r w:rsidRPr="00332DF6">
              <w:t>INK525</w:t>
            </w:r>
          </w:p>
        </w:tc>
        <w:tc>
          <w:tcPr>
            <w:tcW w:w="1840" w:type="dxa"/>
            <w:vMerge w:val="restart"/>
            <w:hideMark/>
          </w:tcPr>
          <w:p w14:paraId="420DCD78" w14:textId="77777777" w:rsidR="006B1681" w:rsidRPr="00332DF6" w:rsidRDefault="006B1681" w:rsidP="00332DF6">
            <w:pPr>
              <w:pStyle w:val="TableTextEntries"/>
            </w:pPr>
            <w:r w:rsidRPr="00332DF6">
              <w:t>$5,830,000.00</w:t>
            </w:r>
          </w:p>
        </w:tc>
        <w:tc>
          <w:tcPr>
            <w:tcW w:w="1128" w:type="dxa"/>
            <w:vMerge w:val="restart"/>
            <w:noWrap/>
            <w:hideMark/>
          </w:tcPr>
          <w:p w14:paraId="420DCD79" w14:textId="77777777" w:rsidR="006B1681" w:rsidRPr="00332DF6" w:rsidRDefault="006B1681" w:rsidP="00332DF6">
            <w:pPr>
              <w:pStyle w:val="TableTextEntries"/>
            </w:pPr>
            <w:r w:rsidRPr="00332DF6">
              <w:t>2012</w:t>
            </w:r>
            <w:r w:rsidR="00464D90" w:rsidRPr="00332DF6">
              <w:t>–</w:t>
            </w:r>
            <w:r w:rsidRPr="00332DF6">
              <w:t>14</w:t>
            </w:r>
          </w:p>
        </w:tc>
        <w:tc>
          <w:tcPr>
            <w:tcW w:w="920" w:type="dxa"/>
            <w:noWrap/>
            <w:hideMark/>
          </w:tcPr>
          <w:p w14:paraId="420DCD7A" w14:textId="77777777" w:rsidR="006B1681" w:rsidRPr="00332DF6" w:rsidRDefault="006B1681" w:rsidP="00332DF6">
            <w:pPr>
              <w:pStyle w:val="TableTextEntries"/>
            </w:pPr>
            <w:r w:rsidRPr="00332DF6">
              <w:t>2011</w:t>
            </w:r>
          </w:p>
        </w:tc>
        <w:tc>
          <w:tcPr>
            <w:tcW w:w="894" w:type="dxa"/>
            <w:noWrap/>
            <w:hideMark/>
          </w:tcPr>
          <w:p w14:paraId="420DCD7B" w14:textId="77777777" w:rsidR="006B1681" w:rsidRPr="00332DF6" w:rsidRDefault="006B1681" w:rsidP="00152088">
            <w:pPr>
              <w:pStyle w:val="TableTextEntries"/>
              <w:jc w:val="center"/>
            </w:pPr>
            <w:r w:rsidRPr="00332DF6">
              <w:t>N/A</w:t>
            </w:r>
          </w:p>
        </w:tc>
        <w:tc>
          <w:tcPr>
            <w:tcW w:w="894" w:type="dxa"/>
            <w:noWrap/>
            <w:hideMark/>
          </w:tcPr>
          <w:p w14:paraId="420DCD7C" w14:textId="77777777" w:rsidR="006B1681" w:rsidRPr="00332DF6" w:rsidRDefault="006B1681" w:rsidP="00152088">
            <w:pPr>
              <w:pStyle w:val="TableTextEntries"/>
              <w:jc w:val="center"/>
            </w:pPr>
            <w:r w:rsidRPr="00332DF6">
              <w:t>N/A</w:t>
            </w:r>
          </w:p>
        </w:tc>
        <w:tc>
          <w:tcPr>
            <w:tcW w:w="894" w:type="dxa"/>
            <w:noWrap/>
            <w:hideMark/>
          </w:tcPr>
          <w:p w14:paraId="420DCD7D" w14:textId="77777777" w:rsidR="006B1681" w:rsidRPr="00332DF6" w:rsidRDefault="006B1681" w:rsidP="00152088">
            <w:pPr>
              <w:pStyle w:val="TableTextEntries"/>
              <w:jc w:val="center"/>
            </w:pPr>
            <w:r w:rsidRPr="00332DF6">
              <w:t>N/A</w:t>
            </w:r>
          </w:p>
        </w:tc>
        <w:tc>
          <w:tcPr>
            <w:tcW w:w="894" w:type="dxa"/>
            <w:noWrap/>
            <w:hideMark/>
          </w:tcPr>
          <w:p w14:paraId="420DCD7E" w14:textId="77777777" w:rsidR="006B1681" w:rsidRPr="00332DF6" w:rsidRDefault="006B1681" w:rsidP="00152088">
            <w:pPr>
              <w:pStyle w:val="TableTextEntries"/>
              <w:jc w:val="center"/>
            </w:pPr>
            <w:r w:rsidRPr="00332DF6">
              <w:t>N/A</w:t>
            </w:r>
          </w:p>
        </w:tc>
        <w:tc>
          <w:tcPr>
            <w:tcW w:w="894" w:type="dxa"/>
            <w:noWrap/>
            <w:hideMark/>
          </w:tcPr>
          <w:p w14:paraId="420DCD7F" w14:textId="77777777" w:rsidR="006B1681" w:rsidRPr="00332DF6" w:rsidRDefault="006B1681" w:rsidP="00152088">
            <w:pPr>
              <w:pStyle w:val="TableTextEntries"/>
              <w:jc w:val="center"/>
            </w:pPr>
            <w:r w:rsidRPr="00332DF6">
              <w:t>N/A</w:t>
            </w:r>
          </w:p>
        </w:tc>
        <w:tc>
          <w:tcPr>
            <w:tcW w:w="894" w:type="dxa"/>
            <w:noWrap/>
            <w:hideMark/>
          </w:tcPr>
          <w:p w14:paraId="420DCD80" w14:textId="77777777" w:rsidR="006B1681" w:rsidRPr="00332DF6" w:rsidRDefault="006B1681" w:rsidP="00152088">
            <w:pPr>
              <w:pStyle w:val="TableTextEntries"/>
              <w:jc w:val="center"/>
            </w:pPr>
            <w:r w:rsidRPr="00332DF6">
              <w:t>N/A</w:t>
            </w:r>
          </w:p>
        </w:tc>
      </w:tr>
      <w:tr w:rsidR="006B1681" w:rsidRPr="00250BC3" w14:paraId="420DCD8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82" w14:textId="77777777" w:rsidR="006B1681" w:rsidRPr="00332DF6" w:rsidRDefault="006B1681" w:rsidP="00332DF6">
            <w:pPr>
              <w:pStyle w:val="TableTextEntries"/>
            </w:pPr>
          </w:p>
        </w:tc>
        <w:tc>
          <w:tcPr>
            <w:tcW w:w="887" w:type="dxa"/>
            <w:vMerge/>
            <w:hideMark/>
          </w:tcPr>
          <w:p w14:paraId="420DCD83" w14:textId="77777777" w:rsidR="006B1681" w:rsidRPr="00332DF6" w:rsidRDefault="006B1681" w:rsidP="00332DF6">
            <w:pPr>
              <w:pStyle w:val="TableTextEntries"/>
            </w:pPr>
          </w:p>
        </w:tc>
        <w:tc>
          <w:tcPr>
            <w:tcW w:w="1840" w:type="dxa"/>
            <w:vMerge/>
            <w:hideMark/>
          </w:tcPr>
          <w:p w14:paraId="420DCD84" w14:textId="77777777" w:rsidR="006B1681" w:rsidRPr="00332DF6" w:rsidRDefault="006B1681" w:rsidP="00332DF6">
            <w:pPr>
              <w:pStyle w:val="TableTextEntries"/>
            </w:pPr>
          </w:p>
        </w:tc>
        <w:tc>
          <w:tcPr>
            <w:tcW w:w="1128" w:type="dxa"/>
            <w:vMerge/>
            <w:hideMark/>
          </w:tcPr>
          <w:p w14:paraId="420DCD85" w14:textId="77777777" w:rsidR="006B1681" w:rsidRPr="00332DF6" w:rsidRDefault="006B1681" w:rsidP="00332DF6">
            <w:pPr>
              <w:pStyle w:val="TableTextEntries"/>
            </w:pPr>
          </w:p>
        </w:tc>
        <w:tc>
          <w:tcPr>
            <w:tcW w:w="920" w:type="dxa"/>
            <w:noWrap/>
            <w:hideMark/>
          </w:tcPr>
          <w:p w14:paraId="420DCD86" w14:textId="77777777" w:rsidR="006B1681" w:rsidRPr="00332DF6" w:rsidRDefault="006B1681" w:rsidP="00332DF6">
            <w:pPr>
              <w:pStyle w:val="TableTextEntries"/>
            </w:pPr>
            <w:r w:rsidRPr="00332DF6">
              <w:t>2012</w:t>
            </w:r>
          </w:p>
        </w:tc>
        <w:tc>
          <w:tcPr>
            <w:tcW w:w="894" w:type="dxa"/>
            <w:shd w:val="clear" w:color="auto" w:fill="92D050"/>
            <w:noWrap/>
            <w:hideMark/>
          </w:tcPr>
          <w:p w14:paraId="420DCD8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88" w14:textId="77777777" w:rsidR="006B1681" w:rsidRPr="00332DF6" w:rsidRDefault="006B1681" w:rsidP="00152088">
            <w:pPr>
              <w:pStyle w:val="TableTextEntries"/>
              <w:jc w:val="center"/>
            </w:pPr>
            <w:r w:rsidRPr="00332DF6">
              <w:t>4</w:t>
            </w:r>
          </w:p>
        </w:tc>
        <w:tc>
          <w:tcPr>
            <w:tcW w:w="894" w:type="dxa"/>
            <w:shd w:val="clear" w:color="auto" w:fill="F79646" w:themeFill="accent6"/>
            <w:noWrap/>
            <w:hideMark/>
          </w:tcPr>
          <w:p w14:paraId="420DCD89"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D8A"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D8B" w14:textId="77777777" w:rsidR="006B1681" w:rsidRPr="00332DF6" w:rsidRDefault="006B1681" w:rsidP="00152088">
            <w:pPr>
              <w:pStyle w:val="TableTextEntries"/>
              <w:jc w:val="center"/>
            </w:pPr>
            <w:r w:rsidRPr="00332DF6">
              <w:t>3</w:t>
            </w:r>
          </w:p>
        </w:tc>
        <w:tc>
          <w:tcPr>
            <w:tcW w:w="894" w:type="dxa"/>
            <w:shd w:val="clear" w:color="auto" w:fill="F79646" w:themeFill="accent6"/>
            <w:noWrap/>
            <w:hideMark/>
          </w:tcPr>
          <w:p w14:paraId="420DCD8C" w14:textId="77777777" w:rsidR="006B1681" w:rsidRPr="00332DF6" w:rsidRDefault="006B1681" w:rsidP="00152088">
            <w:pPr>
              <w:pStyle w:val="TableTextEntries"/>
              <w:jc w:val="center"/>
            </w:pPr>
            <w:r w:rsidRPr="00332DF6">
              <w:t>3</w:t>
            </w:r>
          </w:p>
        </w:tc>
      </w:tr>
      <w:tr w:rsidR="006B1681" w:rsidRPr="00250BC3" w14:paraId="420DCD99" w14:textId="77777777" w:rsidTr="00332DF6">
        <w:trPr>
          <w:tblHeader w:val="0"/>
        </w:trPr>
        <w:tc>
          <w:tcPr>
            <w:tcW w:w="2785" w:type="dxa"/>
            <w:vMerge w:val="restart"/>
            <w:hideMark/>
          </w:tcPr>
          <w:p w14:paraId="420DCD8E" w14:textId="77777777" w:rsidR="006B1681" w:rsidRPr="00332DF6" w:rsidRDefault="006B1681" w:rsidP="00332DF6">
            <w:pPr>
              <w:pStyle w:val="TableTextEntries"/>
            </w:pPr>
            <w:r w:rsidRPr="00332DF6">
              <w:t>Pacific Benchmarking Education Quality for Results</w:t>
            </w:r>
            <w:r w:rsidR="009A3815" w:rsidRPr="00332DF6">
              <w:t xml:space="preserve"> </w:t>
            </w:r>
          </w:p>
        </w:tc>
        <w:tc>
          <w:tcPr>
            <w:tcW w:w="887" w:type="dxa"/>
            <w:vMerge w:val="restart"/>
            <w:noWrap/>
            <w:hideMark/>
          </w:tcPr>
          <w:p w14:paraId="420DCD8F" w14:textId="77777777" w:rsidR="006B1681" w:rsidRPr="00332DF6" w:rsidRDefault="006B1681" w:rsidP="00332DF6">
            <w:pPr>
              <w:pStyle w:val="TableTextEntries"/>
            </w:pPr>
            <w:r w:rsidRPr="00332DF6">
              <w:t>INK578</w:t>
            </w:r>
          </w:p>
        </w:tc>
        <w:tc>
          <w:tcPr>
            <w:tcW w:w="1840" w:type="dxa"/>
            <w:vMerge w:val="restart"/>
            <w:hideMark/>
          </w:tcPr>
          <w:p w14:paraId="420DCD90" w14:textId="77777777" w:rsidR="006B1681" w:rsidRPr="00332DF6" w:rsidRDefault="006B1681" w:rsidP="00332DF6">
            <w:pPr>
              <w:pStyle w:val="TableTextEntries"/>
            </w:pPr>
            <w:r w:rsidRPr="00332DF6">
              <w:t>$3,532,000.00</w:t>
            </w:r>
          </w:p>
        </w:tc>
        <w:tc>
          <w:tcPr>
            <w:tcW w:w="1128" w:type="dxa"/>
            <w:vMerge w:val="restart"/>
            <w:noWrap/>
            <w:hideMark/>
          </w:tcPr>
          <w:p w14:paraId="420DCD91" w14:textId="77777777" w:rsidR="006B1681" w:rsidRPr="00332DF6" w:rsidRDefault="006B1681" w:rsidP="00332DF6">
            <w:pPr>
              <w:pStyle w:val="TableTextEntries"/>
            </w:pPr>
            <w:r w:rsidRPr="00332DF6">
              <w:t>2012</w:t>
            </w:r>
            <w:r w:rsidR="00464D90" w:rsidRPr="00332DF6">
              <w:t>–</w:t>
            </w:r>
            <w:r w:rsidRPr="00332DF6">
              <w:t>15</w:t>
            </w:r>
          </w:p>
        </w:tc>
        <w:tc>
          <w:tcPr>
            <w:tcW w:w="920" w:type="dxa"/>
            <w:noWrap/>
            <w:hideMark/>
          </w:tcPr>
          <w:p w14:paraId="420DCD92" w14:textId="77777777" w:rsidR="006B1681" w:rsidRPr="00332DF6" w:rsidRDefault="006B1681" w:rsidP="00332DF6">
            <w:pPr>
              <w:pStyle w:val="TableTextEntries"/>
            </w:pPr>
            <w:r w:rsidRPr="00332DF6">
              <w:t>2011</w:t>
            </w:r>
          </w:p>
        </w:tc>
        <w:tc>
          <w:tcPr>
            <w:tcW w:w="894" w:type="dxa"/>
            <w:noWrap/>
            <w:hideMark/>
          </w:tcPr>
          <w:p w14:paraId="420DCD93" w14:textId="77777777" w:rsidR="006B1681" w:rsidRPr="00332DF6" w:rsidRDefault="006B1681" w:rsidP="00152088">
            <w:pPr>
              <w:pStyle w:val="TableTextEntries"/>
              <w:jc w:val="center"/>
            </w:pPr>
            <w:r w:rsidRPr="00332DF6">
              <w:t>N/A</w:t>
            </w:r>
          </w:p>
        </w:tc>
        <w:tc>
          <w:tcPr>
            <w:tcW w:w="894" w:type="dxa"/>
            <w:noWrap/>
            <w:hideMark/>
          </w:tcPr>
          <w:p w14:paraId="420DCD94" w14:textId="77777777" w:rsidR="006B1681" w:rsidRPr="00332DF6" w:rsidRDefault="006B1681" w:rsidP="00152088">
            <w:pPr>
              <w:pStyle w:val="TableTextEntries"/>
              <w:jc w:val="center"/>
            </w:pPr>
            <w:r w:rsidRPr="00332DF6">
              <w:t>N/A</w:t>
            </w:r>
          </w:p>
        </w:tc>
        <w:tc>
          <w:tcPr>
            <w:tcW w:w="894" w:type="dxa"/>
            <w:noWrap/>
            <w:hideMark/>
          </w:tcPr>
          <w:p w14:paraId="420DCD95" w14:textId="77777777" w:rsidR="006B1681" w:rsidRPr="00332DF6" w:rsidRDefault="006B1681" w:rsidP="00152088">
            <w:pPr>
              <w:pStyle w:val="TableTextEntries"/>
              <w:jc w:val="center"/>
            </w:pPr>
            <w:r w:rsidRPr="00332DF6">
              <w:t>N/A</w:t>
            </w:r>
          </w:p>
        </w:tc>
        <w:tc>
          <w:tcPr>
            <w:tcW w:w="894" w:type="dxa"/>
            <w:noWrap/>
            <w:hideMark/>
          </w:tcPr>
          <w:p w14:paraId="420DCD96" w14:textId="77777777" w:rsidR="006B1681" w:rsidRPr="00332DF6" w:rsidRDefault="006B1681" w:rsidP="00152088">
            <w:pPr>
              <w:pStyle w:val="TableTextEntries"/>
              <w:jc w:val="center"/>
            </w:pPr>
            <w:r w:rsidRPr="00332DF6">
              <w:t>N/A</w:t>
            </w:r>
          </w:p>
        </w:tc>
        <w:tc>
          <w:tcPr>
            <w:tcW w:w="894" w:type="dxa"/>
            <w:noWrap/>
            <w:hideMark/>
          </w:tcPr>
          <w:p w14:paraId="420DCD97" w14:textId="77777777" w:rsidR="006B1681" w:rsidRPr="00332DF6" w:rsidRDefault="006B1681" w:rsidP="00152088">
            <w:pPr>
              <w:pStyle w:val="TableTextEntries"/>
              <w:jc w:val="center"/>
            </w:pPr>
            <w:r w:rsidRPr="00332DF6">
              <w:t>N/A</w:t>
            </w:r>
          </w:p>
        </w:tc>
        <w:tc>
          <w:tcPr>
            <w:tcW w:w="894" w:type="dxa"/>
            <w:noWrap/>
            <w:hideMark/>
          </w:tcPr>
          <w:p w14:paraId="420DCD98" w14:textId="77777777" w:rsidR="006B1681" w:rsidRPr="00332DF6" w:rsidRDefault="006B1681" w:rsidP="00152088">
            <w:pPr>
              <w:pStyle w:val="TableTextEntries"/>
              <w:jc w:val="center"/>
            </w:pPr>
            <w:r w:rsidRPr="00332DF6">
              <w:t>N/A</w:t>
            </w:r>
          </w:p>
        </w:tc>
      </w:tr>
      <w:tr w:rsidR="006B1681" w:rsidRPr="00250BC3" w14:paraId="420DCDA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9A" w14:textId="77777777" w:rsidR="006B1681" w:rsidRPr="00332DF6" w:rsidRDefault="006B1681" w:rsidP="00332DF6">
            <w:pPr>
              <w:pStyle w:val="TableTextEntries"/>
            </w:pPr>
          </w:p>
        </w:tc>
        <w:tc>
          <w:tcPr>
            <w:tcW w:w="887" w:type="dxa"/>
            <w:vMerge/>
            <w:hideMark/>
          </w:tcPr>
          <w:p w14:paraId="420DCD9B" w14:textId="77777777" w:rsidR="006B1681" w:rsidRPr="00332DF6" w:rsidRDefault="006B1681" w:rsidP="00332DF6">
            <w:pPr>
              <w:pStyle w:val="TableTextEntries"/>
            </w:pPr>
          </w:p>
        </w:tc>
        <w:tc>
          <w:tcPr>
            <w:tcW w:w="1840" w:type="dxa"/>
            <w:vMerge/>
            <w:hideMark/>
          </w:tcPr>
          <w:p w14:paraId="420DCD9C" w14:textId="77777777" w:rsidR="006B1681" w:rsidRPr="00332DF6" w:rsidRDefault="006B1681" w:rsidP="00332DF6">
            <w:pPr>
              <w:pStyle w:val="TableTextEntries"/>
            </w:pPr>
          </w:p>
        </w:tc>
        <w:tc>
          <w:tcPr>
            <w:tcW w:w="1128" w:type="dxa"/>
            <w:vMerge/>
            <w:hideMark/>
          </w:tcPr>
          <w:p w14:paraId="420DCD9D" w14:textId="77777777" w:rsidR="006B1681" w:rsidRPr="00332DF6" w:rsidRDefault="006B1681" w:rsidP="00332DF6">
            <w:pPr>
              <w:pStyle w:val="TableTextEntries"/>
            </w:pPr>
          </w:p>
        </w:tc>
        <w:tc>
          <w:tcPr>
            <w:tcW w:w="920" w:type="dxa"/>
            <w:noWrap/>
            <w:hideMark/>
          </w:tcPr>
          <w:p w14:paraId="420DCD9E" w14:textId="77777777" w:rsidR="006B1681" w:rsidRPr="00332DF6" w:rsidRDefault="006B1681" w:rsidP="00332DF6">
            <w:pPr>
              <w:pStyle w:val="TableTextEntries"/>
            </w:pPr>
            <w:r w:rsidRPr="00332DF6">
              <w:t>2012</w:t>
            </w:r>
          </w:p>
        </w:tc>
        <w:tc>
          <w:tcPr>
            <w:tcW w:w="894" w:type="dxa"/>
            <w:shd w:val="clear" w:color="auto" w:fill="92D050"/>
            <w:noWrap/>
            <w:hideMark/>
          </w:tcPr>
          <w:p w14:paraId="420DCD9F"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DA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A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DA2"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DA3"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DA4" w14:textId="77777777" w:rsidR="006B1681" w:rsidRPr="00332DF6" w:rsidRDefault="006B1681" w:rsidP="00152088">
            <w:pPr>
              <w:pStyle w:val="TableTextEntries"/>
              <w:jc w:val="center"/>
            </w:pPr>
            <w:r w:rsidRPr="00332DF6">
              <w:t>5</w:t>
            </w:r>
          </w:p>
        </w:tc>
      </w:tr>
      <w:tr w:rsidR="006B1681" w:rsidRPr="00250BC3" w14:paraId="420DCDB1" w14:textId="77777777" w:rsidTr="00332DF6">
        <w:trPr>
          <w:tblHeader w:val="0"/>
        </w:trPr>
        <w:tc>
          <w:tcPr>
            <w:tcW w:w="2785" w:type="dxa"/>
            <w:vMerge w:val="restart"/>
            <w:hideMark/>
          </w:tcPr>
          <w:p w14:paraId="420DCDA6" w14:textId="77777777" w:rsidR="006B1681" w:rsidRPr="00332DF6" w:rsidRDefault="006B1681" w:rsidP="00332DF6">
            <w:pPr>
              <w:pStyle w:val="TableTextEntries"/>
            </w:pPr>
            <w:r w:rsidRPr="00332DF6">
              <w:t>Pacific Specialised Clinical Services</w:t>
            </w:r>
            <w:r w:rsidR="009A3815" w:rsidRPr="00332DF6">
              <w:t xml:space="preserve"> </w:t>
            </w:r>
          </w:p>
        </w:tc>
        <w:tc>
          <w:tcPr>
            <w:tcW w:w="887" w:type="dxa"/>
            <w:vMerge w:val="restart"/>
            <w:noWrap/>
            <w:hideMark/>
          </w:tcPr>
          <w:p w14:paraId="420DCDA7" w14:textId="77777777" w:rsidR="006B1681" w:rsidRPr="00332DF6" w:rsidRDefault="006B1681" w:rsidP="00332DF6">
            <w:pPr>
              <w:pStyle w:val="TableTextEntries"/>
            </w:pPr>
            <w:r w:rsidRPr="00332DF6">
              <w:t>INK590</w:t>
            </w:r>
          </w:p>
        </w:tc>
        <w:tc>
          <w:tcPr>
            <w:tcW w:w="1840" w:type="dxa"/>
            <w:vMerge w:val="restart"/>
            <w:hideMark/>
          </w:tcPr>
          <w:p w14:paraId="420DCDA8" w14:textId="77777777" w:rsidR="006B1681" w:rsidRPr="00332DF6" w:rsidRDefault="006B1681" w:rsidP="00332DF6">
            <w:pPr>
              <w:pStyle w:val="TableTextEntries"/>
            </w:pPr>
            <w:r w:rsidRPr="00332DF6">
              <w:t>$3,092,000.00</w:t>
            </w:r>
          </w:p>
        </w:tc>
        <w:tc>
          <w:tcPr>
            <w:tcW w:w="1128" w:type="dxa"/>
            <w:vMerge w:val="restart"/>
            <w:noWrap/>
            <w:hideMark/>
          </w:tcPr>
          <w:p w14:paraId="420DCDA9" w14:textId="77777777" w:rsidR="006B1681" w:rsidRPr="00332DF6" w:rsidRDefault="006B1681" w:rsidP="00332DF6">
            <w:pPr>
              <w:pStyle w:val="TableTextEntries"/>
            </w:pPr>
            <w:r w:rsidRPr="00332DF6">
              <w:t>2011</w:t>
            </w:r>
            <w:r w:rsidR="00464D90" w:rsidRPr="00332DF6">
              <w:t>–</w:t>
            </w:r>
            <w:r w:rsidRPr="00332DF6">
              <w:t>14</w:t>
            </w:r>
          </w:p>
        </w:tc>
        <w:tc>
          <w:tcPr>
            <w:tcW w:w="920" w:type="dxa"/>
            <w:noWrap/>
            <w:hideMark/>
          </w:tcPr>
          <w:p w14:paraId="420DCDAA" w14:textId="77777777" w:rsidR="006B1681" w:rsidRPr="00332DF6" w:rsidRDefault="006B1681" w:rsidP="00332DF6">
            <w:pPr>
              <w:pStyle w:val="TableTextEntries"/>
            </w:pPr>
            <w:r w:rsidRPr="00332DF6">
              <w:t>2011</w:t>
            </w:r>
          </w:p>
        </w:tc>
        <w:tc>
          <w:tcPr>
            <w:tcW w:w="894" w:type="dxa"/>
            <w:noWrap/>
            <w:hideMark/>
          </w:tcPr>
          <w:p w14:paraId="420DCDAB" w14:textId="77777777" w:rsidR="006B1681" w:rsidRPr="00332DF6" w:rsidRDefault="006B1681" w:rsidP="00152088">
            <w:pPr>
              <w:pStyle w:val="TableTextEntries"/>
              <w:jc w:val="center"/>
            </w:pPr>
            <w:r w:rsidRPr="00332DF6">
              <w:t>N/A</w:t>
            </w:r>
          </w:p>
        </w:tc>
        <w:tc>
          <w:tcPr>
            <w:tcW w:w="894" w:type="dxa"/>
            <w:noWrap/>
            <w:hideMark/>
          </w:tcPr>
          <w:p w14:paraId="420DCDAC" w14:textId="77777777" w:rsidR="006B1681" w:rsidRPr="00332DF6" w:rsidRDefault="006B1681" w:rsidP="00152088">
            <w:pPr>
              <w:pStyle w:val="TableTextEntries"/>
              <w:jc w:val="center"/>
            </w:pPr>
            <w:r w:rsidRPr="00332DF6">
              <w:t>N/A</w:t>
            </w:r>
          </w:p>
        </w:tc>
        <w:tc>
          <w:tcPr>
            <w:tcW w:w="894" w:type="dxa"/>
            <w:noWrap/>
            <w:hideMark/>
          </w:tcPr>
          <w:p w14:paraId="420DCDAD" w14:textId="77777777" w:rsidR="006B1681" w:rsidRPr="00332DF6" w:rsidRDefault="006B1681" w:rsidP="00152088">
            <w:pPr>
              <w:pStyle w:val="TableTextEntries"/>
              <w:jc w:val="center"/>
            </w:pPr>
            <w:r w:rsidRPr="00332DF6">
              <w:t>N/A</w:t>
            </w:r>
          </w:p>
        </w:tc>
        <w:tc>
          <w:tcPr>
            <w:tcW w:w="894" w:type="dxa"/>
            <w:noWrap/>
            <w:hideMark/>
          </w:tcPr>
          <w:p w14:paraId="420DCDAE" w14:textId="77777777" w:rsidR="006B1681" w:rsidRPr="00332DF6" w:rsidRDefault="006B1681" w:rsidP="00152088">
            <w:pPr>
              <w:pStyle w:val="TableTextEntries"/>
              <w:jc w:val="center"/>
            </w:pPr>
            <w:r w:rsidRPr="00332DF6">
              <w:t>N/A</w:t>
            </w:r>
          </w:p>
        </w:tc>
        <w:tc>
          <w:tcPr>
            <w:tcW w:w="894" w:type="dxa"/>
            <w:noWrap/>
            <w:hideMark/>
          </w:tcPr>
          <w:p w14:paraId="420DCDAF" w14:textId="77777777" w:rsidR="006B1681" w:rsidRPr="00332DF6" w:rsidRDefault="006B1681" w:rsidP="00152088">
            <w:pPr>
              <w:pStyle w:val="TableTextEntries"/>
              <w:jc w:val="center"/>
            </w:pPr>
            <w:r w:rsidRPr="00332DF6">
              <w:t>N/A</w:t>
            </w:r>
          </w:p>
        </w:tc>
        <w:tc>
          <w:tcPr>
            <w:tcW w:w="894" w:type="dxa"/>
            <w:noWrap/>
            <w:hideMark/>
          </w:tcPr>
          <w:p w14:paraId="420DCDB0" w14:textId="77777777" w:rsidR="006B1681" w:rsidRPr="00332DF6" w:rsidRDefault="006B1681" w:rsidP="00152088">
            <w:pPr>
              <w:pStyle w:val="TableTextEntries"/>
              <w:jc w:val="center"/>
            </w:pPr>
            <w:r w:rsidRPr="00332DF6">
              <w:t>N/A</w:t>
            </w:r>
          </w:p>
        </w:tc>
      </w:tr>
      <w:tr w:rsidR="006B1681" w:rsidRPr="00250BC3" w14:paraId="420DCDBD"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B2" w14:textId="77777777" w:rsidR="006B1681" w:rsidRPr="00332DF6" w:rsidRDefault="006B1681" w:rsidP="00332DF6">
            <w:pPr>
              <w:pStyle w:val="TableTextEntries"/>
            </w:pPr>
          </w:p>
        </w:tc>
        <w:tc>
          <w:tcPr>
            <w:tcW w:w="887" w:type="dxa"/>
            <w:vMerge/>
            <w:hideMark/>
          </w:tcPr>
          <w:p w14:paraId="420DCDB3" w14:textId="77777777" w:rsidR="006B1681" w:rsidRPr="00332DF6" w:rsidRDefault="006B1681" w:rsidP="00332DF6">
            <w:pPr>
              <w:pStyle w:val="TableTextEntries"/>
            </w:pPr>
          </w:p>
        </w:tc>
        <w:tc>
          <w:tcPr>
            <w:tcW w:w="1840" w:type="dxa"/>
            <w:vMerge/>
            <w:hideMark/>
          </w:tcPr>
          <w:p w14:paraId="420DCDB4" w14:textId="77777777" w:rsidR="006B1681" w:rsidRPr="00332DF6" w:rsidRDefault="006B1681" w:rsidP="00332DF6">
            <w:pPr>
              <w:pStyle w:val="TableTextEntries"/>
            </w:pPr>
          </w:p>
        </w:tc>
        <w:tc>
          <w:tcPr>
            <w:tcW w:w="1128" w:type="dxa"/>
            <w:vMerge/>
            <w:hideMark/>
          </w:tcPr>
          <w:p w14:paraId="420DCDB5" w14:textId="77777777" w:rsidR="006B1681" w:rsidRPr="00332DF6" w:rsidRDefault="006B1681" w:rsidP="00332DF6">
            <w:pPr>
              <w:pStyle w:val="TableTextEntries"/>
            </w:pPr>
          </w:p>
        </w:tc>
        <w:tc>
          <w:tcPr>
            <w:tcW w:w="920" w:type="dxa"/>
            <w:noWrap/>
            <w:hideMark/>
          </w:tcPr>
          <w:p w14:paraId="420DCDB6" w14:textId="77777777" w:rsidR="006B1681" w:rsidRPr="00332DF6" w:rsidRDefault="006B1681" w:rsidP="00332DF6">
            <w:pPr>
              <w:pStyle w:val="TableTextEntries"/>
            </w:pPr>
            <w:r w:rsidRPr="00332DF6">
              <w:t>2012</w:t>
            </w:r>
          </w:p>
        </w:tc>
        <w:tc>
          <w:tcPr>
            <w:tcW w:w="894" w:type="dxa"/>
            <w:shd w:val="clear" w:color="auto" w:fill="92D050"/>
            <w:noWrap/>
            <w:hideMark/>
          </w:tcPr>
          <w:p w14:paraId="420DCDB7"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B8"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DB9"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BA"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DBB"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BC" w14:textId="77777777" w:rsidR="006B1681" w:rsidRPr="00332DF6" w:rsidRDefault="006B1681" w:rsidP="00152088">
            <w:pPr>
              <w:pStyle w:val="TableTextEntries"/>
              <w:jc w:val="center"/>
            </w:pPr>
            <w:r w:rsidRPr="00332DF6">
              <w:t>4</w:t>
            </w:r>
          </w:p>
        </w:tc>
      </w:tr>
      <w:tr w:rsidR="006B1681" w:rsidRPr="00250BC3" w14:paraId="420DCDC9" w14:textId="77777777" w:rsidTr="00332DF6">
        <w:trPr>
          <w:tblHeader w:val="0"/>
        </w:trPr>
        <w:tc>
          <w:tcPr>
            <w:tcW w:w="2785" w:type="dxa"/>
            <w:vMerge w:val="restart"/>
            <w:hideMark/>
          </w:tcPr>
          <w:p w14:paraId="420DCDBE" w14:textId="77777777" w:rsidR="006B1681" w:rsidRPr="00332DF6" w:rsidRDefault="006B1681" w:rsidP="00332DF6">
            <w:pPr>
              <w:pStyle w:val="TableTextEntries"/>
            </w:pPr>
            <w:r w:rsidRPr="00332DF6">
              <w:t>Improving Pacific Literacy and Numeracy Assessment</w:t>
            </w:r>
            <w:r w:rsidR="009A3815" w:rsidRPr="00332DF6">
              <w:t xml:space="preserve"> initiative</w:t>
            </w:r>
          </w:p>
        </w:tc>
        <w:tc>
          <w:tcPr>
            <w:tcW w:w="887" w:type="dxa"/>
            <w:vMerge w:val="restart"/>
            <w:noWrap/>
            <w:hideMark/>
          </w:tcPr>
          <w:p w14:paraId="420DCDBF" w14:textId="77777777" w:rsidR="006B1681" w:rsidRPr="00332DF6" w:rsidRDefault="006B1681" w:rsidP="00332DF6">
            <w:pPr>
              <w:pStyle w:val="TableTextEntries"/>
            </w:pPr>
            <w:r w:rsidRPr="00332DF6">
              <w:t>INK677</w:t>
            </w:r>
          </w:p>
        </w:tc>
        <w:tc>
          <w:tcPr>
            <w:tcW w:w="1840" w:type="dxa"/>
            <w:vMerge w:val="restart"/>
            <w:hideMark/>
          </w:tcPr>
          <w:p w14:paraId="420DCDC0" w14:textId="77777777" w:rsidR="006B1681" w:rsidRPr="00332DF6" w:rsidRDefault="006B1681" w:rsidP="00332DF6">
            <w:pPr>
              <w:pStyle w:val="TableTextEntries"/>
            </w:pPr>
            <w:r w:rsidRPr="00332DF6">
              <w:t>$1,700,000.00</w:t>
            </w:r>
          </w:p>
        </w:tc>
        <w:tc>
          <w:tcPr>
            <w:tcW w:w="1128" w:type="dxa"/>
            <w:vMerge w:val="restart"/>
            <w:noWrap/>
            <w:hideMark/>
          </w:tcPr>
          <w:p w14:paraId="420DCDC1" w14:textId="77777777" w:rsidR="006B1681" w:rsidRPr="00332DF6" w:rsidRDefault="006B1681" w:rsidP="00332DF6">
            <w:pPr>
              <w:pStyle w:val="TableTextEntries"/>
            </w:pPr>
            <w:r w:rsidRPr="00332DF6">
              <w:t>2012</w:t>
            </w:r>
            <w:r w:rsidR="00464D90" w:rsidRPr="00332DF6">
              <w:t>–</w:t>
            </w:r>
            <w:r w:rsidRPr="00332DF6">
              <w:t>14</w:t>
            </w:r>
          </w:p>
        </w:tc>
        <w:tc>
          <w:tcPr>
            <w:tcW w:w="920" w:type="dxa"/>
            <w:noWrap/>
            <w:hideMark/>
          </w:tcPr>
          <w:p w14:paraId="420DCDC2" w14:textId="77777777" w:rsidR="006B1681" w:rsidRPr="00332DF6" w:rsidRDefault="006B1681" w:rsidP="00332DF6">
            <w:pPr>
              <w:pStyle w:val="TableTextEntries"/>
            </w:pPr>
            <w:r w:rsidRPr="00332DF6">
              <w:t>2011</w:t>
            </w:r>
          </w:p>
        </w:tc>
        <w:tc>
          <w:tcPr>
            <w:tcW w:w="894" w:type="dxa"/>
            <w:noWrap/>
            <w:hideMark/>
          </w:tcPr>
          <w:p w14:paraId="420DCDC3" w14:textId="77777777" w:rsidR="006B1681" w:rsidRPr="00332DF6" w:rsidRDefault="006B1681" w:rsidP="00152088">
            <w:pPr>
              <w:pStyle w:val="TableTextEntries"/>
              <w:jc w:val="center"/>
            </w:pPr>
            <w:r w:rsidRPr="00332DF6">
              <w:t>N/A</w:t>
            </w:r>
          </w:p>
        </w:tc>
        <w:tc>
          <w:tcPr>
            <w:tcW w:w="894" w:type="dxa"/>
            <w:noWrap/>
            <w:hideMark/>
          </w:tcPr>
          <w:p w14:paraId="420DCDC4" w14:textId="77777777" w:rsidR="006B1681" w:rsidRPr="00332DF6" w:rsidRDefault="006B1681" w:rsidP="00152088">
            <w:pPr>
              <w:pStyle w:val="TableTextEntries"/>
              <w:jc w:val="center"/>
            </w:pPr>
            <w:r w:rsidRPr="00332DF6">
              <w:t>N/A</w:t>
            </w:r>
          </w:p>
        </w:tc>
        <w:tc>
          <w:tcPr>
            <w:tcW w:w="894" w:type="dxa"/>
            <w:noWrap/>
            <w:hideMark/>
          </w:tcPr>
          <w:p w14:paraId="420DCDC5" w14:textId="77777777" w:rsidR="006B1681" w:rsidRPr="00332DF6" w:rsidRDefault="006B1681" w:rsidP="00152088">
            <w:pPr>
              <w:pStyle w:val="TableTextEntries"/>
              <w:jc w:val="center"/>
            </w:pPr>
            <w:r w:rsidRPr="00332DF6">
              <w:t>N/A</w:t>
            </w:r>
          </w:p>
        </w:tc>
        <w:tc>
          <w:tcPr>
            <w:tcW w:w="894" w:type="dxa"/>
            <w:noWrap/>
            <w:hideMark/>
          </w:tcPr>
          <w:p w14:paraId="420DCDC6" w14:textId="77777777" w:rsidR="006B1681" w:rsidRPr="00332DF6" w:rsidRDefault="006B1681" w:rsidP="00152088">
            <w:pPr>
              <w:pStyle w:val="TableTextEntries"/>
              <w:jc w:val="center"/>
            </w:pPr>
            <w:r w:rsidRPr="00332DF6">
              <w:t>N/A</w:t>
            </w:r>
          </w:p>
        </w:tc>
        <w:tc>
          <w:tcPr>
            <w:tcW w:w="894" w:type="dxa"/>
            <w:noWrap/>
            <w:hideMark/>
          </w:tcPr>
          <w:p w14:paraId="420DCDC7" w14:textId="77777777" w:rsidR="006B1681" w:rsidRPr="00332DF6" w:rsidRDefault="006B1681" w:rsidP="00152088">
            <w:pPr>
              <w:pStyle w:val="TableTextEntries"/>
              <w:jc w:val="center"/>
            </w:pPr>
            <w:r w:rsidRPr="00332DF6">
              <w:t>N/A</w:t>
            </w:r>
          </w:p>
        </w:tc>
        <w:tc>
          <w:tcPr>
            <w:tcW w:w="894" w:type="dxa"/>
            <w:noWrap/>
            <w:hideMark/>
          </w:tcPr>
          <w:p w14:paraId="420DCDC8" w14:textId="77777777" w:rsidR="006B1681" w:rsidRPr="00332DF6" w:rsidRDefault="006B1681" w:rsidP="00152088">
            <w:pPr>
              <w:pStyle w:val="TableTextEntries"/>
              <w:jc w:val="center"/>
            </w:pPr>
            <w:r w:rsidRPr="00332DF6">
              <w:t>N/A</w:t>
            </w:r>
          </w:p>
        </w:tc>
      </w:tr>
      <w:tr w:rsidR="006B1681" w:rsidRPr="00250BC3" w14:paraId="420DCDD5" w14:textId="77777777" w:rsidTr="00A84A34">
        <w:trPr>
          <w:cnfStyle w:val="000000010000" w:firstRow="0" w:lastRow="0" w:firstColumn="0" w:lastColumn="0" w:oddVBand="0" w:evenVBand="0" w:oddHBand="0" w:evenHBand="1" w:firstRowFirstColumn="0" w:firstRowLastColumn="0" w:lastRowFirstColumn="0" w:lastRowLastColumn="0"/>
          <w:tblHeader w:val="0"/>
        </w:trPr>
        <w:tc>
          <w:tcPr>
            <w:tcW w:w="2785" w:type="dxa"/>
            <w:vMerge/>
            <w:hideMark/>
          </w:tcPr>
          <w:p w14:paraId="420DCDCA" w14:textId="77777777" w:rsidR="006B1681" w:rsidRPr="00332DF6" w:rsidRDefault="006B1681" w:rsidP="00332DF6">
            <w:pPr>
              <w:pStyle w:val="TableTextEntries"/>
            </w:pPr>
          </w:p>
        </w:tc>
        <w:tc>
          <w:tcPr>
            <w:tcW w:w="887" w:type="dxa"/>
            <w:vMerge/>
            <w:hideMark/>
          </w:tcPr>
          <w:p w14:paraId="420DCDCB" w14:textId="77777777" w:rsidR="006B1681" w:rsidRPr="00332DF6" w:rsidRDefault="006B1681" w:rsidP="00332DF6">
            <w:pPr>
              <w:pStyle w:val="TableTextEntries"/>
            </w:pPr>
          </w:p>
        </w:tc>
        <w:tc>
          <w:tcPr>
            <w:tcW w:w="1840" w:type="dxa"/>
            <w:vMerge/>
            <w:hideMark/>
          </w:tcPr>
          <w:p w14:paraId="420DCDCC" w14:textId="77777777" w:rsidR="006B1681" w:rsidRPr="00332DF6" w:rsidRDefault="006B1681" w:rsidP="00332DF6">
            <w:pPr>
              <w:pStyle w:val="TableTextEntries"/>
            </w:pPr>
          </w:p>
        </w:tc>
        <w:tc>
          <w:tcPr>
            <w:tcW w:w="1128" w:type="dxa"/>
            <w:vMerge/>
            <w:hideMark/>
          </w:tcPr>
          <w:p w14:paraId="420DCDCD" w14:textId="77777777" w:rsidR="006B1681" w:rsidRPr="00332DF6" w:rsidRDefault="006B1681" w:rsidP="00332DF6">
            <w:pPr>
              <w:pStyle w:val="TableTextEntries"/>
            </w:pPr>
          </w:p>
        </w:tc>
        <w:tc>
          <w:tcPr>
            <w:tcW w:w="920" w:type="dxa"/>
            <w:noWrap/>
            <w:hideMark/>
          </w:tcPr>
          <w:p w14:paraId="420DCDCE" w14:textId="77777777" w:rsidR="006B1681" w:rsidRPr="00332DF6" w:rsidRDefault="006B1681" w:rsidP="00332DF6">
            <w:pPr>
              <w:pStyle w:val="TableTextEntries"/>
            </w:pPr>
            <w:r w:rsidRPr="00332DF6">
              <w:t>2012</w:t>
            </w:r>
          </w:p>
        </w:tc>
        <w:tc>
          <w:tcPr>
            <w:tcW w:w="894" w:type="dxa"/>
            <w:shd w:val="clear" w:color="auto" w:fill="92D050"/>
            <w:noWrap/>
            <w:hideMark/>
          </w:tcPr>
          <w:p w14:paraId="420DCDCF" w14:textId="77777777" w:rsidR="006B1681" w:rsidRPr="00332DF6" w:rsidRDefault="006B1681" w:rsidP="00152088">
            <w:pPr>
              <w:pStyle w:val="TableTextEntries"/>
              <w:jc w:val="center"/>
            </w:pPr>
            <w:r w:rsidRPr="00332DF6">
              <w:t>6</w:t>
            </w:r>
          </w:p>
        </w:tc>
        <w:tc>
          <w:tcPr>
            <w:tcW w:w="894" w:type="dxa"/>
            <w:shd w:val="clear" w:color="auto" w:fill="92D050"/>
            <w:noWrap/>
            <w:hideMark/>
          </w:tcPr>
          <w:p w14:paraId="420DCDD0" w14:textId="77777777" w:rsidR="006B1681" w:rsidRPr="00332DF6" w:rsidRDefault="006B1681" w:rsidP="00152088">
            <w:pPr>
              <w:pStyle w:val="TableTextEntries"/>
              <w:jc w:val="center"/>
            </w:pPr>
            <w:r w:rsidRPr="00332DF6">
              <w:t>5</w:t>
            </w:r>
          </w:p>
        </w:tc>
        <w:tc>
          <w:tcPr>
            <w:tcW w:w="894" w:type="dxa"/>
            <w:shd w:val="clear" w:color="auto" w:fill="FFFF00"/>
            <w:noWrap/>
            <w:hideMark/>
          </w:tcPr>
          <w:p w14:paraId="420DCDD1" w14:textId="77777777" w:rsidR="006B1681" w:rsidRPr="00332DF6" w:rsidRDefault="006B1681" w:rsidP="00152088">
            <w:pPr>
              <w:pStyle w:val="TableTextEntries"/>
              <w:jc w:val="center"/>
            </w:pPr>
            <w:r w:rsidRPr="00332DF6">
              <w:t>4</w:t>
            </w:r>
          </w:p>
        </w:tc>
        <w:tc>
          <w:tcPr>
            <w:tcW w:w="894" w:type="dxa"/>
            <w:shd w:val="clear" w:color="auto" w:fill="FFFF00"/>
            <w:noWrap/>
            <w:hideMark/>
          </w:tcPr>
          <w:p w14:paraId="420DCDD2" w14:textId="77777777" w:rsidR="006B1681" w:rsidRPr="00332DF6" w:rsidRDefault="006B1681" w:rsidP="00152088">
            <w:pPr>
              <w:pStyle w:val="TableTextEntries"/>
              <w:jc w:val="center"/>
            </w:pPr>
            <w:r w:rsidRPr="00332DF6">
              <w:t>4</w:t>
            </w:r>
          </w:p>
        </w:tc>
        <w:tc>
          <w:tcPr>
            <w:tcW w:w="894" w:type="dxa"/>
            <w:shd w:val="clear" w:color="auto" w:fill="92D050"/>
            <w:noWrap/>
            <w:hideMark/>
          </w:tcPr>
          <w:p w14:paraId="420DCDD3" w14:textId="77777777" w:rsidR="006B1681" w:rsidRPr="00332DF6" w:rsidRDefault="006B1681" w:rsidP="00152088">
            <w:pPr>
              <w:pStyle w:val="TableTextEntries"/>
              <w:jc w:val="center"/>
            </w:pPr>
            <w:r w:rsidRPr="00332DF6">
              <w:t>5</w:t>
            </w:r>
          </w:p>
        </w:tc>
        <w:tc>
          <w:tcPr>
            <w:tcW w:w="894" w:type="dxa"/>
            <w:shd w:val="clear" w:color="auto" w:fill="92D050"/>
            <w:noWrap/>
            <w:hideMark/>
          </w:tcPr>
          <w:p w14:paraId="420DCDD4" w14:textId="77777777" w:rsidR="006B1681" w:rsidRPr="00332DF6" w:rsidRDefault="006B1681" w:rsidP="00152088">
            <w:pPr>
              <w:pStyle w:val="TableTextEntries"/>
              <w:jc w:val="center"/>
            </w:pPr>
            <w:r w:rsidRPr="00332DF6">
              <w:t>5</w:t>
            </w:r>
          </w:p>
        </w:tc>
      </w:tr>
    </w:tbl>
    <w:p w14:paraId="420DCDD6" w14:textId="77777777" w:rsidR="005C77B9" w:rsidRDefault="005C77B9" w:rsidP="005C77B9">
      <w:pPr>
        <w:pStyle w:val="Note"/>
      </w:pPr>
      <w:r w:rsidRPr="0053687E">
        <w:lastRenderedPageBreak/>
        <w:t xml:space="preserve">Data generated from </w:t>
      </w:r>
      <w:proofErr w:type="spellStart"/>
      <w:r w:rsidRPr="0053687E">
        <w:t>Aid</w:t>
      </w:r>
      <w:r w:rsidR="00D12BCD">
        <w:t>W</w:t>
      </w:r>
      <w:r w:rsidRPr="0053687E">
        <w:t>orks</w:t>
      </w:r>
      <w:proofErr w:type="spellEnd"/>
      <w:r w:rsidRPr="0053687E">
        <w:t xml:space="preserve"> as at 25 June 2013</w:t>
      </w:r>
    </w:p>
    <w:p w14:paraId="420DCDD7" w14:textId="77777777" w:rsidR="005C77B9" w:rsidRDefault="005C77B9" w:rsidP="005C77B9">
      <w:pPr>
        <w:pStyle w:val="Note"/>
      </w:pPr>
      <w:r>
        <w:t>Definitions of rating scale:</w:t>
      </w:r>
      <w:r>
        <w:tab/>
      </w:r>
    </w:p>
    <w:p w14:paraId="420DCDD8" w14:textId="77777777" w:rsidR="005C77B9" w:rsidRDefault="005C77B9" w:rsidP="005C77B9">
      <w:pPr>
        <w:pStyle w:val="Note"/>
      </w:pPr>
      <w:r>
        <w:t>Satisfactory (4, 5 and 6)</w:t>
      </w:r>
    </w:p>
    <w:p w14:paraId="420DCDD9" w14:textId="77777777" w:rsidR="005C77B9" w:rsidRDefault="005C77B9" w:rsidP="005C77B9">
      <w:pPr>
        <w:pStyle w:val="Note"/>
      </w:pPr>
      <w:r w:rsidRPr="00FE4491">
        <w:rPr>
          <w:color w:val="92D050"/>
        </w:rPr>
        <w:sym w:font="Webdings" w:char="F067"/>
      </w:r>
      <w:r>
        <w:t xml:space="preserve"> = 6 = Very high quality</w:t>
      </w:r>
    </w:p>
    <w:p w14:paraId="420DCDDA" w14:textId="77777777" w:rsidR="005C77B9" w:rsidRDefault="005C77B9" w:rsidP="005C77B9">
      <w:pPr>
        <w:pStyle w:val="Note"/>
      </w:pPr>
      <w:r w:rsidRPr="00FE4491">
        <w:rPr>
          <w:color w:val="92D050"/>
        </w:rPr>
        <w:sym w:font="Webdings" w:char="F067"/>
      </w:r>
      <w:r>
        <w:t xml:space="preserve"> = 5 = Good quality</w:t>
      </w:r>
    </w:p>
    <w:p w14:paraId="420DCDDB" w14:textId="77777777" w:rsidR="005C77B9" w:rsidRDefault="005C77B9" w:rsidP="005C77B9">
      <w:pPr>
        <w:pStyle w:val="Note"/>
      </w:pPr>
      <w:r w:rsidRPr="000774FD">
        <w:rPr>
          <w:color w:val="FFFF00"/>
        </w:rPr>
        <w:sym w:font="Webdings" w:char="F067"/>
      </w:r>
      <w:r>
        <w:t xml:space="preserve"> = 4 = Adequate quality, needs some work</w:t>
      </w:r>
    </w:p>
    <w:p w14:paraId="420DCDDC" w14:textId="77777777" w:rsidR="005C77B9" w:rsidRDefault="005C77B9" w:rsidP="005C77B9">
      <w:pPr>
        <w:pStyle w:val="Note"/>
      </w:pPr>
      <w:r>
        <w:t>Less than satisfactory (1, 2 and 3)</w:t>
      </w:r>
    </w:p>
    <w:p w14:paraId="420DCDDD" w14:textId="77777777" w:rsidR="005C77B9" w:rsidRDefault="005C77B9" w:rsidP="005C77B9">
      <w:pPr>
        <w:pStyle w:val="Note"/>
      </w:pPr>
      <w:r w:rsidRPr="00FD710F">
        <w:rPr>
          <w:color w:val="F79646"/>
        </w:rPr>
        <w:sym w:font="Webdings" w:char="F067"/>
      </w:r>
      <w:r>
        <w:t xml:space="preserve"> = 3 = Less than adequate quality; needs significant work</w:t>
      </w:r>
    </w:p>
    <w:p w14:paraId="420DCDDE" w14:textId="77777777" w:rsidR="005C77B9" w:rsidRDefault="005C77B9" w:rsidP="005C77B9">
      <w:pPr>
        <w:pStyle w:val="Note"/>
      </w:pPr>
      <w:r w:rsidRPr="000774FD">
        <w:rPr>
          <w:color w:val="FF0000"/>
        </w:rPr>
        <w:sym w:font="Webdings" w:char="F067"/>
      </w:r>
      <w:r>
        <w:t xml:space="preserve"> = 2 = Poor quality; needs major work to improve</w:t>
      </w:r>
    </w:p>
    <w:p w14:paraId="420DCDDF" w14:textId="77777777" w:rsidR="005C77B9" w:rsidRDefault="005C77B9" w:rsidP="005C77B9">
      <w:pPr>
        <w:pStyle w:val="Note"/>
      </w:pPr>
      <w:r w:rsidRPr="000774FD">
        <w:rPr>
          <w:color w:val="FF0000"/>
        </w:rPr>
        <w:sym w:font="Webdings" w:char="F067"/>
      </w:r>
      <w:r>
        <w:t xml:space="preserve"> = 1 = Very poor quality; needs major overhaul</w:t>
      </w:r>
    </w:p>
    <w:p w14:paraId="420DCDE0" w14:textId="77777777" w:rsidR="005C77B9" w:rsidRDefault="005C77B9" w:rsidP="005C77B9"/>
    <w:p w14:paraId="420DCDE1" w14:textId="77777777" w:rsidR="005C77B9" w:rsidRDefault="005C77B9" w:rsidP="005C77B9">
      <w:pPr>
        <w:sectPr w:rsidR="005C77B9" w:rsidSect="00462CE5">
          <w:headerReference w:type="default" r:id="rId20"/>
          <w:footerReference w:type="default" r:id="rId21"/>
          <w:headerReference w:type="first" r:id="rId22"/>
          <w:footerReference w:type="first" r:id="rId23"/>
          <w:pgSz w:w="16838" w:h="11906" w:orient="landscape" w:code="9"/>
          <w:pgMar w:top="1871" w:right="2268" w:bottom="1134" w:left="907" w:header="709" w:footer="454" w:gutter="0"/>
          <w:cols w:space="708"/>
          <w:docGrid w:linePitch="360"/>
        </w:sectPr>
      </w:pPr>
    </w:p>
    <w:p w14:paraId="420DCDE2" w14:textId="77777777" w:rsidR="005C77B9" w:rsidRPr="00071B95" w:rsidRDefault="005C77B9" w:rsidP="005C77B9">
      <w:pPr>
        <w:pStyle w:val="Heading1"/>
      </w:pPr>
      <w:r w:rsidRPr="00071B95">
        <w:lastRenderedPageBreak/>
        <w:t>Annex C</w:t>
      </w:r>
    </w:p>
    <w:p w14:paraId="420DCDE3" w14:textId="77777777" w:rsidR="005C77B9" w:rsidRPr="00071B95" w:rsidRDefault="005C77B9" w:rsidP="005C77B9">
      <w:pPr>
        <w:pStyle w:val="Heading2"/>
      </w:pPr>
      <w:r w:rsidRPr="00071B95">
        <w:t xml:space="preserve">Evaluation and </w:t>
      </w:r>
      <w:r w:rsidR="002B40C6">
        <w:t>r</w:t>
      </w:r>
      <w:r w:rsidRPr="00071B95">
        <w:t xml:space="preserve">eview </w:t>
      </w:r>
      <w:r w:rsidR="002B40C6">
        <w:t>p</w:t>
      </w:r>
      <w:r w:rsidRPr="00071B95">
        <w:t xml:space="preserve">ipeline </w:t>
      </w:r>
      <w:r w:rsidR="002B40C6">
        <w:t>p</w:t>
      </w:r>
      <w:r w:rsidRPr="00071B95">
        <w:t>lanning</w:t>
      </w:r>
    </w:p>
    <w:p w14:paraId="420DCDE4" w14:textId="77777777" w:rsidR="005C77B9" w:rsidRPr="00071B95" w:rsidRDefault="005C77B9" w:rsidP="005C77B9">
      <w:pPr>
        <w:pStyle w:val="Caption"/>
      </w:pPr>
      <w:r w:rsidRPr="00071B95">
        <w:t xml:space="preserve">List of </w:t>
      </w:r>
      <w:r w:rsidR="002B40C6">
        <w:t>e</w:t>
      </w:r>
      <w:r w:rsidRPr="00071B95">
        <w:t>valuations completed</w:t>
      </w:r>
      <w:r w:rsidRPr="00071B95">
        <w:rPr>
          <w:vertAlign w:val="superscript"/>
        </w:rPr>
        <w:footnoteReference w:id="23"/>
      </w:r>
      <w:r w:rsidRPr="00071B95">
        <w:t xml:space="preserve"> in the reporting period </w:t>
      </w:r>
    </w:p>
    <w:tbl>
      <w:tblPr>
        <w:tblStyle w:val="APPR"/>
        <w:tblW w:w="5000" w:type="pct"/>
        <w:tblLook w:val="04A0" w:firstRow="1" w:lastRow="0" w:firstColumn="1" w:lastColumn="0" w:noHBand="0" w:noVBand="1"/>
      </w:tblPr>
      <w:tblGrid>
        <w:gridCol w:w="1352"/>
        <w:gridCol w:w="1135"/>
        <w:gridCol w:w="1327"/>
        <w:gridCol w:w="1186"/>
        <w:gridCol w:w="1183"/>
        <w:gridCol w:w="1336"/>
        <w:gridCol w:w="1087"/>
      </w:tblGrid>
      <w:tr w:rsidR="005C77B9" w:rsidRPr="00071B95" w14:paraId="420DCDEC" w14:textId="77777777" w:rsidTr="00800ACF">
        <w:trPr>
          <w:cnfStyle w:val="100000000000" w:firstRow="1" w:lastRow="0" w:firstColumn="0" w:lastColumn="0" w:oddVBand="0" w:evenVBand="0" w:oddHBand="0" w:evenHBand="0" w:firstRowFirstColumn="0" w:firstRowLastColumn="0" w:lastRowFirstColumn="0" w:lastRowLastColumn="0"/>
          <w:cantSplit/>
        </w:trPr>
        <w:tc>
          <w:tcPr>
            <w:tcW w:w="1302" w:type="dxa"/>
          </w:tcPr>
          <w:p w14:paraId="420DCDE5" w14:textId="77777777" w:rsidR="005C77B9" w:rsidRPr="001A7F25" w:rsidRDefault="005C77B9" w:rsidP="001A7F25">
            <w:pPr>
              <w:pStyle w:val="TableTextColumnHeading"/>
              <w:rPr>
                <w:b/>
              </w:rPr>
            </w:pPr>
            <w:r w:rsidRPr="001A7F25">
              <w:rPr>
                <w:b/>
              </w:rPr>
              <w:t xml:space="preserve">Name </w:t>
            </w:r>
            <w:r w:rsidR="002B40C6" w:rsidRPr="001A7F25">
              <w:rPr>
                <w:b/>
              </w:rPr>
              <w:t>of i</w:t>
            </w:r>
            <w:r w:rsidRPr="001A7F25">
              <w:rPr>
                <w:b/>
              </w:rPr>
              <w:t>nitiative</w:t>
            </w:r>
          </w:p>
        </w:tc>
        <w:tc>
          <w:tcPr>
            <w:tcW w:w="1100" w:type="dxa"/>
          </w:tcPr>
          <w:p w14:paraId="420DCDE6" w14:textId="77777777" w:rsidR="005C77B9" w:rsidRPr="001A7F25" w:rsidRDefault="005C77B9" w:rsidP="001A7F25">
            <w:pPr>
              <w:pStyle w:val="TableTextColumnHeading"/>
              <w:rPr>
                <w:b/>
              </w:rPr>
            </w:pPr>
            <w:proofErr w:type="spellStart"/>
            <w:r w:rsidRPr="001A7F25">
              <w:rPr>
                <w:b/>
              </w:rPr>
              <w:t>Aid</w:t>
            </w:r>
            <w:r w:rsidR="002B40C6" w:rsidRPr="001A7F25">
              <w:rPr>
                <w:b/>
              </w:rPr>
              <w:t>W</w:t>
            </w:r>
            <w:r w:rsidRPr="001A7F25">
              <w:rPr>
                <w:b/>
              </w:rPr>
              <w:t>orks</w:t>
            </w:r>
            <w:proofErr w:type="spellEnd"/>
            <w:r w:rsidRPr="001A7F25">
              <w:rPr>
                <w:b/>
              </w:rPr>
              <w:t xml:space="preserve"> number</w:t>
            </w:r>
          </w:p>
        </w:tc>
        <w:tc>
          <w:tcPr>
            <w:tcW w:w="1290" w:type="dxa"/>
          </w:tcPr>
          <w:p w14:paraId="420DCDE7" w14:textId="77777777" w:rsidR="005C77B9" w:rsidRPr="001A7F25" w:rsidRDefault="005C77B9" w:rsidP="001A7F25">
            <w:pPr>
              <w:pStyle w:val="TableTextColumnHeading"/>
              <w:rPr>
                <w:b/>
              </w:rPr>
            </w:pPr>
            <w:r w:rsidRPr="001A7F25">
              <w:rPr>
                <w:b/>
              </w:rPr>
              <w:t>Type of evaluation</w:t>
            </w:r>
            <w:r w:rsidRPr="001A7F25">
              <w:rPr>
                <w:b/>
                <w:vertAlign w:val="superscript"/>
              </w:rPr>
              <w:footnoteReference w:id="24"/>
            </w:r>
          </w:p>
        </w:tc>
        <w:tc>
          <w:tcPr>
            <w:tcW w:w="1150" w:type="dxa"/>
          </w:tcPr>
          <w:p w14:paraId="420DCDE8" w14:textId="77777777" w:rsidR="005C77B9" w:rsidRPr="001A7F25" w:rsidRDefault="005C77B9" w:rsidP="001A7F25">
            <w:pPr>
              <w:pStyle w:val="TableTextColumnHeading"/>
              <w:rPr>
                <w:b/>
              </w:rPr>
            </w:pPr>
            <w:r w:rsidRPr="001A7F25">
              <w:rPr>
                <w:b/>
              </w:rPr>
              <w:t xml:space="preserve">Date </w:t>
            </w:r>
            <w:r w:rsidR="002B40C6" w:rsidRPr="001A7F25">
              <w:rPr>
                <w:b/>
              </w:rPr>
              <w:t>e</w:t>
            </w:r>
            <w:r w:rsidRPr="001A7F25">
              <w:rPr>
                <w:b/>
              </w:rPr>
              <w:t>valuation report received</w:t>
            </w:r>
          </w:p>
        </w:tc>
        <w:tc>
          <w:tcPr>
            <w:tcW w:w="1147" w:type="dxa"/>
          </w:tcPr>
          <w:p w14:paraId="420DCDE9" w14:textId="77777777" w:rsidR="005C77B9" w:rsidRPr="001A7F25" w:rsidRDefault="005C77B9" w:rsidP="001A7F25">
            <w:pPr>
              <w:pStyle w:val="TableTextColumnHeading"/>
              <w:rPr>
                <w:b/>
              </w:rPr>
            </w:pPr>
            <w:r w:rsidRPr="001A7F25">
              <w:rPr>
                <w:b/>
              </w:rPr>
              <w:t xml:space="preserve">Date </w:t>
            </w:r>
            <w:r w:rsidR="002B40C6" w:rsidRPr="001A7F25">
              <w:rPr>
                <w:b/>
              </w:rPr>
              <w:t>e</w:t>
            </w:r>
            <w:r w:rsidRPr="001A7F25">
              <w:rPr>
                <w:b/>
              </w:rPr>
              <w:t xml:space="preserve">valuation report </w:t>
            </w:r>
            <w:r w:rsidR="002B40C6" w:rsidRPr="001A7F25">
              <w:rPr>
                <w:b/>
              </w:rPr>
              <w:t>u</w:t>
            </w:r>
            <w:r w:rsidRPr="001A7F25">
              <w:rPr>
                <w:b/>
              </w:rPr>
              <w:t xml:space="preserve">ploaded into </w:t>
            </w:r>
            <w:proofErr w:type="spellStart"/>
            <w:r w:rsidRPr="001A7F25">
              <w:rPr>
                <w:b/>
              </w:rPr>
              <w:t>Aid</w:t>
            </w:r>
            <w:r w:rsidR="002B40C6" w:rsidRPr="001A7F25">
              <w:rPr>
                <w:b/>
              </w:rPr>
              <w:t>W</w:t>
            </w:r>
            <w:r w:rsidRPr="001A7F25">
              <w:rPr>
                <w:b/>
              </w:rPr>
              <w:t>orks</w:t>
            </w:r>
            <w:proofErr w:type="spellEnd"/>
          </w:p>
        </w:tc>
        <w:tc>
          <w:tcPr>
            <w:tcW w:w="1299" w:type="dxa"/>
          </w:tcPr>
          <w:p w14:paraId="420DCDEA" w14:textId="77777777" w:rsidR="005C77B9" w:rsidRPr="001A7F25" w:rsidRDefault="005C77B9" w:rsidP="001A7F25">
            <w:pPr>
              <w:pStyle w:val="TableTextColumnHeading"/>
              <w:rPr>
                <w:b/>
              </w:rPr>
            </w:pPr>
            <w:r w:rsidRPr="001A7F25">
              <w:rPr>
                <w:b/>
              </w:rPr>
              <w:t xml:space="preserve">Date </w:t>
            </w:r>
            <w:r w:rsidR="002B40C6" w:rsidRPr="001A7F25">
              <w:rPr>
                <w:b/>
              </w:rPr>
              <w:t>m</w:t>
            </w:r>
            <w:r w:rsidRPr="001A7F25">
              <w:rPr>
                <w:b/>
              </w:rPr>
              <w:t xml:space="preserve">anagement response uploaded into </w:t>
            </w:r>
            <w:proofErr w:type="spellStart"/>
            <w:r w:rsidRPr="001A7F25">
              <w:rPr>
                <w:b/>
              </w:rPr>
              <w:t>Aid</w:t>
            </w:r>
            <w:r w:rsidR="002B40C6" w:rsidRPr="001A7F25">
              <w:rPr>
                <w:b/>
              </w:rPr>
              <w:t>W</w:t>
            </w:r>
            <w:r w:rsidRPr="001A7F25">
              <w:rPr>
                <w:b/>
              </w:rPr>
              <w:t>orks</w:t>
            </w:r>
            <w:proofErr w:type="spellEnd"/>
          </w:p>
        </w:tc>
        <w:tc>
          <w:tcPr>
            <w:tcW w:w="1038" w:type="dxa"/>
          </w:tcPr>
          <w:p w14:paraId="420DCDEB" w14:textId="77777777" w:rsidR="005C77B9" w:rsidRPr="001A7F25" w:rsidRDefault="005C77B9" w:rsidP="001A7F25">
            <w:pPr>
              <w:pStyle w:val="TableTextColumnHeading"/>
              <w:rPr>
                <w:b/>
              </w:rPr>
            </w:pPr>
            <w:r w:rsidRPr="001A7F25">
              <w:rPr>
                <w:b/>
              </w:rPr>
              <w:t>Published on website</w:t>
            </w:r>
          </w:p>
        </w:tc>
      </w:tr>
      <w:tr w:rsidR="005C77B9" w:rsidRPr="00071B95" w14:paraId="420DCDF4" w14:textId="77777777" w:rsidTr="00800ACF">
        <w:trPr>
          <w:cantSplit/>
          <w:tblHeader w:val="0"/>
        </w:trPr>
        <w:tc>
          <w:tcPr>
            <w:tcW w:w="1302" w:type="dxa"/>
          </w:tcPr>
          <w:p w14:paraId="420DCDED" w14:textId="77777777" w:rsidR="005C77B9" w:rsidRPr="00BC06DF" w:rsidRDefault="005C77B9" w:rsidP="001A7F25">
            <w:pPr>
              <w:pStyle w:val="TableTextEntries"/>
            </w:pPr>
            <w:r w:rsidRPr="00B654A3">
              <w:t>Pacific Technical Assistance Mechanism</w:t>
            </w:r>
          </w:p>
        </w:tc>
        <w:tc>
          <w:tcPr>
            <w:tcW w:w="1100" w:type="dxa"/>
            <w:vAlign w:val="bottom"/>
          </w:tcPr>
          <w:p w14:paraId="420DCDEE" w14:textId="77777777" w:rsidR="005C77B9" w:rsidRPr="006C7CA6" w:rsidRDefault="005C77B9" w:rsidP="001A7F25">
            <w:pPr>
              <w:pStyle w:val="TableTextEntries"/>
              <w:rPr>
                <w:rFonts w:cs="Calibri"/>
              </w:rPr>
            </w:pPr>
            <w:r w:rsidRPr="006C7CA6">
              <w:rPr>
                <w:rFonts w:cs="Calibri"/>
              </w:rPr>
              <w:t>ING854</w:t>
            </w:r>
          </w:p>
        </w:tc>
        <w:tc>
          <w:tcPr>
            <w:tcW w:w="1290" w:type="dxa"/>
          </w:tcPr>
          <w:p w14:paraId="420DCDEF" w14:textId="77777777" w:rsidR="005C77B9" w:rsidRPr="00BC06DF" w:rsidRDefault="005C77B9" w:rsidP="001A7F25">
            <w:pPr>
              <w:pStyle w:val="TableTextEntries"/>
            </w:pPr>
            <w:r>
              <w:t>Independent progress report</w:t>
            </w:r>
          </w:p>
        </w:tc>
        <w:tc>
          <w:tcPr>
            <w:tcW w:w="1150" w:type="dxa"/>
          </w:tcPr>
          <w:p w14:paraId="420DCDF0" w14:textId="77777777" w:rsidR="005C77B9" w:rsidRPr="00BC06DF" w:rsidRDefault="005C77B9" w:rsidP="001A7F25">
            <w:pPr>
              <w:pStyle w:val="TableTextEntries"/>
            </w:pPr>
            <w:r>
              <w:t>February 2012</w:t>
            </w:r>
          </w:p>
        </w:tc>
        <w:tc>
          <w:tcPr>
            <w:tcW w:w="1147" w:type="dxa"/>
          </w:tcPr>
          <w:p w14:paraId="420DCDF1" w14:textId="77777777" w:rsidR="005C77B9" w:rsidRPr="00BC06DF" w:rsidRDefault="005C77B9" w:rsidP="001A7F25">
            <w:pPr>
              <w:pStyle w:val="TableTextEntries"/>
            </w:pPr>
            <w:r>
              <w:t>April 2012</w:t>
            </w:r>
          </w:p>
        </w:tc>
        <w:tc>
          <w:tcPr>
            <w:tcW w:w="1299" w:type="dxa"/>
          </w:tcPr>
          <w:p w14:paraId="420DCDF2" w14:textId="77777777" w:rsidR="005C77B9" w:rsidRPr="00BC06DF" w:rsidRDefault="005C77B9" w:rsidP="001A7F25">
            <w:pPr>
              <w:pStyle w:val="TableTextEntries"/>
            </w:pPr>
            <w:r>
              <w:t>March 2013</w:t>
            </w:r>
          </w:p>
        </w:tc>
        <w:tc>
          <w:tcPr>
            <w:tcW w:w="1038" w:type="dxa"/>
          </w:tcPr>
          <w:p w14:paraId="420DCDF3" w14:textId="77777777" w:rsidR="005C77B9" w:rsidRPr="00BC06DF" w:rsidRDefault="005C77B9" w:rsidP="001A7F25">
            <w:pPr>
              <w:pStyle w:val="TableTextEntries"/>
            </w:pPr>
            <w:r>
              <w:t>Yes</w:t>
            </w:r>
          </w:p>
        </w:tc>
      </w:tr>
      <w:tr w:rsidR="005C77B9" w:rsidRPr="00071B95" w14:paraId="420DCDFC" w14:textId="77777777" w:rsidTr="00800ACF">
        <w:trPr>
          <w:cnfStyle w:val="000000010000" w:firstRow="0" w:lastRow="0" w:firstColumn="0" w:lastColumn="0" w:oddVBand="0" w:evenVBand="0" w:oddHBand="0" w:evenHBand="1" w:firstRowFirstColumn="0" w:firstRowLastColumn="0" w:lastRowFirstColumn="0" w:lastRowLastColumn="0"/>
          <w:cantSplit/>
          <w:tblHeader w:val="0"/>
        </w:trPr>
        <w:tc>
          <w:tcPr>
            <w:tcW w:w="1302" w:type="dxa"/>
          </w:tcPr>
          <w:p w14:paraId="420DCDF5" w14:textId="77777777" w:rsidR="005C77B9" w:rsidRPr="00296CB1" w:rsidRDefault="005C77B9" w:rsidP="001A7F25">
            <w:pPr>
              <w:pStyle w:val="TableTextEntries"/>
            </w:pPr>
            <w:r w:rsidRPr="009B2082">
              <w:t>Pacific leadership program</w:t>
            </w:r>
          </w:p>
        </w:tc>
        <w:tc>
          <w:tcPr>
            <w:tcW w:w="1100" w:type="dxa"/>
            <w:vAlign w:val="bottom"/>
          </w:tcPr>
          <w:p w14:paraId="420DCDF6" w14:textId="77777777" w:rsidR="005C77B9" w:rsidRPr="006C7CA6" w:rsidRDefault="005C77B9" w:rsidP="001A7F25">
            <w:pPr>
              <w:pStyle w:val="TableTextEntries"/>
              <w:rPr>
                <w:rFonts w:cs="Calibri"/>
              </w:rPr>
            </w:pPr>
            <w:r w:rsidRPr="006C7CA6">
              <w:rPr>
                <w:rFonts w:cs="Calibri"/>
              </w:rPr>
              <w:t>INH528</w:t>
            </w:r>
          </w:p>
        </w:tc>
        <w:tc>
          <w:tcPr>
            <w:tcW w:w="1290" w:type="dxa"/>
          </w:tcPr>
          <w:p w14:paraId="420DCDF7" w14:textId="77777777" w:rsidR="005C77B9" w:rsidRPr="00BC06DF" w:rsidRDefault="005C77B9" w:rsidP="001A7F25">
            <w:pPr>
              <w:pStyle w:val="TableTextEntries"/>
            </w:pPr>
            <w:r>
              <w:t>Independent progress report</w:t>
            </w:r>
          </w:p>
        </w:tc>
        <w:tc>
          <w:tcPr>
            <w:tcW w:w="1150" w:type="dxa"/>
          </w:tcPr>
          <w:p w14:paraId="420DCDF8" w14:textId="77777777" w:rsidR="005C77B9" w:rsidRPr="00BC06DF" w:rsidRDefault="005C77B9" w:rsidP="001A7F25">
            <w:pPr>
              <w:pStyle w:val="TableTextEntries"/>
            </w:pPr>
            <w:r>
              <w:t>July 2012</w:t>
            </w:r>
          </w:p>
        </w:tc>
        <w:tc>
          <w:tcPr>
            <w:tcW w:w="1147" w:type="dxa"/>
          </w:tcPr>
          <w:p w14:paraId="420DCDF9" w14:textId="77777777" w:rsidR="005C77B9" w:rsidRPr="00BC06DF" w:rsidRDefault="005C77B9" w:rsidP="001A7F25">
            <w:pPr>
              <w:pStyle w:val="TableTextEntries"/>
            </w:pPr>
            <w:r>
              <w:t>August 2012</w:t>
            </w:r>
          </w:p>
        </w:tc>
        <w:tc>
          <w:tcPr>
            <w:tcW w:w="1299" w:type="dxa"/>
          </w:tcPr>
          <w:p w14:paraId="420DCDFA" w14:textId="77777777" w:rsidR="005C77B9" w:rsidRPr="00BC06DF" w:rsidRDefault="005C77B9" w:rsidP="001A7F25">
            <w:pPr>
              <w:pStyle w:val="TableTextEntries"/>
            </w:pPr>
            <w:r>
              <w:t>January 2013</w:t>
            </w:r>
          </w:p>
        </w:tc>
        <w:tc>
          <w:tcPr>
            <w:tcW w:w="1038" w:type="dxa"/>
          </w:tcPr>
          <w:p w14:paraId="420DCDFB" w14:textId="77777777" w:rsidR="005C77B9" w:rsidRPr="00BC06DF" w:rsidRDefault="005C77B9" w:rsidP="001A7F25">
            <w:pPr>
              <w:pStyle w:val="TableTextEntries"/>
            </w:pPr>
            <w:r>
              <w:t>Yes</w:t>
            </w:r>
          </w:p>
        </w:tc>
      </w:tr>
      <w:tr w:rsidR="005C77B9" w:rsidRPr="00071B95" w14:paraId="420DCE04" w14:textId="77777777" w:rsidTr="00800ACF">
        <w:trPr>
          <w:cantSplit/>
          <w:tblHeader w:val="0"/>
        </w:trPr>
        <w:tc>
          <w:tcPr>
            <w:tcW w:w="1302" w:type="dxa"/>
          </w:tcPr>
          <w:p w14:paraId="420DCDFD" w14:textId="77777777" w:rsidR="005C77B9" w:rsidRPr="00296CB1" w:rsidRDefault="005C77B9" w:rsidP="001A7F25">
            <w:pPr>
              <w:pStyle w:val="TableTextEntries"/>
            </w:pPr>
            <w:r w:rsidRPr="00DD294C">
              <w:t>Regional Rights Resource Team</w:t>
            </w:r>
          </w:p>
        </w:tc>
        <w:tc>
          <w:tcPr>
            <w:tcW w:w="1100" w:type="dxa"/>
            <w:vAlign w:val="bottom"/>
          </w:tcPr>
          <w:p w14:paraId="420DCDFE" w14:textId="77777777" w:rsidR="005C77B9" w:rsidRPr="006C7CA6" w:rsidRDefault="005C77B9" w:rsidP="001A7F25">
            <w:pPr>
              <w:pStyle w:val="TableTextEntries"/>
              <w:rPr>
                <w:rFonts w:cs="Calibri"/>
              </w:rPr>
            </w:pPr>
            <w:r w:rsidRPr="006C7CA6">
              <w:rPr>
                <w:rFonts w:cs="Calibri"/>
              </w:rPr>
              <w:t>ING982</w:t>
            </w:r>
          </w:p>
        </w:tc>
        <w:tc>
          <w:tcPr>
            <w:tcW w:w="1290" w:type="dxa"/>
          </w:tcPr>
          <w:p w14:paraId="420DCDFF" w14:textId="77777777" w:rsidR="005C77B9" w:rsidRPr="00BC06DF" w:rsidRDefault="005C77B9" w:rsidP="001A7F25">
            <w:pPr>
              <w:pStyle w:val="TableTextEntries"/>
            </w:pPr>
            <w:r>
              <w:t>Independent completion report</w:t>
            </w:r>
          </w:p>
        </w:tc>
        <w:tc>
          <w:tcPr>
            <w:tcW w:w="1150" w:type="dxa"/>
          </w:tcPr>
          <w:p w14:paraId="420DCE00" w14:textId="77777777" w:rsidR="005C77B9" w:rsidRPr="00BC06DF" w:rsidRDefault="005C77B9" w:rsidP="001A7F25">
            <w:pPr>
              <w:pStyle w:val="TableTextEntries"/>
            </w:pPr>
            <w:r>
              <w:t>March 2012</w:t>
            </w:r>
          </w:p>
        </w:tc>
        <w:tc>
          <w:tcPr>
            <w:tcW w:w="1147" w:type="dxa"/>
          </w:tcPr>
          <w:p w14:paraId="420DCE01" w14:textId="77777777" w:rsidR="005C77B9" w:rsidRPr="00BC06DF" w:rsidRDefault="005C77B9" w:rsidP="001A7F25">
            <w:pPr>
              <w:pStyle w:val="TableTextEntries"/>
            </w:pPr>
            <w:r>
              <w:t>November 2012</w:t>
            </w:r>
          </w:p>
        </w:tc>
        <w:tc>
          <w:tcPr>
            <w:tcW w:w="1299" w:type="dxa"/>
          </w:tcPr>
          <w:p w14:paraId="420DCE02" w14:textId="77777777" w:rsidR="005C77B9" w:rsidRPr="00BC06DF" w:rsidRDefault="005C77B9" w:rsidP="001A7F25">
            <w:pPr>
              <w:pStyle w:val="TableTextEntries"/>
            </w:pPr>
            <w:r>
              <w:t>Not uploaded</w:t>
            </w:r>
          </w:p>
        </w:tc>
        <w:tc>
          <w:tcPr>
            <w:tcW w:w="1038" w:type="dxa"/>
          </w:tcPr>
          <w:p w14:paraId="420DCE03" w14:textId="77777777" w:rsidR="005C77B9" w:rsidRPr="00BC06DF" w:rsidRDefault="005C77B9" w:rsidP="001A7F25">
            <w:pPr>
              <w:pStyle w:val="TableTextEntries"/>
            </w:pPr>
            <w:r>
              <w:t>No</w:t>
            </w:r>
          </w:p>
        </w:tc>
      </w:tr>
      <w:tr w:rsidR="005C77B9" w:rsidRPr="00071B95" w14:paraId="420DCE0C" w14:textId="77777777" w:rsidTr="00800ACF">
        <w:trPr>
          <w:cnfStyle w:val="000000010000" w:firstRow="0" w:lastRow="0" w:firstColumn="0" w:lastColumn="0" w:oddVBand="0" w:evenVBand="0" w:oddHBand="0" w:evenHBand="1" w:firstRowFirstColumn="0" w:firstRowLastColumn="0" w:lastRowFirstColumn="0" w:lastRowLastColumn="0"/>
          <w:cantSplit/>
          <w:tblHeader w:val="0"/>
        </w:trPr>
        <w:tc>
          <w:tcPr>
            <w:tcW w:w="1302" w:type="dxa"/>
          </w:tcPr>
          <w:p w14:paraId="420DCE05" w14:textId="77777777" w:rsidR="005C77B9" w:rsidRPr="00296CB1" w:rsidRDefault="005C77B9" w:rsidP="001A7F25">
            <w:pPr>
              <w:pStyle w:val="TableTextEntries"/>
            </w:pPr>
            <w:r>
              <w:t>Secretariat of the Pacific Community</w:t>
            </w:r>
          </w:p>
        </w:tc>
        <w:tc>
          <w:tcPr>
            <w:tcW w:w="1100" w:type="dxa"/>
            <w:vAlign w:val="bottom"/>
          </w:tcPr>
          <w:p w14:paraId="420DCE06" w14:textId="77777777" w:rsidR="005C77B9" w:rsidRPr="006C7CA6" w:rsidRDefault="005C77B9" w:rsidP="001A7F25">
            <w:pPr>
              <w:pStyle w:val="TableTextEntries"/>
              <w:rPr>
                <w:rFonts w:cs="Calibri"/>
              </w:rPr>
            </w:pPr>
            <w:r w:rsidRPr="006C7CA6">
              <w:rPr>
                <w:rFonts w:cs="Calibri"/>
              </w:rPr>
              <w:t>INJ746 +</w:t>
            </w:r>
          </w:p>
        </w:tc>
        <w:tc>
          <w:tcPr>
            <w:tcW w:w="1290" w:type="dxa"/>
          </w:tcPr>
          <w:p w14:paraId="420DCE07" w14:textId="77777777" w:rsidR="005C77B9" w:rsidRPr="00BC06DF" w:rsidRDefault="005C77B9" w:rsidP="001A7F25">
            <w:pPr>
              <w:pStyle w:val="TableTextEntries"/>
            </w:pPr>
            <w:r>
              <w:t>Independent progress report</w:t>
            </w:r>
          </w:p>
        </w:tc>
        <w:tc>
          <w:tcPr>
            <w:tcW w:w="1150" w:type="dxa"/>
          </w:tcPr>
          <w:p w14:paraId="420DCE08" w14:textId="77777777" w:rsidR="005C77B9" w:rsidRPr="00BC06DF" w:rsidRDefault="005C77B9" w:rsidP="001A7F25">
            <w:pPr>
              <w:pStyle w:val="TableTextEntries"/>
            </w:pPr>
            <w:r>
              <w:t>June 2012</w:t>
            </w:r>
          </w:p>
        </w:tc>
        <w:tc>
          <w:tcPr>
            <w:tcW w:w="1147" w:type="dxa"/>
          </w:tcPr>
          <w:p w14:paraId="420DCE09" w14:textId="77777777" w:rsidR="005C77B9" w:rsidRPr="00BC06DF" w:rsidRDefault="005C77B9" w:rsidP="001A7F25">
            <w:pPr>
              <w:pStyle w:val="TableTextEntries"/>
            </w:pPr>
            <w:r>
              <w:t>July 2012</w:t>
            </w:r>
          </w:p>
        </w:tc>
        <w:tc>
          <w:tcPr>
            <w:tcW w:w="1299" w:type="dxa"/>
          </w:tcPr>
          <w:p w14:paraId="420DCE0A" w14:textId="77777777" w:rsidR="005C77B9" w:rsidRPr="00BC06DF" w:rsidRDefault="005C77B9" w:rsidP="001A7F25">
            <w:pPr>
              <w:pStyle w:val="TableTextEntries"/>
            </w:pPr>
            <w:r>
              <w:t>Not uploaded</w:t>
            </w:r>
          </w:p>
        </w:tc>
        <w:tc>
          <w:tcPr>
            <w:tcW w:w="1038" w:type="dxa"/>
          </w:tcPr>
          <w:p w14:paraId="420DCE0B" w14:textId="77777777" w:rsidR="005C77B9" w:rsidRPr="00BC06DF" w:rsidRDefault="005C77B9" w:rsidP="001A7F25">
            <w:pPr>
              <w:pStyle w:val="TableTextEntries"/>
            </w:pPr>
            <w:r>
              <w:t>No</w:t>
            </w:r>
          </w:p>
        </w:tc>
      </w:tr>
      <w:tr w:rsidR="005C77B9" w:rsidRPr="00071B95" w14:paraId="420DCE14" w14:textId="77777777" w:rsidTr="00800ACF">
        <w:trPr>
          <w:cantSplit/>
          <w:tblHeader w:val="0"/>
        </w:trPr>
        <w:tc>
          <w:tcPr>
            <w:tcW w:w="1302" w:type="dxa"/>
          </w:tcPr>
          <w:p w14:paraId="420DCE0D" w14:textId="77777777" w:rsidR="005C77B9" w:rsidRPr="00B0316C" w:rsidRDefault="005C77B9" w:rsidP="001A7F25">
            <w:pPr>
              <w:pStyle w:val="TableTextEntries"/>
            </w:pPr>
            <w:r w:rsidRPr="00B0316C">
              <w:t>Pacific Island Forum Secretariat</w:t>
            </w:r>
          </w:p>
        </w:tc>
        <w:tc>
          <w:tcPr>
            <w:tcW w:w="1100" w:type="dxa"/>
            <w:vAlign w:val="bottom"/>
          </w:tcPr>
          <w:p w14:paraId="420DCE0E" w14:textId="77777777" w:rsidR="005C77B9" w:rsidRPr="006C7CA6" w:rsidRDefault="005C77B9" w:rsidP="001A7F25">
            <w:pPr>
              <w:pStyle w:val="TableTextEntries"/>
              <w:rPr>
                <w:rFonts w:cs="Calibri"/>
              </w:rPr>
            </w:pPr>
            <w:r w:rsidRPr="006C7CA6">
              <w:rPr>
                <w:rFonts w:cs="Calibri"/>
              </w:rPr>
              <w:t>INK299 +</w:t>
            </w:r>
          </w:p>
        </w:tc>
        <w:tc>
          <w:tcPr>
            <w:tcW w:w="1290" w:type="dxa"/>
          </w:tcPr>
          <w:p w14:paraId="420DCE0F" w14:textId="77777777" w:rsidR="005C77B9" w:rsidRPr="00BC06DF" w:rsidRDefault="005C77B9" w:rsidP="001A7F25">
            <w:pPr>
              <w:pStyle w:val="TableTextEntries"/>
            </w:pPr>
            <w:r>
              <w:t>Independent progress report</w:t>
            </w:r>
          </w:p>
        </w:tc>
        <w:tc>
          <w:tcPr>
            <w:tcW w:w="1150" w:type="dxa"/>
          </w:tcPr>
          <w:p w14:paraId="420DCE10" w14:textId="77777777" w:rsidR="005C77B9" w:rsidRPr="00BC06DF" w:rsidRDefault="005C77B9" w:rsidP="001A7F25">
            <w:pPr>
              <w:pStyle w:val="TableTextEntries"/>
            </w:pPr>
            <w:r>
              <w:t>May 2012</w:t>
            </w:r>
          </w:p>
        </w:tc>
        <w:tc>
          <w:tcPr>
            <w:tcW w:w="1147" w:type="dxa"/>
          </w:tcPr>
          <w:p w14:paraId="420DCE11" w14:textId="77777777" w:rsidR="005C77B9" w:rsidRPr="00BC06DF" w:rsidRDefault="005C77B9" w:rsidP="001A7F25">
            <w:pPr>
              <w:pStyle w:val="TableTextEntries"/>
            </w:pPr>
            <w:r>
              <w:t>November 2012</w:t>
            </w:r>
          </w:p>
        </w:tc>
        <w:tc>
          <w:tcPr>
            <w:tcW w:w="1299" w:type="dxa"/>
          </w:tcPr>
          <w:p w14:paraId="420DCE12" w14:textId="77777777" w:rsidR="005C77B9" w:rsidRPr="00BC06DF" w:rsidRDefault="005C77B9" w:rsidP="001A7F25">
            <w:pPr>
              <w:pStyle w:val="TableTextEntries"/>
            </w:pPr>
            <w:r>
              <w:t>Not uploaded</w:t>
            </w:r>
          </w:p>
        </w:tc>
        <w:tc>
          <w:tcPr>
            <w:tcW w:w="1038" w:type="dxa"/>
          </w:tcPr>
          <w:p w14:paraId="420DCE13" w14:textId="77777777" w:rsidR="005C77B9" w:rsidRPr="00BC06DF" w:rsidRDefault="005C77B9" w:rsidP="001A7F25">
            <w:pPr>
              <w:pStyle w:val="TableTextEntries"/>
            </w:pPr>
            <w:r>
              <w:t>No</w:t>
            </w:r>
          </w:p>
        </w:tc>
      </w:tr>
      <w:tr w:rsidR="005C77B9" w:rsidRPr="00071B95" w14:paraId="420DCE1C" w14:textId="77777777" w:rsidTr="00800ACF">
        <w:trPr>
          <w:cnfStyle w:val="000000010000" w:firstRow="0" w:lastRow="0" w:firstColumn="0" w:lastColumn="0" w:oddVBand="0" w:evenVBand="0" w:oddHBand="0" w:evenHBand="1" w:firstRowFirstColumn="0" w:firstRowLastColumn="0" w:lastRowFirstColumn="0" w:lastRowLastColumn="0"/>
          <w:cantSplit/>
          <w:tblHeader w:val="0"/>
        </w:trPr>
        <w:tc>
          <w:tcPr>
            <w:tcW w:w="1302" w:type="dxa"/>
          </w:tcPr>
          <w:p w14:paraId="420DCE15" w14:textId="77777777" w:rsidR="005C77B9" w:rsidRPr="00B0316C" w:rsidRDefault="005C77B9" w:rsidP="001A7F25">
            <w:pPr>
              <w:pStyle w:val="TableTextEntries"/>
            </w:pPr>
            <w:r w:rsidRPr="00B0316C">
              <w:t>University of the South Pacific Partnership</w:t>
            </w:r>
          </w:p>
        </w:tc>
        <w:tc>
          <w:tcPr>
            <w:tcW w:w="1100" w:type="dxa"/>
            <w:vAlign w:val="bottom"/>
          </w:tcPr>
          <w:p w14:paraId="420DCE16" w14:textId="77777777" w:rsidR="005C77B9" w:rsidRPr="006C7CA6" w:rsidRDefault="005C77B9" w:rsidP="001A7F25">
            <w:pPr>
              <w:pStyle w:val="TableTextEntries"/>
              <w:rPr>
                <w:rFonts w:cs="Calibri"/>
              </w:rPr>
            </w:pPr>
            <w:r w:rsidRPr="006C7CA6">
              <w:rPr>
                <w:rFonts w:cs="Calibri"/>
              </w:rPr>
              <w:t>INJ054</w:t>
            </w:r>
          </w:p>
        </w:tc>
        <w:tc>
          <w:tcPr>
            <w:tcW w:w="1290" w:type="dxa"/>
          </w:tcPr>
          <w:p w14:paraId="420DCE17" w14:textId="77777777" w:rsidR="005C77B9" w:rsidRPr="00BC06DF" w:rsidRDefault="005C77B9" w:rsidP="001A7F25">
            <w:pPr>
              <w:pStyle w:val="TableTextEntries"/>
            </w:pPr>
            <w:r>
              <w:t>Independent progress report</w:t>
            </w:r>
          </w:p>
        </w:tc>
        <w:tc>
          <w:tcPr>
            <w:tcW w:w="1150" w:type="dxa"/>
          </w:tcPr>
          <w:p w14:paraId="420DCE18" w14:textId="77777777" w:rsidR="005C77B9" w:rsidRPr="00BC06DF" w:rsidRDefault="005C77B9" w:rsidP="001A7F25">
            <w:pPr>
              <w:pStyle w:val="TableTextEntries"/>
            </w:pPr>
            <w:r>
              <w:t>December 2012</w:t>
            </w:r>
          </w:p>
        </w:tc>
        <w:tc>
          <w:tcPr>
            <w:tcW w:w="1147" w:type="dxa"/>
          </w:tcPr>
          <w:p w14:paraId="420DCE19" w14:textId="77777777" w:rsidR="005C77B9" w:rsidRPr="00BC06DF" w:rsidRDefault="005C77B9" w:rsidP="001A7F25">
            <w:pPr>
              <w:pStyle w:val="TableTextEntries"/>
            </w:pPr>
          </w:p>
        </w:tc>
        <w:tc>
          <w:tcPr>
            <w:tcW w:w="1299" w:type="dxa"/>
          </w:tcPr>
          <w:p w14:paraId="420DCE1A" w14:textId="77777777" w:rsidR="005C77B9" w:rsidRPr="00BC06DF" w:rsidRDefault="005C77B9" w:rsidP="001A7F25">
            <w:pPr>
              <w:pStyle w:val="TableTextEntries"/>
            </w:pPr>
          </w:p>
        </w:tc>
        <w:tc>
          <w:tcPr>
            <w:tcW w:w="1038" w:type="dxa"/>
          </w:tcPr>
          <w:p w14:paraId="420DCE1B" w14:textId="77777777" w:rsidR="005C77B9" w:rsidRPr="00BC06DF" w:rsidRDefault="005C77B9" w:rsidP="001A7F25">
            <w:pPr>
              <w:pStyle w:val="TableTextEntries"/>
            </w:pPr>
          </w:p>
        </w:tc>
      </w:tr>
      <w:tr w:rsidR="005C77B9" w:rsidRPr="00071B95" w14:paraId="420DCE24" w14:textId="77777777" w:rsidTr="00800ACF">
        <w:trPr>
          <w:cantSplit/>
          <w:tblHeader w:val="0"/>
        </w:trPr>
        <w:tc>
          <w:tcPr>
            <w:tcW w:w="1302" w:type="dxa"/>
          </w:tcPr>
          <w:p w14:paraId="420DCE1D" w14:textId="77777777" w:rsidR="005C77B9" w:rsidRPr="00B0316C" w:rsidRDefault="005C77B9" w:rsidP="001A7F25">
            <w:pPr>
              <w:pStyle w:val="TableTextEntries"/>
            </w:pPr>
            <w:r w:rsidRPr="00B0316C">
              <w:t xml:space="preserve">UNICEF </w:t>
            </w:r>
            <w:r w:rsidR="00D12BCD">
              <w:t>m</w:t>
            </w:r>
            <w:r w:rsidRPr="00B0316C">
              <w:t>ulti-country program</w:t>
            </w:r>
          </w:p>
        </w:tc>
        <w:tc>
          <w:tcPr>
            <w:tcW w:w="1100" w:type="dxa"/>
            <w:vAlign w:val="bottom"/>
          </w:tcPr>
          <w:p w14:paraId="420DCE1E" w14:textId="77777777" w:rsidR="005C77B9" w:rsidRPr="006C7CA6" w:rsidRDefault="005C77B9" w:rsidP="001A7F25">
            <w:pPr>
              <w:pStyle w:val="TableTextEntries"/>
              <w:rPr>
                <w:rFonts w:cs="Calibri"/>
              </w:rPr>
            </w:pPr>
            <w:r w:rsidRPr="006C7CA6">
              <w:rPr>
                <w:rFonts w:cs="Calibri"/>
              </w:rPr>
              <w:t>INJ760</w:t>
            </w:r>
          </w:p>
        </w:tc>
        <w:tc>
          <w:tcPr>
            <w:tcW w:w="1290" w:type="dxa"/>
          </w:tcPr>
          <w:p w14:paraId="420DCE1F" w14:textId="77777777" w:rsidR="005C77B9" w:rsidRPr="00BC06DF" w:rsidRDefault="005C77B9" w:rsidP="001A7F25">
            <w:pPr>
              <w:pStyle w:val="TableTextEntries"/>
            </w:pPr>
            <w:r>
              <w:t>Independent completion report</w:t>
            </w:r>
          </w:p>
        </w:tc>
        <w:tc>
          <w:tcPr>
            <w:tcW w:w="1150" w:type="dxa"/>
          </w:tcPr>
          <w:p w14:paraId="420DCE20" w14:textId="77777777" w:rsidR="005C77B9" w:rsidRPr="00BC06DF" w:rsidRDefault="005C77B9" w:rsidP="001A7F25">
            <w:pPr>
              <w:pStyle w:val="TableTextEntries"/>
            </w:pPr>
            <w:r>
              <w:t>December 2012</w:t>
            </w:r>
          </w:p>
        </w:tc>
        <w:tc>
          <w:tcPr>
            <w:tcW w:w="1147" w:type="dxa"/>
          </w:tcPr>
          <w:p w14:paraId="420DCE21" w14:textId="77777777" w:rsidR="005C77B9" w:rsidRPr="00BC06DF" w:rsidRDefault="005C77B9" w:rsidP="001A7F25">
            <w:pPr>
              <w:pStyle w:val="TableTextEntries"/>
            </w:pPr>
          </w:p>
        </w:tc>
        <w:tc>
          <w:tcPr>
            <w:tcW w:w="1299" w:type="dxa"/>
          </w:tcPr>
          <w:p w14:paraId="420DCE22" w14:textId="77777777" w:rsidR="005C77B9" w:rsidRPr="00BC06DF" w:rsidRDefault="005C77B9" w:rsidP="001A7F25">
            <w:pPr>
              <w:pStyle w:val="TableTextEntries"/>
            </w:pPr>
          </w:p>
        </w:tc>
        <w:tc>
          <w:tcPr>
            <w:tcW w:w="1038" w:type="dxa"/>
          </w:tcPr>
          <w:p w14:paraId="420DCE23" w14:textId="77777777" w:rsidR="005C77B9" w:rsidRPr="00BC06DF" w:rsidRDefault="005C77B9" w:rsidP="001A7F25">
            <w:pPr>
              <w:pStyle w:val="TableTextEntries"/>
            </w:pPr>
          </w:p>
        </w:tc>
      </w:tr>
      <w:tr w:rsidR="005C77B9" w:rsidRPr="00071B95" w14:paraId="420DCE2C" w14:textId="77777777" w:rsidTr="00800ACF">
        <w:trPr>
          <w:cnfStyle w:val="000000010000" w:firstRow="0" w:lastRow="0" w:firstColumn="0" w:lastColumn="0" w:oddVBand="0" w:evenVBand="0" w:oddHBand="0" w:evenHBand="1" w:firstRowFirstColumn="0" w:firstRowLastColumn="0" w:lastRowFirstColumn="0" w:lastRowLastColumn="0"/>
          <w:cantSplit/>
          <w:tblHeader w:val="0"/>
        </w:trPr>
        <w:tc>
          <w:tcPr>
            <w:tcW w:w="1302" w:type="dxa"/>
          </w:tcPr>
          <w:p w14:paraId="420DCE25" w14:textId="77777777" w:rsidR="005C77B9" w:rsidRPr="00B0316C" w:rsidRDefault="005C77B9" w:rsidP="001A7F25">
            <w:pPr>
              <w:pStyle w:val="TableTextEntries"/>
            </w:pPr>
            <w:r w:rsidRPr="00B0316C">
              <w:t>Pacific Regional Agricultural Market Access</w:t>
            </w:r>
          </w:p>
        </w:tc>
        <w:tc>
          <w:tcPr>
            <w:tcW w:w="1100" w:type="dxa"/>
            <w:vAlign w:val="bottom"/>
          </w:tcPr>
          <w:p w14:paraId="420DCE26" w14:textId="77777777" w:rsidR="005C77B9" w:rsidRPr="006C7CA6" w:rsidRDefault="005C77B9" w:rsidP="001A7F25">
            <w:pPr>
              <w:pStyle w:val="TableTextEntries"/>
              <w:rPr>
                <w:rFonts w:cs="Calibri"/>
              </w:rPr>
            </w:pPr>
            <w:r w:rsidRPr="006C7CA6">
              <w:rPr>
                <w:rFonts w:cs="Calibri"/>
              </w:rPr>
              <w:t>INI851</w:t>
            </w:r>
          </w:p>
        </w:tc>
        <w:tc>
          <w:tcPr>
            <w:tcW w:w="1290" w:type="dxa"/>
          </w:tcPr>
          <w:p w14:paraId="420DCE27" w14:textId="77777777" w:rsidR="005C77B9" w:rsidRPr="00BC06DF" w:rsidRDefault="005C77B9" w:rsidP="001A7F25">
            <w:pPr>
              <w:pStyle w:val="TableTextEntries"/>
            </w:pPr>
            <w:r>
              <w:t>Independent completion report</w:t>
            </w:r>
          </w:p>
        </w:tc>
        <w:tc>
          <w:tcPr>
            <w:tcW w:w="1150" w:type="dxa"/>
          </w:tcPr>
          <w:p w14:paraId="420DCE28" w14:textId="77777777" w:rsidR="005C77B9" w:rsidRPr="00BC06DF" w:rsidRDefault="005C77B9" w:rsidP="001A7F25">
            <w:pPr>
              <w:pStyle w:val="TableTextEntries"/>
            </w:pPr>
            <w:r>
              <w:t>March 2013</w:t>
            </w:r>
            <w:r w:rsidR="002B40C6">
              <w:t xml:space="preserve"> (Aide memoire)</w:t>
            </w:r>
          </w:p>
        </w:tc>
        <w:tc>
          <w:tcPr>
            <w:tcW w:w="1147" w:type="dxa"/>
          </w:tcPr>
          <w:p w14:paraId="420DCE29" w14:textId="77777777" w:rsidR="005C77B9" w:rsidRPr="00BC06DF" w:rsidRDefault="005C77B9" w:rsidP="001A7F25">
            <w:pPr>
              <w:pStyle w:val="TableTextEntries"/>
            </w:pPr>
          </w:p>
        </w:tc>
        <w:tc>
          <w:tcPr>
            <w:tcW w:w="1299" w:type="dxa"/>
          </w:tcPr>
          <w:p w14:paraId="420DCE2A" w14:textId="77777777" w:rsidR="005C77B9" w:rsidRPr="00BC06DF" w:rsidRDefault="005C77B9" w:rsidP="001A7F25">
            <w:pPr>
              <w:pStyle w:val="TableTextEntries"/>
            </w:pPr>
          </w:p>
        </w:tc>
        <w:tc>
          <w:tcPr>
            <w:tcW w:w="1038" w:type="dxa"/>
          </w:tcPr>
          <w:p w14:paraId="420DCE2B" w14:textId="77777777" w:rsidR="005C77B9" w:rsidRPr="00BC06DF" w:rsidRDefault="005C77B9" w:rsidP="001A7F25">
            <w:pPr>
              <w:pStyle w:val="TableTextEntries"/>
            </w:pPr>
            <w:r>
              <w:t>No</w:t>
            </w:r>
          </w:p>
        </w:tc>
      </w:tr>
      <w:tr w:rsidR="005C77B9" w:rsidRPr="00071B95" w14:paraId="420DCE34" w14:textId="77777777" w:rsidTr="00800ACF">
        <w:trPr>
          <w:cantSplit/>
          <w:tblHeader w:val="0"/>
        </w:trPr>
        <w:tc>
          <w:tcPr>
            <w:tcW w:w="1302" w:type="dxa"/>
          </w:tcPr>
          <w:p w14:paraId="420DCE2D" w14:textId="77777777" w:rsidR="005C77B9" w:rsidRPr="00B0316C" w:rsidRDefault="005C77B9" w:rsidP="001A7F25">
            <w:pPr>
              <w:pStyle w:val="TableTextEntries"/>
            </w:pPr>
            <w:r w:rsidRPr="00B0316C">
              <w:t xml:space="preserve">Labour </w:t>
            </w:r>
            <w:r w:rsidR="00D12BCD">
              <w:t>m</w:t>
            </w:r>
            <w:r w:rsidRPr="00B0316C">
              <w:t>obility</w:t>
            </w:r>
            <w:r w:rsidR="002B40C6">
              <w:t>—</w:t>
            </w:r>
            <w:r w:rsidRPr="00B0316C">
              <w:t xml:space="preserve"> seasonal worker pilot scheme</w:t>
            </w:r>
          </w:p>
        </w:tc>
        <w:tc>
          <w:tcPr>
            <w:tcW w:w="1100" w:type="dxa"/>
            <w:vAlign w:val="bottom"/>
          </w:tcPr>
          <w:p w14:paraId="420DCE2E" w14:textId="77777777" w:rsidR="005C77B9" w:rsidRPr="006C7CA6" w:rsidRDefault="005C77B9" w:rsidP="001A7F25">
            <w:pPr>
              <w:pStyle w:val="TableTextEntries"/>
              <w:rPr>
                <w:rFonts w:cs="Calibri"/>
              </w:rPr>
            </w:pPr>
            <w:r w:rsidRPr="006C7CA6">
              <w:rPr>
                <w:rFonts w:cs="Calibri"/>
              </w:rPr>
              <w:t>INI174</w:t>
            </w:r>
          </w:p>
        </w:tc>
        <w:tc>
          <w:tcPr>
            <w:tcW w:w="1290" w:type="dxa"/>
          </w:tcPr>
          <w:p w14:paraId="420DCE2F" w14:textId="77777777" w:rsidR="005C77B9" w:rsidRPr="00BC06DF" w:rsidRDefault="005C77B9" w:rsidP="001A7F25">
            <w:pPr>
              <w:pStyle w:val="TableTextEntries"/>
            </w:pPr>
            <w:r>
              <w:t>Mid-term review</w:t>
            </w:r>
          </w:p>
        </w:tc>
        <w:tc>
          <w:tcPr>
            <w:tcW w:w="1150" w:type="dxa"/>
          </w:tcPr>
          <w:p w14:paraId="420DCE30" w14:textId="77777777" w:rsidR="005C77B9" w:rsidRPr="00BC06DF" w:rsidRDefault="005C77B9" w:rsidP="001A7F25">
            <w:pPr>
              <w:pStyle w:val="TableTextEntries"/>
            </w:pPr>
            <w:r>
              <w:t>January 2013</w:t>
            </w:r>
          </w:p>
        </w:tc>
        <w:tc>
          <w:tcPr>
            <w:tcW w:w="1147" w:type="dxa"/>
          </w:tcPr>
          <w:p w14:paraId="420DCE31" w14:textId="77777777" w:rsidR="005C77B9" w:rsidRPr="00BC06DF" w:rsidRDefault="005C77B9" w:rsidP="001A7F25">
            <w:pPr>
              <w:pStyle w:val="TableTextEntries"/>
            </w:pPr>
            <w:r>
              <w:t>Not uploaded</w:t>
            </w:r>
          </w:p>
        </w:tc>
        <w:tc>
          <w:tcPr>
            <w:tcW w:w="1299" w:type="dxa"/>
          </w:tcPr>
          <w:p w14:paraId="420DCE32" w14:textId="77777777" w:rsidR="005C77B9" w:rsidRPr="00BC06DF" w:rsidRDefault="005C77B9" w:rsidP="001A7F25">
            <w:pPr>
              <w:pStyle w:val="TableTextEntries"/>
            </w:pPr>
            <w:r>
              <w:t>Not uploaded</w:t>
            </w:r>
          </w:p>
        </w:tc>
        <w:tc>
          <w:tcPr>
            <w:tcW w:w="1038" w:type="dxa"/>
          </w:tcPr>
          <w:p w14:paraId="420DCE33" w14:textId="77777777" w:rsidR="005C77B9" w:rsidRPr="00BC06DF" w:rsidRDefault="005C77B9" w:rsidP="001A7F25">
            <w:pPr>
              <w:pStyle w:val="TableTextEntries"/>
            </w:pPr>
            <w:r>
              <w:t>No</w:t>
            </w:r>
          </w:p>
        </w:tc>
      </w:tr>
      <w:tr w:rsidR="005C77B9" w:rsidRPr="00071B95" w14:paraId="420DCE3C" w14:textId="77777777" w:rsidTr="00800ACF">
        <w:trPr>
          <w:cnfStyle w:val="000000010000" w:firstRow="0" w:lastRow="0" w:firstColumn="0" w:lastColumn="0" w:oddVBand="0" w:evenVBand="0" w:oddHBand="0" w:evenHBand="1" w:firstRowFirstColumn="0" w:firstRowLastColumn="0" w:lastRowFirstColumn="0" w:lastRowLastColumn="0"/>
          <w:cantSplit/>
          <w:tblHeader w:val="0"/>
        </w:trPr>
        <w:tc>
          <w:tcPr>
            <w:tcW w:w="1302" w:type="dxa"/>
          </w:tcPr>
          <w:p w14:paraId="420DCE35" w14:textId="77777777" w:rsidR="005C77B9" w:rsidRPr="00B0316C" w:rsidRDefault="005C77B9" w:rsidP="001A7F25">
            <w:pPr>
              <w:pStyle w:val="TableTextEntries"/>
            </w:pPr>
            <w:r w:rsidRPr="00B0316C">
              <w:t>Private Sector Development Initiative Phase 2</w:t>
            </w:r>
          </w:p>
        </w:tc>
        <w:tc>
          <w:tcPr>
            <w:tcW w:w="1100" w:type="dxa"/>
            <w:vAlign w:val="bottom"/>
          </w:tcPr>
          <w:p w14:paraId="420DCE36" w14:textId="77777777" w:rsidR="005C77B9" w:rsidRPr="006C7CA6" w:rsidRDefault="005C77B9" w:rsidP="001A7F25">
            <w:pPr>
              <w:pStyle w:val="TableTextEntries"/>
              <w:rPr>
                <w:rFonts w:cs="Calibri"/>
              </w:rPr>
            </w:pPr>
            <w:r w:rsidRPr="006C7CA6">
              <w:rPr>
                <w:rFonts w:cs="Calibri"/>
              </w:rPr>
              <w:t>INJ147</w:t>
            </w:r>
          </w:p>
        </w:tc>
        <w:tc>
          <w:tcPr>
            <w:tcW w:w="1290" w:type="dxa"/>
          </w:tcPr>
          <w:p w14:paraId="420DCE37" w14:textId="77777777" w:rsidR="005C77B9" w:rsidRPr="00BC06DF" w:rsidRDefault="005C77B9" w:rsidP="001A7F25">
            <w:pPr>
              <w:pStyle w:val="TableTextEntries"/>
            </w:pPr>
            <w:r>
              <w:t>Independent completion report</w:t>
            </w:r>
          </w:p>
        </w:tc>
        <w:tc>
          <w:tcPr>
            <w:tcW w:w="1150" w:type="dxa"/>
          </w:tcPr>
          <w:p w14:paraId="420DCE38" w14:textId="77777777" w:rsidR="005C77B9" w:rsidRPr="00BC06DF" w:rsidRDefault="005C77B9" w:rsidP="001A7F25">
            <w:pPr>
              <w:pStyle w:val="TableTextEntries"/>
            </w:pPr>
            <w:r>
              <w:t>March 2013</w:t>
            </w:r>
          </w:p>
        </w:tc>
        <w:tc>
          <w:tcPr>
            <w:tcW w:w="1147" w:type="dxa"/>
          </w:tcPr>
          <w:p w14:paraId="420DCE39" w14:textId="77777777" w:rsidR="005C77B9" w:rsidRPr="00BC06DF" w:rsidRDefault="005C77B9" w:rsidP="001A7F25">
            <w:pPr>
              <w:pStyle w:val="TableTextEntries"/>
            </w:pPr>
            <w:r>
              <w:t>March 2013</w:t>
            </w:r>
          </w:p>
        </w:tc>
        <w:tc>
          <w:tcPr>
            <w:tcW w:w="1299" w:type="dxa"/>
          </w:tcPr>
          <w:p w14:paraId="420DCE3A" w14:textId="77777777" w:rsidR="005C77B9" w:rsidRPr="00BC06DF" w:rsidRDefault="005C77B9" w:rsidP="001A7F25">
            <w:pPr>
              <w:pStyle w:val="TableTextEntries"/>
            </w:pPr>
            <w:r>
              <w:t>Not uploaded</w:t>
            </w:r>
          </w:p>
        </w:tc>
        <w:tc>
          <w:tcPr>
            <w:tcW w:w="1038" w:type="dxa"/>
          </w:tcPr>
          <w:p w14:paraId="420DCE3B" w14:textId="77777777" w:rsidR="005C77B9" w:rsidRPr="00BC06DF" w:rsidRDefault="005C77B9" w:rsidP="001A7F25">
            <w:pPr>
              <w:pStyle w:val="TableTextEntries"/>
            </w:pPr>
            <w:r>
              <w:t>No</w:t>
            </w:r>
          </w:p>
        </w:tc>
      </w:tr>
      <w:tr w:rsidR="005C77B9" w:rsidRPr="00071B95" w14:paraId="420DCE44" w14:textId="77777777" w:rsidTr="00800ACF">
        <w:trPr>
          <w:cantSplit/>
          <w:tblHeader w:val="0"/>
        </w:trPr>
        <w:tc>
          <w:tcPr>
            <w:tcW w:w="1302" w:type="dxa"/>
          </w:tcPr>
          <w:p w14:paraId="420DCE3D" w14:textId="77777777" w:rsidR="005C77B9" w:rsidRPr="00B0316C" w:rsidRDefault="005C77B9" w:rsidP="001A7F25">
            <w:pPr>
              <w:pStyle w:val="TableTextEntries"/>
            </w:pPr>
            <w:r w:rsidRPr="00B0316C">
              <w:t>Pacific Regional Audit Initiative</w:t>
            </w:r>
          </w:p>
        </w:tc>
        <w:tc>
          <w:tcPr>
            <w:tcW w:w="1100" w:type="dxa"/>
            <w:vAlign w:val="bottom"/>
          </w:tcPr>
          <w:p w14:paraId="420DCE3E" w14:textId="77777777" w:rsidR="005C77B9" w:rsidRPr="006C7CA6" w:rsidRDefault="005C77B9" w:rsidP="001A7F25">
            <w:pPr>
              <w:pStyle w:val="TableTextEntries"/>
              <w:rPr>
                <w:rFonts w:cs="Calibri"/>
              </w:rPr>
            </w:pPr>
            <w:r w:rsidRPr="006C7CA6">
              <w:rPr>
                <w:rFonts w:cs="Calibri"/>
              </w:rPr>
              <w:t>INI329</w:t>
            </w:r>
          </w:p>
        </w:tc>
        <w:tc>
          <w:tcPr>
            <w:tcW w:w="1290" w:type="dxa"/>
          </w:tcPr>
          <w:p w14:paraId="420DCE3F" w14:textId="77777777" w:rsidR="005C77B9" w:rsidRPr="00BC06DF" w:rsidRDefault="005C77B9" w:rsidP="001A7F25">
            <w:pPr>
              <w:pStyle w:val="TableTextEntries"/>
            </w:pPr>
            <w:r>
              <w:t>Mid-term review</w:t>
            </w:r>
          </w:p>
        </w:tc>
        <w:tc>
          <w:tcPr>
            <w:tcW w:w="1150" w:type="dxa"/>
          </w:tcPr>
          <w:p w14:paraId="420DCE40" w14:textId="77777777" w:rsidR="005C77B9" w:rsidRPr="00BC06DF" w:rsidRDefault="005C77B9" w:rsidP="001A7F25">
            <w:pPr>
              <w:pStyle w:val="TableTextEntries"/>
            </w:pPr>
            <w:r>
              <w:t>January 2013</w:t>
            </w:r>
          </w:p>
        </w:tc>
        <w:tc>
          <w:tcPr>
            <w:tcW w:w="1147" w:type="dxa"/>
          </w:tcPr>
          <w:p w14:paraId="420DCE41" w14:textId="77777777" w:rsidR="005C77B9" w:rsidRPr="00BC06DF" w:rsidRDefault="005C77B9" w:rsidP="001A7F25">
            <w:pPr>
              <w:pStyle w:val="TableTextEntries"/>
            </w:pPr>
            <w:r>
              <w:t>Not uploaded</w:t>
            </w:r>
          </w:p>
        </w:tc>
        <w:tc>
          <w:tcPr>
            <w:tcW w:w="1299" w:type="dxa"/>
          </w:tcPr>
          <w:p w14:paraId="420DCE42" w14:textId="77777777" w:rsidR="005C77B9" w:rsidRPr="00BC06DF" w:rsidRDefault="005C77B9" w:rsidP="001A7F25">
            <w:pPr>
              <w:pStyle w:val="TableTextEntries"/>
            </w:pPr>
            <w:r>
              <w:t>Not uploaded</w:t>
            </w:r>
          </w:p>
        </w:tc>
        <w:tc>
          <w:tcPr>
            <w:tcW w:w="1038" w:type="dxa"/>
          </w:tcPr>
          <w:p w14:paraId="420DCE43" w14:textId="77777777" w:rsidR="005C77B9" w:rsidRPr="00BC06DF" w:rsidRDefault="005C77B9" w:rsidP="001A7F25">
            <w:pPr>
              <w:pStyle w:val="TableTextEntries"/>
            </w:pPr>
            <w:r>
              <w:t>No</w:t>
            </w:r>
          </w:p>
        </w:tc>
      </w:tr>
      <w:tr w:rsidR="005C77B9" w:rsidRPr="00071B95" w14:paraId="420DCE4C" w14:textId="77777777" w:rsidTr="00800ACF">
        <w:trPr>
          <w:cnfStyle w:val="000000010000" w:firstRow="0" w:lastRow="0" w:firstColumn="0" w:lastColumn="0" w:oddVBand="0" w:evenVBand="0" w:oddHBand="0" w:evenHBand="1" w:firstRowFirstColumn="0" w:firstRowLastColumn="0" w:lastRowFirstColumn="0" w:lastRowLastColumn="0"/>
          <w:cantSplit/>
          <w:tblHeader w:val="0"/>
        </w:trPr>
        <w:tc>
          <w:tcPr>
            <w:tcW w:w="1302" w:type="dxa"/>
          </w:tcPr>
          <w:p w14:paraId="420DCE45" w14:textId="77777777" w:rsidR="005C77B9" w:rsidRPr="00A560E8" w:rsidRDefault="005C77B9" w:rsidP="001A7F25">
            <w:pPr>
              <w:pStyle w:val="TableTextEntries"/>
            </w:pPr>
            <w:r w:rsidRPr="00A560E8">
              <w:rPr>
                <w:rFonts w:cstheme="minorHAnsi"/>
              </w:rPr>
              <w:lastRenderedPageBreak/>
              <w:t>Pacific Ombudsman Alliance</w:t>
            </w:r>
          </w:p>
        </w:tc>
        <w:tc>
          <w:tcPr>
            <w:tcW w:w="1100" w:type="dxa"/>
            <w:vAlign w:val="bottom"/>
          </w:tcPr>
          <w:p w14:paraId="420DCE46" w14:textId="77777777" w:rsidR="005C77B9" w:rsidRPr="00A560E8" w:rsidRDefault="005C77B9" w:rsidP="001A7F25">
            <w:pPr>
              <w:pStyle w:val="TableTextEntries"/>
              <w:rPr>
                <w:rFonts w:cs="Calibri"/>
              </w:rPr>
            </w:pPr>
            <w:r w:rsidRPr="00A560E8">
              <w:rPr>
                <w:rFonts w:cstheme="minorHAnsi"/>
              </w:rPr>
              <w:t>INI885</w:t>
            </w:r>
          </w:p>
        </w:tc>
        <w:tc>
          <w:tcPr>
            <w:tcW w:w="1290" w:type="dxa"/>
          </w:tcPr>
          <w:p w14:paraId="420DCE47" w14:textId="77777777" w:rsidR="005C77B9" w:rsidRDefault="005C77B9" w:rsidP="001A7F25">
            <w:pPr>
              <w:pStyle w:val="TableTextEntries"/>
            </w:pPr>
            <w:r>
              <w:t>Independent completion report</w:t>
            </w:r>
          </w:p>
        </w:tc>
        <w:tc>
          <w:tcPr>
            <w:tcW w:w="1150" w:type="dxa"/>
          </w:tcPr>
          <w:p w14:paraId="420DCE48" w14:textId="77777777" w:rsidR="005C77B9" w:rsidRPr="00B0316C" w:rsidRDefault="005C77B9" w:rsidP="001A7F25">
            <w:pPr>
              <w:pStyle w:val="TableTextEntries"/>
              <w:rPr>
                <w:highlight w:val="yellow"/>
              </w:rPr>
            </w:pPr>
            <w:r>
              <w:t>April</w:t>
            </w:r>
            <w:r w:rsidRPr="00A560E8">
              <w:t xml:space="preserve"> 2013</w:t>
            </w:r>
          </w:p>
        </w:tc>
        <w:tc>
          <w:tcPr>
            <w:tcW w:w="1147" w:type="dxa"/>
          </w:tcPr>
          <w:p w14:paraId="420DCE49" w14:textId="77777777" w:rsidR="005C77B9" w:rsidRDefault="005C77B9" w:rsidP="001A7F25">
            <w:pPr>
              <w:pStyle w:val="TableTextEntries"/>
            </w:pPr>
            <w:r>
              <w:t>Not uploaded</w:t>
            </w:r>
          </w:p>
        </w:tc>
        <w:tc>
          <w:tcPr>
            <w:tcW w:w="1299" w:type="dxa"/>
          </w:tcPr>
          <w:p w14:paraId="420DCE4A" w14:textId="77777777" w:rsidR="005C77B9" w:rsidRDefault="005C77B9" w:rsidP="001A7F25">
            <w:pPr>
              <w:pStyle w:val="TableTextEntries"/>
            </w:pPr>
            <w:r>
              <w:t>Not completed</w:t>
            </w:r>
          </w:p>
        </w:tc>
        <w:tc>
          <w:tcPr>
            <w:tcW w:w="1038" w:type="dxa"/>
          </w:tcPr>
          <w:p w14:paraId="420DCE4B" w14:textId="77777777" w:rsidR="005C77B9" w:rsidRDefault="005C77B9" w:rsidP="001A7F25">
            <w:pPr>
              <w:pStyle w:val="TableTextEntries"/>
            </w:pPr>
            <w:r>
              <w:t>No</w:t>
            </w:r>
          </w:p>
        </w:tc>
      </w:tr>
    </w:tbl>
    <w:p w14:paraId="420DCE4D" w14:textId="77777777" w:rsidR="005C77B9" w:rsidRPr="00071B95" w:rsidRDefault="005C77B9" w:rsidP="005C77B9">
      <w:pPr>
        <w:rPr>
          <w:b/>
        </w:rPr>
      </w:pPr>
    </w:p>
    <w:p w14:paraId="420DCE4E" w14:textId="77777777" w:rsidR="005C77B9" w:rsidRPr="00071B95" w:rsidRDefault="005C77B9" w:rsidP="005C77B9">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1827"/>
        <w:gridCol w:w="1579"/>
        <w:gridCol w:w="1738"/>
        <w:gridCol w:w="1764"/>
        <w:gridCol w:w="1698"/>
      </w:tblGrid>
      <w:tr w:rsidR="005C77B9" w:rsidRPr="009C0A9F" w14:paraId="420DCE54" w14:textId="77777777" w:rsidTr="001A7F25">
        <w:trPr>
          <w:cantSplit/>
          <w:tblHeader w:val="0"/>
        </w:trPr>
        <w:tc>
          <w:tcPr>
            <w:tcW w:w="2601" w:type="dxa"/>
          </w:tcPr>
          <w:p w14:paraId="420DCE4F" w14:textId="77777777" w:rsidR="005C77B9" w:rsidRPr="00071B95" w:rsidRDefault="005C77B9" w:rsidP="001A7F25">
            <w:pPr>
              <w:pStyle w:val="TableTextColumnHeading"/>
            </w:pPr>
            <w:r w:rsidRPr="00071B95">
              <w:t xml:space="preserve">Name of </w:t>
            </w:r>
            <w:r w:rsidR="00D12BCD">
              <w:t>i</w:t>
            </w:r>
            <w:r w:rsidRPr="00071B95">
              <w:t>nitiative</w:t>
            </w:r>
          </w:p>
        </w:tc>
        <w:tc>
          <w:tcPr>
            <w:tcW w:w="2530" w:type="dxa"/>
          </w:tcPr>
          <w:p w14:paraId="420DCE50" w14:textId="77777777" w:rsidR="005C77B9" w:rsidRPr="00071B95" w:rsidRDefault="005C77B9" w:rsidP="001A7F25">
            <w:pPr>
              <w:pStyle w:val="TableTextColumnHeading"/>
            </w:pPr>
            <w:proofErr w:type="spellStart"/>
            <w:r w:rsidRPr="00071B95">
              <w:t>Aid</w:t>
            </w:r>
            <w:r w:rsidR="002B40C6">
              <w:t>W</w:t>
            </w:r>
            <w:r w:rsidRPr="00071B95">
              <w:t>orks</w:t>
            </w:r>
            <w:proofErr w:type="spellEnd"/>
            <w:r w:rsidRPr="00071B95">
              <w:t xml:space="preserve"> number</w:t>
            </w:r>
          </w:p>
        </w:tc>
        <w:tc>
          <w:tcPr>
            <w:tcW w:w="2612" w:type="dxa"/>
          </w:tcPr>
          <w:p w14:paraId="420DCE51" w14:textId="77777777" w:rsidR="005C77B9" w:rsidRPr="00071B95" w:rsidRDefault="005C77B9" w:rsidP="001A7F25">
            <w:pPr>
              <w:pStyle w:val="TableTextColumnHeading"/>
            </w:pPr>
            <w:r w:rsidRPr="00071B95">
              <w:t>Type of evaluation</w:t>
            </w:r>
          </w:p>
        </w:tc>
        <w:tc>
          <w:tcPr>
            <w:tcW w:w="2612" w:type="dxa"/>
          </w:tcPr>
          <w:p w14:paraId="420DCE52" w14:textId="77777777" w:rsidR="005C77B9" w:rsidRPr="00071B95" w:rsidRDefault="005C77B9" w:rsidP="001A7F25">
            <w:pPr>
              <w:pStyle w:val="TableTextColumnHeading"/>
            </w:pPr>
            <w:r w:rsidRPr="00071B95">
              <w:t>Purpose of evaluation</w:t>
            </w:r>
            <w:r w:rsidRPr="00071B95">
              <w:rPr>
                <w:vertAlign w:val="superscript"/>
              </w:rPr>
              <w:footnoteReference w:id="25"/>
            </w:r>
          </w:p>
        </w:tc>
        <w:tc>
          <w:tcPr>
            <w:tcW w:w="2617" w:type="dxa"/>
          </w:tcPr>
          <w:p w14:paraId="420DCE53" w14:textId="77777777" w:rsidR="005C77B9" w:rsidRPr="00071B95" w:rsidRDefault="005C77B9" w:rsidP="001A7F25">
            <w:pPr>
              <w:pStyle w:val="TableTextColumnHeading"/>
            </w:pPr>
            <w:r w:rsidRPr="00071B95">
              <w:t>Expected completion date</w:t>
            </w:r>
          </w:p>
        </w:tc>
      </w:tr>
      <w:tr w:rsidR="005C77B9" w:rsidRPr="009C0A9F" w14:paraId="420DCE5A" w14:textId="77777777" w:rsidTr="001A7F25">
        <w:trPr>
          <w:cantSplit/>
          <w:tblHeader w:val="0"/>
        </w:trPr>
        <w:tc>
          <w:tcPr>
            <w:tcW w:w="2601" w:type="dxa"/>
            <w:vAlign w:val="center"/>
          </w:tcPr>
          <w:p w14:paraId="420DCE55" w14:textId="77777777" w:rsidR="005C77B9" w:rsidRPr="00474551" w:rsidRDefault="005C77B9" w:rsidP="001A7F25">
            <w:pPr>
              <w:pStyle w:val="TableTextEntries"/>
            </w:pPr>
            <w:r w:rsidRPr="00474551">
              <w:t>Prog</w:t>
            </w:r>
            <w:r>
              <w:t>ram</w:t>
            </w:r>
            <w:r w:rsidRPr="00474551">
              <w:t xml:space="preserve"> to Strengthen Pacific Statistics</w:t>
            </w:r>
          </w:p>
        </w:tc>
        <w:tc>
          <w:tcPr>
            <w:tcW w:w="2530" w:type="dxa"/>
          </w:tcPr>
          <w:p w14:paraId="420DCE56" w14:textId="77777777" w:rsidR="005C77B9" w:rsidRPr="00D74E30" w:rsidRDefault="005C77B9" w:rsidP="001A7F25">
            <w:pPr>
              <w:pStyle w:val="TableTextEntries"/>
            </w:pPr>
            <w:r w:rsidRPr="00474551">
              <w:t>INJ209</w:t>
            </w:r>
          </w:p>
        </w:tc>
        <w:tc>
          <w:tcPr>
            <w:tcW w:w="2612" w:type="dxa"/>
          </w:tcPr>
          <w:p w14:paraId="420DCE57" w14:textId="77777777" w:rsidR="005C77B9" w:rsidRPr="004B50B0" w:rsidRDefault="005C77B9" w:rsidP="001A7F25">
            <w:pPr>
              <w:pStyle w:val="TableTextEntries"/>
            </w:pPr>
            <w:r>
              <w:t>Joint review</w:t>
            </w:r>
          </w:p>
        </w:tc>
        <w:tc>
          <w:tcPr>
            <w:tcW w:w="2612" w:type="dxa"/>
          </w:tcPr>
          <w:p w14:paraId="420DCE58" w14:textId="77777777" w:rsidR="005C77B9" w:rsidRPr="005E6A1A" w:rsidRDefault="005C77B9" w:rsidP="001A7F25">
            <w:pPr>
              <w:pStyle w:val="TableTextEntries"/>
            </w:pPr>
          </w:p>
        </w:tc>
        <w:tc>
          <w:tcPr>
            <w:tcW w:w="2617" w:type="dxa"/>
          </w:tcPr>
          <w:p w14:paraId="420DCE59" w14:textId="77777777" w:rsidR="005C77B9" w:rsidRPr="005E6A1A" w:rsidRDefault="005C77B9" w:rsidP="001A7F25">
            <w:pPr>
              <w:pStyle w:val="TableTextEntries"/>
            </w:pPr>
            <w:r>
              <w:t>May 2013</w:t>
            </w:r>
          </w:p>
        </w:tc>
      </w:tr>
      <w:tr w:rsidR="005C77B9" w:rsidRPr="009C0A9F" w14:paraId="420DCE60" w14:textId="77777777" w:rsidTr="001A7F25">
        <w:trPr>
          <w:cantSplit/>
          <w:tblHeader w:val="0"/>
        </w:trPr>
        <w:tc>
          <w:tcPr>
            <w:tcW w:w="2601" w:type="dxa"/>
          </w:tcPr>
          <w:p w14:paraId="420DCE5B" w14:textId="77777777" w:rsidR="005C77B9" w:rsidRPr="00C86ECC" w:rsidRDefault="005C77B9" w:rsidP="001A7F25">
            <w:pPr>
              <w:pStyle w:val="TableTextEntries"/>
              <w:rPr>
                <w:szCs w:val="18"/>
              </w:rPr>
            </w:pPr>
            <w:r w:rsidRPr="00C86ECC">
              <w:rPr>
                <w:szCs w:val="18"/>
              </w:rPr>
              <w:t>Pacific Microfinance Initiative</w:t>
            </w:r>
          </w:p>
        </w:tc>
        <w:tc>
          <w:tcPr>
            <w:tcW w:w="2530" w:type="dxa"/>
          </w:tcPr>
          <w:p w14:paraId="420DCE5C" w14:textId="77777777" w:rsidR="005C77B9" w:rsidRPr="00D74E30" w:rsidRDefault="005C77B9" w:rsidP="001A7F25">
            <w:pPr>
              <w:pStyle w:val="TableTextEntries"/>
            </w:pPr>
            <w:r w:rsidRPr="00C86ECC">
              <w:rPr>
                <w:szCs w:val="18"/>
              </w:rPr>
              <w:t>INJ277</w:t>
            </w:r>
          </w:p>
        </w:tc>
        <w:tc>
          <w:tcPr>
            <w:tcW w:w="2612" w:type="dxa"/>
          </w:tcPr>
          <w:p w14:paraId="420DCE5D" w14:textId="77777777" w:rsidR="005C77B9" w:rsidRPr="004F7C97" w:rsidRDefault="005C77B9" w:rsidP="001A7F25">
            <w:pPr>
              <w:pStyle w:val="TableTextEntries"/>
            </w:pPr>
            <w:r>
              <w:t>Independent completion report</w:t>
            </w:r>
          </w:p>
        </w:tc>
        <w:tc>
          <w:tcPr>
            <w:tcW w:w="2612" w:type="dxa"/>
          </w:tcPr>
          <w:p w14:paraId="420DCE5E" w14:textId="77777777" w:rsidR="005C77B9" w:rsidRPr="005E6A1A" w:rsidRDefault="005C77B9" w:rsidP="001A7F25">
            <w:pPr>
              <w:pStyle w:val="TableTextEntries"/>
            </w:pPr>
          </w:p>
        </w:tc>
        <w:tc>
          <w:tcPr>
            <w:tcW w:w="2617" w:type="dxa"/>
          </w:tcPr>
          <w:p w14:paraId="420DCE5F" w14:textId="77777777" w:rsidR="005C77B9" w:rsidRPr="005E6A1A" w:rsidRDefault="005C77B9" w:rsidP="001A7F25">
            <w:pPr>
              <w:pStyle w:val="TableTextEntries"/>
            </w:pPr>
            <w:r>
              <w:t>May 2013</w:t>
            </w:r>
          </w:p>
        </w:tc>
      </w:tr>
      <w:tr w:rsidR="005C77B9" w:rsidRPr="009C0A9F" w14:paraId="420DCE66" w14:textId="77777777" w:rsidTr="001A7F25">
        <w:trPr>
          <w:cantSplit/>
          <w:tblHeader w:val="0"/>
        </w:trPr>
        <w:tc>
          <w:tcPr>
            <w:tcW w:w="2601" w:type="dxa"/>
          </w:tcPr>
          <w:p w14:paraId="420DCE61" w14:textId="77777777" w:rsidR="005C77B9" w:rsidRPr="00EE49CC" w:rsidRDefault="005C77B9" w:rsidP="001A7F25">
            <w:pPr>
              <w:pStyle w:val="TableTextEntries"/>
              <w:rPr>
                <w:szCs w:val="18"/>
              </w:rPr>
            </w:pPr>
            <w:r>
              <w:rPr>
                <w:szCs w:val="18"/>
              </w:rPr>
              <w:t>Australian Support for UNDP PFIP</w:t>
            </w:r>
          </w:p>
        </w:tc>
        <w:tc>
          <w:tcPr>
            <w:tcW w:w="2530" w:type="dxa"/>
          </w:tcPr>
          <w:p w14:paraId="420DCE62" w14:textId="77777777" w:rsidR="005C77B9" w:rsidRPr="00D74E30" w:rsidRDefault="005C77B9" w:rsidP="001A7F25">
            <w:pPr>
              <w:pStyle w:val="TableTextEntries"/>
            </w:pPr>
            <w:r>
              <w:rPr>
                <w:szCs w:val="18"/>
              </w:rPr>
              <w:t>INI898</w:t>
            </w:r>
          </w:p>
        </w:tc>
        <w:tc>
          <w:tcPr>
            <w:tcW w:w="2612" w:type="dxa"/>
          </w:tcPr>
          <w:p w14:paraId="420DCE63" w14:textId="77777777" w:rsidR="005C77B9" w:rsidRPr="004F7C97" w:rsidRDefault="005C77B9" w:rsidP="001A7F25">
            <w:pPr>
              <w:pStyle w:val="TableTextEntries"/>
            </w:pPr>
            <w:r>
              <w:t>Independent progress report</w:t>
            </w:r>
          </w:p>
        </w:tc>
        <w:tc>
          <w:tcPr>
            <w:tcW w:w="2612" w:type="dxa"/>
          </w:tcPr>
          <w:p w14:paraId="420DCE64" w14:textId="77777777" w:rsidR="005C77B9" w:rsidRPr="005E6A1A" w:rsidRDefault="005C77B9" w:rsidP="001A7F25">
            <w:pPr>
              <w:pStyle w:val="TableTextEntries"/>
            </w:pPr>
          </w:p>
        </w:tc>
        <w:tc>
          <w:tcPr>
            <w:tcW w:w="2617" w:type="dxa"/>
          </w:tcPr>
          <w:p w14:paraId="420DCE65" w14:textId="77777777" w:rsidR="005C77B9" w:rsidRPr="005E6A1A" w:rsidRDefault="005C77B9" w:rsidP="001A7F25">
            <w:pPr>
              <w:pStyle w:val="TableTextEntries"/>
            </w:pPr>
            <w:r>
              <w:t>June 2013</w:t>
            </w:r>
          </w:p>
        </w:tc>
      </w:tr>
      <w:tr w:rsidR="005C77B9" w:rsidRPr="009C0A9F" w14:paraId="420DCE6C" w14:textId="77777777" w:rsidTr="001A7F25">
        <w:trPr>
          <w:cantSplit/>
          <w:tblHeader w:val="0"/>
        </w:trPr>
        <w:tc>
          <w:tcPr>
            <w:tcW w:w="2601" w:type="dxa"/>
          </w:tcPr>
          <w:p w14:paraId="420DCE67" w14:textId="77777777" w:rsidR="005C77B9" w:rsidRDefault="005C77B9" w:rsidP="001A7F25">
            <w:pPr>
              <w:pStyle w:val="TableTextEntries"/>
              <w:rPr>
                <w:szCs w:val="18"/>
              </w:rPr>
            </w:pPr>
            <w:r>
              <w:rPr>
                <w:szCs w:val="18"/>
              </w:rPr>
              <w:t>Pacific</w:t>
            </w:r>
            <w:r w:rsidRPr="00DA02F6">
              <w:rPr>
                <w:szCs w:val="18"/>
              </w:rPr>
              <w:t xml:space="preserve"> Islands Centre for </w:t>
            </w:r>
            <w:r>
              <w:rPr>
                <w:szCs w:val="18"/>
              </w:rPr>
              <w:t>Public Administration</w:t>
            </w:r>
            <w:r w:rsidRPr="00DA02F6">
              <w:rPr>
                <w:szCs w:val="18"/>
              </w:rPr>
              <w:t xml:space="preserve"> </w:t>
            </w:r>
            <w:r w:rsidR="00F51A9A">
              <w:rPr>
                <w:szCs w:val="18"/>
              </w:rPr>
              <w:t xml:space="preserve">Phase </w:t>
            </w:r>
            <w:r w:rsidRPr="00DA02F6">
              <w:rPr>
                <w:szCs w:val="18"/>
              </w:rPr>
              <w:t>2</w:t>
            </w:r>
          </w:p>
        </w:tc>
        <w:tc>
          <w:tcPr>
            <w:tcW w:w="2530" w:type="dxa"/>
          </w:tcPr>
          <w:p w14:paraId="420DCE68" w14:textId="77777777" w:rsidR="005C77B9" w:rsidRPr="00D74E30" w:rsidRDefault="005C77B9" w:rsidP="001A7F25">
            <w:pPr>
              <w:pStyle w:val="TableTextEntries"/>
            </w:pPr>
            <w:r w:rsidRPr="00DF4327">
              <w:rPr>
                <w:szCs w:val="18"/>
              </w:rPr>
              <w:t>INJ075</w:t>
            </w:r>
          </w:p>
        </w:tc>
        <w:tc>
          <w:tcPr>
            <w:tcW w:w="2612" w:type="dxa"/>
          </w:tcPr>
          <w:p w14:paraId="420DCE69" w14:textId="77777777" w:rsidR="005C77B9" w:rsidRPr="004F7C97" w:rsidRDefault="005C77B9" w:rsidP="001A7F25">
            <w:pPr>
              <w:pStyle w:val="TableTextEntries"/>
            </w:pPr>
            <w:r>
              <w:t>Independent completion report</w:t>
            </w:r>
          </w:p>
        </w:tc>
        <w:tc>
          <w:tcPr>
            <w:tcW w:w="2612" w:type="dxa"/>
          </w:tcPr>
          <w:p w14:paraId="420DCE6A" w14:textId="77777777" w:rsidR="005C77B9" w:rsidRPr="005E6A1A" w:rsidRDefault="005C77B9" w:rsidP="001A7F25">
            <w:pPr>
              <w:pStyle w:val="TableTextEntries"/>
            </w:pPr>
          </w:p>
        </w:tc>
        <w:tc>
          <w:tcPr>
            <w:tcW w:w="2617" w:type="dxa"/>
          </w:tcPr>
          <w:p w14:paraId="420DCE6B" w14:textId="77777777" w:rsidR="005C77B9" w:rsidRPr="005E6A1A" w:rsidRDefault="005C77B9" w:rsidP="001A7F25">
            <w:pPr>
              <w:pStyle w:val="TableTextEntries"/>
            </w:pPr>
          </w:p>
        </w:tc>
      </w:tr>
      <w:tr w:rsidR="005C77B9" w:rsidRPr="009C0A9F" w14:paraId="420DCE72" w14:textId="77777777" w:rsidTr="001A7F25">
        <w:trPr>
          <w:cantSplit/>
          <w:tblHeader w:val="0"/>
        </w:trPr>
        <w:tc>
          <w:tcPr>
            <w:tcW w:w="2601" w:type="dxa"/>
          </w:tcPr>
          <w:p w14:paraId="420DCE6D" w14:textId="77777777" w:rsidR="005C77B9" w:rsidRPr="005D557E" w:rsidRDefault="005C77B9" w:rsidP="001A7F25">
            <w:pPr>
              <w:pStyle w:val="TableTextEntries"/>
              <w:rPr>
                <w:szCs w:val="18"/>
              </w:rPr>
            </w:pPr>
            <w:r w:rsidRPr="005D557E">
              <w:rPr>
                <w:szCs w:val="18"/>
              </w:rPr>
              <w:t>Australian Support for UNDP PFIP</w:t>
            </w:r>
          </w:p>
        </w:tc>
        <w:tc>
          <w:tcPr>
            <w:tcW w:w="2530" w:type="dxa"/>
          </w:tcPr>
          <w:p w14:paraId="420DCE6E" w14:textId="77777777" w:rsidR="005C77B9" w:rsidRPr="00D74E30" w:rsidRDefault="005C77B9" w:rsidP="001A7F25">
            <w:pPr>
              <w:pStyle w:val="TableTextEntries"/>
            </w:pPr>
            <w:r>
              <w:rPr>
                <w:szCs w:val="18"/>
              </w:rPr>
              <w:t>INI898</w:t>
            </w:r>
          </w:p>
        </w:tc>
        <w:tc>
          <w:tcPr>
            <w:tcW w:w="2612" w:type="dxa"/>
          </w:tcPr>
          <w:p w14:paraId="420DCE6F" w14:textId="77777777" w:rsidR="005C77B9" w:rsidRPr="004F7C97" w:rsidRDefault="005C77B9" w:rsidP="001A7F25">
            <w:pPr>
              <w:pStyle w:val="TableTextEntries"/>
            </w:pPr>
            <w:r>
              <w:t>Independent completion report</w:t>
            </w:r>
          </w:p>
        </w:tc>
        <w:tc>
          <w:tcPr>
            <w:tcW w:w="2612" w:type="dxa"/>
          </w:tcPr>
          <w:p w14:paraId="420DCE70" w14:textId="77777777" w:rsidR="005C77B9" w:rsidRPr="005E6A1A" w:rsidRDefault="005C77B9" w:rsidP="001A7F25">
            <w:pPr>
              <w:pStyle w:val="TableTextEntries"/>
            </w:pPr>
          </w:p>
        </w:tc>
        <w:tc>
          <w:tcPr>
            <w:tcW w:w="2617" w:type="dxa"/>
          </w:tcPr>
          <w:p w14:paraId="420DCE71" w14:textId="77777777" w:rsidR="005C77B9" w:rsidRPr="005E6A1A" w:rsidRDefault="005C77B9" w:rsidP="001A7F25">
            <w:pPr>
              <w:pStyle w:val="TableTextEntries"/>
            </w:pPr>
          </w:p>
        </w:tc>
      </w:tr>
      <w:tr w:rsidR="005C77B9" w:rsidRPr="009C0A9F" w14:paraId="420DCE78" w14:textId="77777777" w:rsidTr="001A7F25">
        <w:trPr>
          <w:cantSplit/>
          <w:tblHeader w:val="0"/>
        </w:trPr>
        <w:tc>
          <w:tcPr>
            <w:tcW w:w="2601" w:type="dxa"/>
            <w:vAlign w:val="center"/>
          </w:tcPr>
          <w:p w14:paraId="420DCE73" w14:textId="77777777" w:rsidR="005C77B9" w:rsidRPr="00B645E7" w:rsidRDefault="005C77B9" w:rsidP="001A7F25">
            <w:pPr>
              <w:pStyle w:val="TableTextEntries"/>
            </w:pPr>
            <w:r w:rsidRPr="00D54A16">
              <w:t>Australian Sports Outreach Program</w:t>
            </w:r>
          </w:p>
        </w:tc>
        <w:tc>
          <w:tcPr>
            <w:tcW w:w="2530" w:type="dxa"/>
          </w:tcPr>
          <w:p w14:paraId="420DCE74" w14:textId="77777777" w:rsidR="005C77B9" w:rsidRPr="00D74E30" w:rsidRDefault="005C77B9" w:rsidP="001A7F25">
            <w:pPr>
              <w:pStyle w:val="TableTextEntries"/>
            </w:pPr>
            <w:r w:rsidRPr="00D54A16">
              <w:t>ING858</w:t>
            </w:r>
          </w:p>
        </w:tc>
        <w:tc>
          <w:tcPr>
            <w:tcW w:w="2612" w:type="dxa"/>
          </w:tcPr>
          <w:p w14:paraId="420DCE75" w14:textId="77777777" w:rsidR="005C77B9" w:rsidRPr="004F7C97" w:rsidRDefault="005C77B9" w:rsidP="001A7F25">
            <w:pPr>
              <w:pStyle w:val="TableTextEntries"/>
            </w:pPr>
            <w:r>
              <w:t>Independent progress report</w:t>
            </w:r>
          </w:p>
        </w:tc>
        <w:tc>
          <w:tcPr>
            <w:tcW w:w="2612" w:type="dxa"/>
          </w:tcPr>
          <w:p w14:paraId="420DCE76" w14:textId="77777777" w:rsidR="005C77B9" w:rsidRPr="005E6A1A" w:rsidRDefault="005C77B9" w:rsidP="001A7F25">
            <w:pPr>
              <w:pStyle w:val="TableTextEntries"/>
            </w:pPr>
            <w:r>
              <w:t>To inform decisions about new phase</w:t>
            </w:r>
          </w:p>
        </w:tc>
        <w:tc>
          <w:tcPr>
            <w:tcW w:w="2617" w:type="dxa"/>
          </w:tcPr>
          <w:p w14:paraId="420DCE77" w14:textId="77777777" w:rsidR="005C77B9" w:rsidRPr="005E6A1A" w:rsidRDefault="005C77B9" w:rsidP="001A7F25">
            <w:pPr>
              <w:pStyle w:val="TableTextEntries"/>
            </w:pPr>
          </w:p>
        </w:tc>
      </w:tr>
      <w:tr w:rsidR="005C77B9" w:rsidRPr="009C0A9F" w14:paraId="420DCE7E" w14:textId="77777777" w:rsidTr="001A7F25">
        <w:trPr>
          <w:cantSplit/>
          <w:tblHeader w:val="0"/>
        </w:trPr>
        <w:tc>
          <w:tcPr>
            <w:tcW w:w="2601" w:type="dxa"/>
            <w:vAlign w:val="center"/>
          </w:tcPr>
          <w:p w14:paraId="420DCE79" w14:textId="77777777" w:rsidR="005C77B9" w:rsidRPr="004D12CC" w:rsidRDefault="005C77B9" w:rsidP="001A7F25">
            <w:pPr>
              <w:pStyle w:val="TableTextEntries"/>
            </w:pPr>
            <w:r w:rsidRPr="00132ECF">
              <w:t>Pacific Sports Partnerships</w:t>
            </w:r>
          </w:p>
        </w:tc>
        <w:tc>
          <w:tcPr>
            <w:tcW w:w="2530" w:type="dxa"/>
          </w:tcPr>
          <w:p w14:paraId="420DCE7A" w14:textId="77777777" w:rsidR="005C77B9" w:rsidRPr="00D74E30" w:rsidRDefault="005C77B9" w:rsidP="001A7F25">
            <w:pPr>
              <w:pStyle w:val="TableTextEntries"/>
            </w:pPr>
            <w:r w:rsidRPr="00B903E1">
              <w:t>INK146</w:t>
            </w:r>
          </w:p>
        </w:tc>
        <w:tc>
          <w:tcPr>
            <w:tcW w:w="2612" w:type="dxa"/>
          </w:tcPr>
          <w:p w14:paraId="420DCE7B" w14:textId="77777777" w:rsidR="005C77B9" w:rsidRPr="004F7C97" w:rsidRDefault="005C77B9" w:rsidP="001A7F25">
            <w:pPr>
              <w:pStyle w:val="TableTextEntries"/>
            </w:pPr>
            <w:r>
              <w:t>Independent progress report</w:t>
            </w:r>
          </w:p>
        </w:tc>
        <w:tc>
          <w:tcPr>
            <w:tcW w:w="2612" w:type="dxa"/>
          </w:tcPr>
          <w:p w14:paraId="420DCE7C" w14:textId="77777777" w:rsidR="005C77B9" w:rsidRPr="005E6A1A" w:rsidRDefault="005C77B9" w:rsidP="001A7F25">
            <w:pPr>
              <w:pStyle w:val="TableTextEntries"/>
            </w:pPr>
            <w:r>
              <w:t>To inform decisions about new phase</w:t>
            </w:r>
          </w:p>
        </w:tc>
        <w:tc>
          <w:tcPr>
            <w:tcW w:w="2617" w:type="dxa"/>
          </w:tcPr>
          <w:p w14:paraId="420DCE7D" w14:textId="77777777" w:rsidR="005C77B9" w:rsidRPr="005E6A1A" w:rsidRDefault="005C77B9" w:rsidP="001A7F25">
            <w:pPr>
              <w:pStyle w:val="TableTextEntries"/>
            </w:pPr>
          </w:p>
        </w:tc>
      </w:tr>
      <w:tr w:rsidR="005C77B9" w:rsidRPr="009C0A9F" w14:paraId="420DCE84" w14:textId="77777777" w:rsidTr="001A7F25">
        <w:trPr>
          <w:cantSplit/>
          <w:tblHeader w:val="0"/>
        </w:trPr>
        <w:tc>
          <w:tcPr>
            <w:tcW w:w="2601" w:type="dxa"/>
          </w:tcPr>
          <w:p w14:paraId="420DCE7F" w14:textId="77777777" w:rsidR="005C77B9" w:rsidRPr="0084465C" w:rsidRDefault="005C77B9" w:rsidP="001A7F25">
            <w:pPr>
              <w:pStyle w:val="TableTextEntries"/>
            </w:pPr>
            <w:r>
              <w:t xml:space="preserve"> </w:t>
            </w:r>
            <w:r w:rsidRPr="001C5140">
              <w:t xml:space="preserve">Pacific Australia Climate Change Science and Adaptation Planning Program </w:t>
            </w:r>
          </w:p>
        </w:tc>
        <w:tc>
          <w:tcPr>
            <w:tcW w:w="2530" w:type="dxa"/>
          </w:tcPr>
          <w:p w14:paraId="420DCE80" w14:textId="77777777" w:rsidR="005C77B9" w:rsidRPr="00D74E30" w:rsidRDefault="005C77B9" w:rsidP="001A7F25">
            <w:pPr>
              <w:pStyle w:val="TableTextEntries"/>
            </w:pPr>
            <w:r>
              <w:t>INK303</w:t>
            </w:r>
          </w:p>
        </w:tc>
        <w:tc>
          <w:tcPr>
            <w:tcW w:w="2612" w:type="dxa"/>
          </w:tcPr>
          <w:p w14:paraId="420DCE81" w14:textId="77777777" w:rsidR="005C77B9" w:rsidRPr="004F7C97" w:rsidRDefault="005C77B9" w:rsidP="001A7F25">
            <w:pPr>
              <w:pStyle w:val="TableTextEntries"/>
            </w:pPr>
            <w:r>
              <w:t>Cluster review</w:t>
            </w:r>
          </w:p>
        </w:tc>
        <w:tc>
          <w:tcPr>
            <w:tcW w:w="2612" w:type="dxa"/>
          </w:tcPr>
          <w:p w14:paraId="420DCE82" w14:textId="77777777" w:rsidR="005C77B9" w:rsidRPr="005E6A1A" w:rsidRDefault="005C77B9" w:rsidP="001A7F25">
            <w:pPr>
              <w:pStyle w:val="TableTextEntries"/>
            </w:pPr>
            <w:r>
              <w:t>To inform the development of the Pacific Regional Climate Change, Environment and Disaster Risk Management Delivery Strategy</w:t>
            </w:r>
          </w:p>
        </w:tc>
        <w:tc>
          <w:tcPr>
            <w:tcW w:w="2617" w:type="dxa"/>
          </w:tcPr>
          <w:p w14:paraId="420DCE83" w14:textId="77777777" w:rsidR="005C77B9" w:rsidRPr="005E6A1A" w:rsidRDefault="005C77B9" w:rsidP="001A7F25">
            <w:pPr>
              <w:pStyle w:val="TableTextEntries"/>
            </w:pPr>
            <w:r>
              <w:t>August 2013</w:t>
            </w:r>
          </w:p>
        </w:tc>
      </w:tr>
      <w:tr w:rsidR="005C77B9" w:rsidRPr="009C0A9F" w14:paraId="420DCE8A" w14:textId="77777777" w:rsidTr="001A7F25">
        <w:trPr>
          <w:cantSplit/>
          <w:tblHeader w:val="0"/>
        </w:trPr>
        <w:tc>
          <w:tcPr>
            <w:tcW w:w="2601" w:type="dxa"/>
          </w:tcPr>
          <w:p w14:paraId="420DCE85" w14:textId="77777777" w:rsidR="005C77B9" w:rsidRDefault="005C77B9" w:rsidP="001A7F25">
            <w:pPr>
              <w:pStyle w:val="TableTextEntries"/>
            </w:pPr>
            <w:r w:rsidRPr="00CB08D4">
              <w:t>Pacific Adaptation to Climate Change Project</w:t>
            </w:r>
          </w:p>
        </w:tc>
        <w:tc>
          <w:tcPr>
            <w:tcW w:w="2530" w:type="dxa"/>
          </w:tcPr>
          <w:p w14:paraId="420DCE86" w14:textId="77777777" w:rsidR="005C77B9" w:rsidRPr="00D74E30" w:rsidRDefault="005C77B9" w:rsidP="001A7F25">
            <w:pPr>
              <w:pStyle w:val="TableTextEntries"/>
            </w:pPr>
            <w:r w:rsidRPr="006C7CA6">
              <w:rPr>
                <w:rFonts w:cs="Calibri"/>
              </w:rPr>
              <w:t>INJ927</w:t>
            </w:r>
          </w:p>
        </w:tc>
        <w:tc>
          <w:tcPr>
            <w:tcW w:w="2612" w:type="dxa"/>
          </w:tcPr>
          <w:p w14:paraId="420DCE87" w14:textId="77777777" w:rsidR="005C77B9" w:rsidRPr="004F7C97" w:rsidRDefault="005C77B9" w:rsidP="001A7F25">
            <w:pPr>
              <w:pStyle w:val="TableTextEntries"/>
            </w:pPr>
            <w:r>
              <w:t>Cluster review</w:t>
            </w:r>
          </w:p>
        </w:tc>
        <w:tc>
          <w:tcPr>
            <w:tcW w:w="2612" w:type="dxa"/>
          </w:tcPr>
          <w:p w14:paraId="420DCE88" w14:textId="77777777" w:rsidR="005C77B9" w:rsidRPr="005E6A1A" w:rsidRDefault="005C77B9" w:rsidP="001A7F25">
            <w:pPr>
              <w:pStyle w:val="TableTextEntries"/>
            </w:pPr>
            <w:r>
              <w:t>To inform the development of the Pacific Regional Climate Change, Environment and Disaster Risk Management Delivery Strategy</w:t>
            </w:r>
          </w:p>
        </w:tc>
        <w:tc>
          <w:tcPr>
            <w:tcW w:w="2617" w:type="dxa"/>
          </w:tcPr>
          <w:p w14:paraId="420DCE89" w14:textId="77777777" w:rsidR="005C77B9" w:rsidRPr="005E6A1A" w:rsidRDefault="005C77B9" w:rsidP="001A7F25">
            <w:pPr>
              <w:pStyle w:val="TableTextEntries"/>
            </w:pPr>
            <w:r>
              <w:t>August 2013</w:t>
            </w:r>
          </w:p>
        </w:tc>
      </w:tr>
      <w:tr w:rsidR="005C77B9" w:rsidRPr="009C0A9F" w14:paraId="420DCE90" w14:textId="77777777" w:rsidTr="001A7F25">
        <w:trPr>
          <w:cantSplit/>
          <w:tblHeader w:val="0"/>
        </w:trPr>
        <w:tc>
          <w:tcPr>
            <w:tcW w:w="2601" w:type="dxa"/>
          </w:tcPr>
          <w:p w14:paraId="420DCE8B" w14:textId="77777777" w:rsidR="005C77B9" w:rsidRPr="00C86ECC" w:rsidRDefault="005C77B9" w:rsidP="001A7F25">
            <w:pPr>
              <w:pStyle w:val="TableTextEntries"/>
              <w:rPr>
                <w:szCs w:val="18"/>
              </w:rPr>
            </w:pPr>
            <w:r w:rsidRPr="00956FF2">
              <w:rPr>
                <w:szCs w:val="18"/>
              </w:rPr>
              <w:lastRenderedPageBreak/>
              <w:t>Climate and Oceans Support Prog</w:t>
            </w:r>
            <w:r>
              <w:rPr>
                <w:szCs w:val="18"/>
              </w:rPr>
              <w:t xml:space="preserve">ram </w:t>
            </w:r>
          </w:p>
        </w:tc>
        <w:tc>
          <w:tcPr>
            <w:tcW w:w="2530" w:type="dxa"/>
          </w:tcPr>
          <w:p w14:paraId="420DCE8C" w14:textId="77777777" w:rsidR="005C77B9" w:rsidRPr="00D74E30" w:rsidRDefault="005C77B9" w:rsidP="001A7F25">
            <w:pPr>
              <w:pStyle w:val="TableTextEntries"/>
            </w:pPr>
            <w:r w:rsidRPr="00956FF2">
              <w:rPr>
                <w:szCs w:val="18"/>
              </w:rPr>
              <w:t>INJ488</w:t>
            </w:r>
          </w:p>
        </w:tc>
        <w:tc>
          <w:tcPr>
            <w:tcW w:w="2612" w:type="dxa"/>
          </w:tcPr>
          <w:p w14:paraId="420DCE8D" w14:textId="77777777" w:rsidR="005C77B9" w:rsidRPr="004F7C97" w:rsidRDefault="005C77B9" w:rsidP="001A7F25">
            <w:pPr>
              <w:pStyle w:val="TableTextEntries"/>
            </w:pPr>
            <w:r>
              <w:t>Cluster review</w:t>
            </w:r>
          </w:p>
        </w:tc>
        <w:tc>
          <w:tcPr>
            <w:tcW w:w="2612" w:type="dxa"/>
          </w:tcPr>
          <w:p w14:paraId="420DCE8E" w14:textId="77777777" w:rsidR="005C77B9" w:rsidRPr="005E6A1A" w:rsidRDefault="005C77B9" w:rsidP="001A7F25">
            <w:pPr>
              <w:pStyle w:val="TableTextEntries"/>
            </w:pPr>
            <w:r>
              <w:t>To inform the development of the Pacific Regional Climate Change, Environment and Disaster Risk Management Delivery Strategy</w:t>
            </w:r>
          </w:p>
        </w:tc>
        <w:tc>
          <w:tcPr>
            <w:tcW w:w="2617" w:type="dxa"/>
          </w:tcPr>
          <w:p w14:paraId="420DCE8F" w14:textId="77777777" w:rsidR="005C77B9" w:rsidRPr="005E6A1A" w:rsidRDefault="005C77B9" w:rsidP="001A7F25">
            <w:pPr>
              <w:pStyle w:val="TableTextEntries"/>
            </w:pPr>
            <w:r>
              <w:t>August 2013</w:t>
            </w:r>
          </w:p>
        </w:tc>
      </w:tr>
      <w:tr w:rsidR="005C77B9" w:rsidRPr="009C0A9F" w14:paraId="420DCE96" w14:textId="77777777" w:rsidTr="001A7F25">
        <w:trPr>
          <w:cantSplit/>
          <w:tblHeader w:val="0"/>
        </w:trPr>
        <w:tc>
          <w:tcPr>
            <w:tcW w:w="2601" w:type="dxa"/>
          </w:tcPr>
          <w:p w14:paraId="420DCE91" w14:textId="77777777" w:rsidR="005C77B9" w:rsidRPr="00DE5EF9" w:rsidRDefault="005C77B9" w:rsidP="001A7F25">
            <w:pPr>
              <w:pStyle w:val="TableTextEntries"/>
              <w:rPr>
                <w:szCs w:val="18"/>
              </w:rPr>
            </w:pPr>
            <w:r>
              <w:rPr>
                <w:szCs w:val="18"/>
              </w:rPr>
              <w:t>Sea Level &amp; Climate Monitoring Phase</w:t>
            </w:r>
            <w:r w:rsidRPr="00DE5EF9">
              <w:rPr>
                <w:szCs w:val="18"/>
              </w:rPr>
              <w:t xml:space="preserve"> 4</w:t>
            </w:r>
          </w:p>
        </w:tc>
        <w:tc>
          <w:tcPr>
            <w:tcW w:w="2530" w:type="dxa"/>
          </w:tcPr>
          <w:p w14:paraId="420DCE92" w14:textId="77777777" w:rsidR="005C77B9" w:rsidRPr="00D74E30" w:rsidRDefault="005C77B9" w:rsidP="001A7F25">
            <w:pPr>
              <w:pStyle w:val="TableTextEntries"/>
            </w:pPr>
            <w:r w:rsidRPr="00DE5EF9">
              <w:rPr>
                <w:szCs w:val="18"/>
              </w:rPr>
              <w:t>ING300</w:t>
            </w:r>
          </w:p>
        </w:tc>
        <w:tc>
          <w:tcPr>
            <w:tcW w:w="2612" w:type="dxa"/>
          </w:tcPr>
          <w:p w14:paraId="420DCE93" w14:textId="77777777" w:rsidR="005C77B9" w:rsidRPr="004F7C97" w:rsidRDefault="005C77B9" w:rsidP="001A7F25">
            <w:pPr>
              <w:pStyle w:val="TableTextEntries"/>
            </w:pPr>
            <w:r>
              <w:t>Cluster review</w:t>
            </w:r>
          </w:p>
        </w:tc>
        <w:tc>
          <w:tcPr>
            <w:tcW w:w="2612" w:type="dxa"/>
          </w:tcPr>
          <w:p w14:paraId="420DCE94" w14:textId="77777777" w:rsidR="005C77B9" w:rsidRPr="005E6A1A" w:rsidRDefault="005C77B9" w:rsidP="001A7F25">
            <w:pPr>
              <w:pStyle w:val="TableTextEntries"/>
            </w:pPr>
            <w:r>
              <w:t>To inform the development of the Pacific Regional Climate Change, Environment and Disaster Risk Management Delivery Strategy</w:t>
            </w:r>
          </w:p>
        </w:tc>
        <w:tc>
          <w:tcPr>
            <w:tcW w:w="2617" w:type="dxa"/>
          </w:tcPr>
          <w:p w14:paraId="420DCE95" w14:textId="77777777" w:rsidR="005C77B9" w:rsidRPr="005E6A1A" w:rsidRDefault="005C77B9" w:rsidP="001A7F25">
            <w:pPr>
              <w:pStyle w:val="TableTextEntries"/>
            </w:pPr>
            <w:r>
              <w:t>August 2013</w:t>
            </w:r>
          </w:p>
        </w:tc>
      </w:tr>
      <w:tr w:rsidR="005C77B9" w:rsidRPr="009C0A9F" w14:paraId="420DCE9C" w14:textId="77777777" w:rsidTr="001A7F25">
        <w:trPr>
          <w:cantSplit/>
          <w:tblHeader w:val="0"/>
        </w:trPr>
        <w:tc>
          <w:tcPr>
            <w:tcW w:w="2601" w:type="dxa"/>
          </w:tcPr>
          <w:p w14:paraId="420DCE97" w14:textId="77777777" w:rsidR="005C77B9" w:rsidRPr="005D557E" w:rsidRDefault="005C77B9" w:rsidP="001A7F25">
            <w:pPr>
              <w:pStyle w:val="TableTextEntries"/>
              <w:rPr>
                <w:szCs w:val="18"/>
              </w:rPr>
            </w:pPr>
            <w:r w:rsidRPr="0084465C">
              <w:t>S</w:t>
            </w:r>
            <w:r>
              <w:t xml:space="preserve">ecretariat of the </w:t>
            </w:r>
            <w:r w:rsidRPr="0084465C">
              <w:t>P</w:t>
            </w:r>
            <w:r>
              <w:t xml:space="preserve">acific </w:t>
            </w:r>
            <w:r w:rsidRPr="0084465C">
              <w:t>C</w:t>
            </w:r>
            <w:r>
              <w:t>ommunity</w:t>
            </w:r>
            <w:r w:rsidRPr="005D557E">
              <w:rPr>
                <w:szCs w:val="18"/>
              </w:rPr>
              <w:t xml:space="preserve"> Climate Change Activitie</w:t>
            </w:r>
            <w:r>
              <w:rPr>
                <w:szCs w:val="18"/>
              </w:rPr>
              <w:t>s</w:t>
            </w:r>
          </w:p>
        </w:tc>
        <w:tc>
          <w:tcPr>
            <w:tcW w:w="2530" w:type="dxa"/>
          </w:tcPr>
          <w:p w14:paraId="420DCE98" w14:textId="77777777" w:rsidR="005C77B9" w:rsidRPr="00D74E30" w:rsidRDefault="005C77B9" w:rsidP="001A7F25">
            <w:pPr>
              <w:pStyle w:val="TableTextEntries"/>
            </w:pPr>
            <w:r w:rsidRPr="005D557E">
              <w:rPr>
                <w:szCs w:val="18"/>
              </w:rPr>
              <w:t>INI962</w:t>
            </w:r>
          </w:p>
        </w:tc>
        <w:tc>
          <w:tcPr>
            <w:tcW w:w="2612" w:type="dxa"/>
          </w:tcPr>
          <w:p w14:paraId="420DCE99" w14:textId="77777777" w:rsidR="005C77B9" w:rsidRPr="004F7C97" w:rsidRDefault="005C77B9" w:rsidP="001A7F25">
            <w:pPr>
              <w:pStyle w:val="TableTextEntries"/>
            </w:pPr>
            <w:r>
              <w:t>Cluster review</w:t>
            </w:r>
          </w:p>
        </w:tc>
        <w:tc>
          <w:tcPr>
            <w:tcW w:w="2612" w:type="dxa"/>
          </w:tcPr>
          <w:p w14:paraId="420DCE9A" w14:textId="77777777" w:rsidR="005C77B9" w:rsidRPr="005E6A1A" w:rsidRDefault="005C77B9" w:rsidP="001A7F25">
            <w:pPr>
              <w:pStyle w:val="TableTextEntries"/>
            </w:pPr>
            <w:r>
              <w:t>To inform the development of the Pacific Regional Climate Change, Environment and Disaster Risk Management Delivery Strategy</w:t>
            </w:r>
          </w:p>
        </w:tc>
        <w:tc>
          <w:tcPr>
            <w:tcW w:w="2617" w:type="dxa"/>
          </w:tcPr>
          <w:p w14:paraId="420DCE9B" w14:textId="77777777" w:rsidR="005C77B9" w:rsidRPr="005E6A1A" w:rsidRDefault="005C77B9" w:rsidP="001A7F25">
            <w:pPr>
              <w:pStyle w:val="TableTextEntries"/>
            </w:pPr>
            <w:r>
              <w:t>August 2013</w:t>
            </w:r>
          </w:p>
        </w:tc>
      </w:tr>
      <w:tr w:rsidR="005C77B9" w:rsidRPr="009C0A9F" w14:paraId="420DCEA2" w14:textId="77777777" w:rsidTr="001A7F25">
        <w:trPr>
          <w:cantSplit/>
          <w:tblHeader w:val="0"/>
        </w:trPr>
        <w:tc>
          <w:tcPr>
            <w:tcW w:w="2601" w:type="dxa"/>
          </w:tcPr>
          <w:p w14:paraId="420DCE9D" w14:textId="77777777" w:rsidR="005C77B9" w:rsidRPr="005D557E" w:rsidRDefault="005C77B9" w:rsidP="001A7F25">
            <w:pPr>
              <w:pStyle w:val="TableTextEntries"/>
              <w:rPr>
                <w:szCs w:val="18"/>
              </w:rPr>
            </w:pPr>
            <w:r>
              <w:t>ADB</w:t>
            </w:r>
            <w:r w:rsidRPr="00C706BD">
              <w:t xml:space="preserve"> Enhancing </w:t>
            </w:r>
            <w:r>
              <w:t>Engagement w</w:t>
            </w:r>
            <w:r w:rsidR="00AC4DE1">
              <w:t>ith the</w:t>
            </w:r>
            <w:r w:rsidRPr="00C706BD">
              <w:t xml:space="preserve"> Pac</w:t>
            </w:r>
            <w:r>
              <w:t xml:space="preserve">ific phase </w:t>
            </w:r>
            <w:r w:rsidRPr="00C706BD">
              <w:t>2</w:t>
            </w:r>
          </w:p>
        </w:tc>
        <w:tc>
          <w:tcPr>
            <w:tcW w:w="2530" w:type="dxa"/>
          </w:tcPr>
          <w:p w14:paraId="420DCE9E" w14:textId="77777777" w:rsidR="005C77B9" w:rsidRPr="00D74E30" w:rsidRDefault="005C77B9" w:rsidP="001A7F25">
            <w:pPr>
              <w:pStyle w:val="TableTextEntries"/>
            </w:pPr>
            <w:r w:rsidRPr="00C706BD">
              <w:t>INK522</w:t>
            </w:r>
          </w:p>
        </w:tc>
        <w:tc>
          <w:tcPr>
            <w:tcW w:w="2612" w:type="dxa"/>
          </w:tcPr>
          <w:p w14:paraId="420DCE9F" w14:textId="77777777" w:rsidR="005C77B9" w:rsidRPr="004F7C97" w:rsidRDefault="005C77B9" w:rsidP="001A7F25">
            <w:pPr>
              <w:pStyle w:val="TableTextEntries"/>
            </w:pPr>
            <w:r>
              <w:t>Independent completion report</w:t>
            </w:r>
          </w:p>
        </w:tc>
        <w:tc>
          <w:tcPr>
            <w:tcW w:w="2612" w:type="dxa"/>
          </w:tcPr>
          <w:p w14:paraId="420DCEA0" w14:textId="77777777" w:rsidR="005C77B9" w:rsidRPr="005E6A1A" w:rsidRDefault="005C77B9" w:rsidP="001A7F25">
            <w:pPr>
              <w:pStyle w:val="TableTextEntries"/>
            </w:pPr>
          </w:p>
        </w:tc>
        <w:tc>
          <w:tcPr>
            <w:tcW w:w="2617" w:type="dxa"/>
          </w:tcPr>
          <w:p w14:paraId="420DCEA1" w14:textId="77777777" w:rsidR="005C77B9" w:rsidRPr="005E6A1A" w:rsidRDefault="005C77B9" w:rsidP="001A7F25">
            <w:pPr>
              <w:pStyle w:val="TableTextEntries"/>
            </w:pPr>
          </w:p>
        </w:tc>
      </w:tr>
      <w:tr w:rsidR="005C77B9" w:rsidRPr="009C0A9F" w14:paraId="420DCEA8" w14:textId="77777777" w:rsidTr="001A7F25">
        <w:trPr>
          <w:cantSplit/>
          <w:tblHeader w:val="0"/>
        </w:trPr>
        <w:tc>
          <w:tcPr>
            <w:tcW w:w="2601" w:type="dxa"/>
          </w:tcPr>
          <w:p w14:paraId="420DCEA3" w14:textId="77777777" w:rsidR="005C77B9" w:rsidRPr="00C86ECC" w:rsidRDefault="005C77B9" w:rsidP="001A7F25">
            <w:pPr>
              <w:pStyle w:val="TableTextEntries"/>
              <w:rPr>
                <w:szCs w:val="18"/>
              </w:rPr>
            </w:pPr>
            <w:r>
              <w:rPr>
                <w:szCs w:val="18"/>
              </w:rPr>
              <w:t xml:space="preserve">Strategic support: </w:t>
            </w:r>
            <w:r w:rsidRPr="000958F7">
              <w:rPr>
                <w:szCs w:val="18"/>
              </w:rPr>
              <w:t>W</w:t>
            </w:r>
            <w:r>
              <w:rPr>
                <w:szCs w:val="18"/>
              </w:rPr>
              <w:t xml:space="preserve">orld </w:t>
            </w:r>
            <w:r w:rsidRPr="000958F7">
              <w:rPr>
                <w:szCs w:val="18"/>
              </w:rPr>
              <w:t>H</w:t>
            </w:r>
            <w:r>
              <w:rPr>
                <w:szCs w:val="18"/>
              </w:rPr>
              <w:t xml:space="preserve">ealth </w:t>
            </w:r>
            <w:r w:rsidRPr="000958F7">
              <w:rPr>
                <w:szCs w:val="18"/>
              </w:rPr>
              <w:t>O</w:t>
            </w:r>
            <w:r>
              <w:rPr>
                <w:szCs w:val="18"/>
              </w:rPr>
              <w:t>rgani</w:t>
            </w:r>
            <w:r w:rsidR="00464D90">
              <w:rPr>
                <w:szCs w:val="18"/>
              </w:rPr>
              <w:t>z</w:t>
            </w:r>
            <w:r>
              <w:rPr>
                <w:szCs w:val="18"/>
              </w:rPr>
              <w:t>ation</w:t>
            </w:r>
            <w:r w:rsidRPr="000958F7">
              <w:rPr>
                <w:szCs w:val="18"/>
              </w:rPr>
              <w:t xml:space="preserve"> </w:t>
            </w:r>
            <w:r>
              <w:rPr>
                <w:szCs w:val="18"/>
              </w:rPr>
              <w:t>Pacific office</w:t>
            </w:r>
          </w:p>
        </w:tc>
        <w:tc>
          <w:tcPr>
            <w:tcW w:w="2530" w:type="dxa"/>
          </w:tcPr>
          <w:p w14:paraId="420DCEA4" w14:textId="77777777" w:rsidR="005C77B9" w:rsidRPr="00D74E30" w:rsidRDefault="005C77B9" w:rsidP="001A7F25">
            <w:pPr>
              <w:pStyle w:val="TableTextEntries"/>
            </w:pPr>
            <w:r w:rsidRPr="000958F7">
              <w:rPr>
                <w:szCs w:val="18"/>
              </w:rPr>
              <w:t>INK486</w:t>
            </w:r>
          </w:p>
        </w:tc>
        <w:tc>
          <w:tcPr>
            <w:tcW w:w="2612" w:type="dxa"/>
          </w:tcPr>
          <w:p w14:paraId="420DCEA5" w14:textId="77777777" w:rsidR="005C77B9" w:rsidRPr="004F7C97" w:rsidRDefault="005C77B9" w:rsidP="001A7F25">
            <w:pPr>
              <w:pStyle w:val="TableTextEntries"/>
            </w:pPr>
            <w:r>
              <w:t>Independent completion report</w:t>
            </w:r>
          </w:p>
        </w:tc>
        <w:tc>
          <w:tcPr>
            <w:tcW w:w="2612" w:type="dxa"/>
          </w:tcPr>
          <w:p w14:paraId="420DCEA6" w14:textId="77777777" w:rsidR="005C77B9" w:rsidRPr="005E6A1A" w:rsidRDefault="005C77B9" w:rsidP="001A7F25">
            <w:pPr>
              <w:pStyle w:val="TableTextEntries"/>
            </w:pPr>
          </w:p>
        </w:tc>
        <w:tc>
          <w:tcPr>
            <w:tcW w:w="2617" w:type="dxa"/>
          </w:tcPr>
          <w:p w14:paraId="420DCEA7" w14:textId="77777777" w:rsidR="005C77B9" w:rsidRPr="005E6A1A" w:rsidRDefault="005C77B9" w:rsidP="001A7F25">
            <w:pPr>
              <w:pStyle w:val="TableTextEntries"/>
            </w:pPr>
            <w:r>
              <w:t>November 2013</w:t>
            </w:r>
          </w:p>
        </w:tc>
      </w:tr>
      <w:tr w:rsidR="005C77B9" w:rsidRPr="009C0A9F" w14:paraId="420DCEAE" w14:textId="77777777" w:rsidTr="001A7F25">
        <w:trPr>
          <w:cantSplit/>
          <w:tblHeader w:val="0"/>
        </w:trPr>
        <w:tc>
          <w:tcPr>
            <w:tcW w:w="2601" w:type="dxa"/>
          </w:tcPr>
          <w:p w14:paraId="420DCEA9" w14:textId="77777777" w:rsidR="005C77B9" w:rsidRPr="000958F7" w:rsidRDefault="005C77B9" w:rsidP="001A7F25">
            <w:pPr>
              <w:pStyle w:val="TableTextEntries"/>
              <w:rPr>
                <w:szCs w:val="18"/>
              </w:rPr>
            </w:pPr>
            <w:r w:rsidRPr="0031486B">
              <w:rPr>
                <w:szCs w:val="18"/>
              </w:rPr>
              <w:t>HIV/STI Response Fund</w:t>
            </w:r>
          </w:p>
        </w:tc>
        <w:tc>
          <w:tcPr>
            <w:tcW w:w="2530" w:type="dxa"/>
          </w:tcPr>
          <w:p w14:paraId="420DCEAA" w14:textId="77777777" w:rsidR="005C77B9" w:rsidRPr="00D74E30" w:rsidRDefault="005C77B9" w:rsidP="001A7F25">
            <w:pPr>
              <w:pStyle w:val="TableTextEntries"/>
            </w:pPr>
            <w:r w:rsidRPr="0031486B">
              <w:rPr>
                <w:szCs w:val="18"/>
              </w:rPr>
              <w:t>INH796</w:t>
            </w:r>
          </w:p>
        </w:tc>
        <w:tc>
          <w:tcPr>
            <w:tcW w:w="2612" w:type="dxa"/>
          </w:tcPr>
          <w:p w14:paraId="420DCEAB" w14:textId="77777777" w:rsidR="005C77B9" w:rsidRPr="004F7C97" w:rsidRDefault="005C77B9" w:rsidP="001A7F25">
            <w:pPr>
              <w:pStyle w:val="TableTextEntries"/>
            </w:pPr>
            <w:r>
              <w:t>Independent completion report</w:t>
            </w:r>
          </w:p>
        </w:tc>
        <w:tc>
          <w:tcPr>
            <w:tcW w:w="2612" w:type="dxa"/>
          </w:tcPr>
          <w:p w14:paraId="420DCEAC" w14:textId="77777777" w:rsidR="005C77B9" w:rsidRPr="005E6A1A" w:rsidRDefault="005C77B9" w:rsidP="001A7F25">
            <w:pPr>
              <w:pStyle w:val="TableTextEntries"/>
            </w:pPr>
          </w:p>
        </w:tc>
        <w:tc>
          <w:tcPr>
            <w:tcW w:w="2617" w:type="dxa"/>
          </w:tcPr>
          <w:p w14:paraId="420DCEAD" w14:textId="77777777" w:rsidR="005C77B9" w:rsidRPr="005E6A1A" w:rsidRDefault="005C77B9" w:rsidP="001A7F25">
            <w:pPr>
              <w:pStyle w:val="TableTextEntries"/>
            </w:pPr>
            <w:r>
              <w:t>November 2013</w:t>
            </w:r>
          </w:p>
        </w:tc>
      </w:tr>
      <w:tr w:rsidR="005C77B9" w:rsidRPr="009C0A9F" w14:paraId="420DCEB4" w14:textId="77777777" w:rsidTr="001A7F25">
        <w:trPr>
          <w:cantSplit/>
          <w:tblHeader w:val="0"/>
        </w:trPr>
        <w:tc>
          <w:tcPr>
            <w:tcW w:w="2601" w:type="dxa"/>
          </w:tcPr>
          <w:p w14:paraId="420DCEAF" w14:textId="77777777" w:rsidR="005C77B9" w:rsidRPr="00FE03AF" w:rsidRDefault="005C77B9" w:rsidP="001A7F25">
            <w:pPr>
              <w:pStyle w:val="TableTextEntries"/>
              <w:rPr>
                <w:szCs w:val="18"/>
              </w:rPr>
            </w:pPr>
            <w:r w:rsidRPr="005D557E">
              <w:rPr>
                <w:szCs w:val="18"/>
              </w:rPr>
              <w:t>Australia</w:t>
            </w:r>
            <w:r>
              <w:rPr>
                <w:szCs w:val="18"/>
              </w:rPr>
              <w:t>-Pacific Technical College Stage 2</w:t>
            </w:r>
          </w:p>
        </w:tc>
        <w:tc>
          <w:tcPr>
            <w:tcW w:w="2530" w:type="dxa"/>
          </w:tcPr>
          <w:p w14:paraId="420DCEB0" w14:textId="77777777" w:rsidR="005C77B9" w:rsidRPr="00D74E30" w:rsidRDefault="005C77B9" w:rsidP="001A7F25">
            <w:pPr>
              <w:pStyle w:val="TableTextEntries"/>
            </w:pPr>
            <w:r w:rsidRPr="005D557E">
              <w:rPr>
                <w:szCs w:val="18"/>
              </w:rPr>
              <w:t>INJ862</w:t>
            </w:r>
          </w:p>
        </w:tc>
        <w:tc>
          <w:tcPr>
            <w:tcW w:w="2612" w:type="dxa"/>
          </w:tcPr>
          <w:p w14:paraId="420DCEB1" w14:textId="77777777" w:rsidR="005C77B9" w:rsidRPr="004F7C97" w:rsidRDefault="005C77B9" w:rsidP="001A7F25">
            <w:pPr>
              <w:pStyle w:val="TableTextEntries"/>
            </w:pPr>
            <w:r>
              <w:t>Independent progress report</w:t>
            </w:r>
          </w:p>
        </w:tc>
        <w:tc>
          <w:tcPr>
            <w:tcW w:w="2612" w:type="dxa"/>
          </w:tcPr>
          <w:p w14:paraId="420DCEB2" w14:textId="77777777" w:rsidR="005C77B9" w:rsidRPr="005E6A1A" w:rsidRDefault="005C77B9" w:rsidP="001A7F25">
            <w:pPr>
              <w:pStyle w:val="TableTextEntries"/>
            </w:pPr>
          </w:p>
        </w:tc>
        <w:tc>
          <w:tcPr>
            <w:tcW w:w="2617" w:type="dxa"/>
          </w:tcPr>
          <w:p w14:paraId="420DCEB3" w14:textId="77777777" w:rsidR="005C77B9" w:rsidRPr="005E6A1A" w:rsidRDefault="005C77B9" w:rsidP="001A7F25">
            <w:pPr>
              <w:pStyle w:val="TableTextEntries"/>
            </w:pPr>
            <w:r>
              <w:t>April 2014</w:t>
            </w:r>
          </w:p>
        </w:tc>
      </w:tr>
      <w:tr w:rsidR="005C77B9" w:rsidRPr="009C0A9F" w14:paraId="420DCEBA" w14:textId="77777777" w:rsidTr="001A7F25">
        <w:trPr>
          <w:cantSplit/>
          <w:tblHeader w:val="0"/>
        </w:trPr>
        <w:tc>
          <w:tcPr>
            <w:tcW w:w="2601" w:type="dxa"/>
          </w:tcPr>
          <w:p w14:paraId="420DCEB5" w14:textId="77777777" w:rsidR="005C77B9" w:rsidRPr="005D557E" w:rsidRDefault="005C77B9" w:rsidP="001A7F25">
            <w:pPr>
              <w:pStyle w:val="TableTextEntries"/>
              <w:rPr>
                <w:szCs w:val="18"/>
              </w:rPr>
            </w:pPr>
            <w:r>
              <w:rPr>
                <w:szCs w:val="18"/>
              </w:rPr>
              <w:t xml:space="preserve">Pacific Financial Technical </w:t>
            </w:r>
            <w:r w:rsidRPr="00DE5EF9">
              <w:rPr>
                <w:szCs w:val="18"/>
              </w:rPr>
              <w:t>Assistance Centre</w:t>
            </w:r>
          </w:p>
        </w:tc>
        <w:tc>
          <w:tcPr>
            <w:tcW w:w="2530" w:type="dxa"/>
          </w:tcPr>
          <w:p w14:paraId="420DCEB6" w14:textId="77777777" w:rsidR="005C77B9" w:rsidRPr="00D74E30" w:rsidRDefault="005C77B9" w:rsidP="001A7F25">
            <w:pPr>
              <w:pStyle w:val="TableTextEntries"/>
            </w:pPr>
            <w:r w:rsidRPr="00DE5EF9">
              <w:rPr>
                <w:szCs w:val="18"/>
              </w:rPr>
              <w:t>INC676</w:t>
            </w:r>
          </w:p>
        </w:tc>
        <w:tc>
          <w:tcPr>
            <w:tcW w:w="2612" w:type="dxa"/>
          </w:tcPr>
          <w:p w14:paraId="420DCEB7" w14:textId="77777777" w:rsidR="005C77B9" w:rsidRPr="004F7C97" w:rsidRDefault="005C77B9" w:rsidP="001A7F25">
            <w:pPr>
              <w:pStyle w:val="TableTextEntries"/>
            </w:pPr>
            <w:r>
              <w:t>Independent completion report</w:t>
            </w:r>
          </w:p>
        </w:tc>
        <w:tc>
          <w:tcPr>
            <w:tcW w:w="2612" w:type="dxa"/>
          </w:tcPr>
          <w:p w14:paraId="420DCEB8" w14:textId="77777777" w:rsidR="005C77B9" w:rsidRPr="005E6A1A" w:rsidRDefault="005C77B9" w:rsidP="001A7F25">
            <w:pPr>
              <w:pStyle w:val="TableTextEntries"/>
            </w:pPr>
          </w:p>
        </w:tc>
        <w:tc>
          <w:tcPr>
            <w:tcW w:w="2617" w:type="dxa"/>
          </w:tcPr>
          <w:p w14:paraId="420DCEB9" w14:textId="77777777" w:rsidR="005C77B9" w:rsidRPr="005E6A1A" w:rsidRDefault="005C77B9" w:rsidP="001A7F25">
            <w:pPr>
              <w:pStyle w:val="TableTextEntries"/>
            </w:pPr>
            <w:r>
              <w:t>December 2013</w:t>
            </w:r>
          </w:p>
        </w:tc>
      </w:tr>
      <w:tr w:rsidR="005C77B9" w:rsidRPr="009C0A9F" w14:paraId="420DCEC0" w14:textId="77777777" w:rsidTr="001A7F25">
        <w:trPr>
          <w:cantSplit/>
          <w:tblHeader w:val="0"/>
        </w:trPr>
        <w:tc>
          <w:tcPr>
            <w:tcW w:w="2601" w:type="dxa"/>
          </w:tcPr>
          <w:p w14:paraId="420DCEBB" w14:textId="77777777" w:rsidR="005C77B9" w:rsidRPr="00DE5EF9" w:rsidRDefault="005C77B9" w:rsidP="001A7F25">
            <w:pPr>
              <w:pStyle w:val="TableTextEntries"/>
              <w:rPr>
                <w:szCs w:val="18"/>
              </w:rPr>
            </w:pPr>
            <w:r>
              <w:rPr>
                <w:szCs w:val="18"/>
              </w:rPr>
              <w:t>Review of the Pacific Plan</w:t>
            </w:r>
          </w:p>
        </w:tc>
        <w:tc>
          <w:tcPr>
            <w:tcW w:w="2530" w:type="dxa"/>
          </w:tcPr>
          <w:p w14:paraId="420DCEBC" w14:textId="77777777" w:rsidR="005C77B9" w:rsidRPr="00D74E30" w:rsidRDefault="005C77B9" w:rsidP="001A7F25">
            <w:pPr>
              <w:pStyle w:val="TableTextEntries"/>
            </w:pPr>
          </w:p>
        </w:tc>
        <w:tc>
          <w:tcPr>
            <w:tcW w:w="2612" w:type="dxa"/>
          </w:tcPr>
          <w:p w14:paraId="420DCEBD" w14:textId="77777777" w:rsidR="005C77B9" w:rsidRPr="004F7C97" w:rsidRDefault="005C77B9" w:rsidP="001A7F25">
            <w:pPr>
              <w:pStyle w:val="TableTextEntries"/>
            </w:pPr>
          </w:p>
        </w:tc>
        <w:tc>
          <w:tcPr>
            <w:tcW w:w="2612" w:type="dxa"/>
          </w:tcPr>
          <w:p w14:paraId="420DCEBE" w14:textId="77777777" w:rsidR="005C77B9" w:rsidRPr="005E6A1A" w:rsidRDefault="005C77B9" w:rsidP="001A7F25">
            <w:pPr>
              <w:pStyle w:val="TableTextEntries"/>
            </w:pPr>
          </w:p>
        </w:tc>
        <w:tc>
          <w:tcPr>
            <w:tcW w:w="2617" w:type="dxa"/>
          </w:tcPr>
          <w:p w14:paraId="420DCEBF" w14:textId="77777777" w:rsidR="005C77B9" w:rsidRPr="005E6A1A" w:rsidRDefault="005C77B9" w:rsidP="001A7F25">
            <w:pPr>
              <w:pStyle w:val="TableTextEntries"/>
            </w:pPr>
            <w:r>
              <w:t>September 2013</w:t>
            </w:r>
          </w:p>
        </w:tc>
      </w:tr>
      <w:tr w:rsidR="005C77B9" w:rsidRPr="009C0A9F" w14:paraId="420DCEC6" w14:textId="77777777" w:rsidTr="001A7F25">
        <w:trPr>
          <w:cantSplit/>
          <w:tblHeader w:val="0"/>
        </w:trPr>
        <w:tc>
          <w:tcPr>
            <w:tcW w:w="2601" w:type="dxa"/>
          </w:tcPr>
          <w:p w14:paraId="420DCEC1" w14:textId="77777777" w:rsidR="005C77B9" w:rsidRDefault="005C77B9" w:rsidP="001A7F25">
            <w:pPr>
              <w:pStyle w:val="TableTextEntries"/>
              <w:rPr>
                <w:szCs w:val="18"/>
              </w:rPr>
            </w:pPr>
            <w:r>
              <w:rPr>
                <w:szCs w:val="18"/>
              </w:rPr>
              <w:t xml:space="preserve">Review </w:t>
            </w:r>
            <w:r w:rsidRPr="00160ACC">
              <w:t>of  SPREP</w:t>
            </w:r>
          </w:p>
        </w:tc>
        <w:tc>
          <w:tcPr>
            <w:tcW w:w="2530" w:type="dxa"/>
          </w:tcPr>
          <w:p w14:paraId="420DCEC2" w14:textId="77777777" w:rsidR="005C77B9" w:rsidRPr="00D74E30" w:rsidRDefault="005C77B9" w:rsidP="001A7F25">
            <w:pPr>
              <w:pStyle w:val="TableTextEntries"/>
            </w:pPr>
          </w:p>
        </w:tc>
        <w:tc>
          <w:tcPr>
            <w:tcW w:w="2612" w:type="dxa"/>
          </w:tcPr>
          <w:p w14:paraId="420DCEC3" w14:textId="77777777" w:rsidR="005C77B9" w:rsidRPr="004F7C97" w:rsidRDefault="005C77B9" w:rsidP="001A7F25">
            <w:pPr>
              <w:pStyle w:val="TableTextEntries"/>
            </w:pPr>
          </w:p>
        </w:tc>
        <w:tc>
          <w:tcPr>
            <w:tcW w:w="2612" w:type="dxa"/>
          </w:tcPr>
          <w:p w14:paraId="420DCEC4" w14:textId="77777777" w:rsidR="005C77B9" w:rsidRPr="005E6A1A" w:rsidRDefault="005C77B9" w:rsidP="001A7F25">
            <w:pPr>
              <w:pStyle w:val="TableTextEntries"/>
            </w:pPr>
          </w:p>
        </w:tc>
        <w:tc>
          <w:tcPr>
            <w:tcW w:w="2617" w:type="dxa"/>
          </w:tcPr>
          <w:p w14:paraId="420DCEC5" w14:textId="77777777" w:rsidR="005C77B9" w:rsidRPr="005E6A1A" w:rsidRDefault="005C77B9" w:rsidP="001A7F25">
            <w:pPr>
              <w:pStyle w:val="TableTextEntries"/>
            </w:pPr>
            <w:r>
              <w:t>December 2013</w:t>
            </w:r>
          </w:p>
        </w:tc>
      </w:tr>
    </w:tbl>
    <w:p w14:paraId="420DCEC7" w14:textId="77777777" w:rsidR="005C77B9" w:rsidRDefault="005C77B9" w:rsidP="005C77B9">
      <w:pPr>
        <w:rPr>
          <w:b/>
        </w:rPr>
      </w:pPr>
    </w:p>
    <w:p w14:paraId="420DCEC8" w14:textId="77777777" w:rsidR="005C77B9" w:rsidRDefault="005C77B9" w:rsidP="005C77B9">
      <w:pPr>
        <w:rPr>
          <w:b/>
        </w:rPr>
      </w:pPr>
    </w:p>
    <w:p w14:paraId="420DCEC9" w14:textId="77777777" w:rsidR="005C77B9" w:rsidRPr="00071B95" w:rsidRDefault="005C77B9" w:rsidP="00AC4DE1">
      <w:pPr>
        <w:pStyle w:val="Heading1"/>
        <w:rPr>
          <w:b/>
        </w:rPr>
      </w:pPr>
    </w:p>
    <w:sectPr w:rsidR="005C77B9" w:rsidRPr="00071B95" w:rsidSect="00462CE5">
      <w:headerReference w:type="default" r:id="rId24"/>
      <w:footerReference w:type="default" r:id="rId25"/>
      <w:headerReference w:type="first" r:id="rId26"/>
      <w:footerReference w:type="first" r:id="rId27"/>
      <w:pgSz w:w="11906" w:h="16838" w:code="9"/>
      <w:pgMar w:top="2268" w:right="1701" w:bottom="907" w:left="187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DCED2" w14:textId="77777777" w:rsidR="005247A7" w:rsidRDefault="005247A7" w:rsidP="0050529F">
      <w:r>
        <w:separator/>
      </w:r>
    </w:p>
    <w:p w14:paraId="420DCED3" w14:textId="77777777" w:rsidR="005247A7" w:rsidRDefault="005247A7"/>
    <w:p w14:paraId="420DCED4" w14:textId="77777777" w:rsidR="005247A7" w:rsidRDefault="005247A7"/>
  </w:endnote>
  <w:endnote w:type="continuationSeparator" w:id="0">
    <w:p w14:paraId="420DCED5" w14:textId="77777777" w:rsidR="005247A7" w:rsidRDefault="005247A7" w:rsidP="0050529F">
      <w:r>
        <w:continuationSeparator/>
      </w:r>
    </w:p>
    <w:p w14:paraId="420DCED6" w14:textId="77777777" w:rsidR="005247A7" w:rsidRDefault="005247A7"/>
    <w:p w14:paraId="420DCED7" w14:textId="77777777" w:rsidR="005247A7" w:rsidRDefault="0052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UNFPA-Light">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DA" w14:textId="24A9B4EF" w:rsidR="005247A7" w:rsidRPr="00FB079A" w:rsidRDefault="005247A7" w:rsidP="00FB07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Aid Program Performance Report 2012−13 Pacific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9376" behindDoc="1" locked="0" layoutInCell="1" allowOverlap="1" wp14:anchorId="5A7AAF86" wp14:editId="2FAC851E">
              <wp:simplePos x="0" y="0"/>
              <wp:positionH relativeFrom="column">
                <wp:posOffset>0</wp:posOffset>
              </wp:positionH>
              <wp:positionV relativeFrom="paragraph">
                <wp:posOffset>8498840</wp:posOffset>
              </wp:positionV>
              <wp:extent cx="7379970" cy="2181860"/>
              <wp:effectExtent l="0" t="2540" r="1905" b="0"/>
              <wp:wrapNone/>
              <wp:docPr id="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F5nF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DBeZx&#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8352" behindDoc="1" locked="0" layoutInCell="1" allowOverlap="1" wp14:anchorId="087B96C9" wp14:editId="08544A0E">
              <wp:simplePos x="0" y="0"/>
              <wp:positionH relativeFrom="column">
                <wp:posOffset>0</wp:posOffset>
              </wp:positionH>
              <wp:positionV relativeFrom="paragraph">
                <wp:posOffset>8498840</wp:posOffset>
              </wp:positionV>
              <wp:extent cx="7379970" cy="2181860"/>
              <wp:effectExtent l="0" t="2540" r="1905" b="0"/>
              <wp:wrapNone/>
              <wp:docPr id="10"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GMEFi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MoGMEFi&#10;AwAAHQ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DC" w14:textId="174AB3D1" w:rsidR="005247A7" w:rsidRPr="00FB079A" w:rsidRDefault="005247A7" w:rsidP="00FB07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Aid Program Performance Report 2012−13 Pacific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6304" behindDoc="1" locked="0" layoutInCell="1" allowOverlap="1" wp14:anchorId="3E18EB3D" wp14:editId="5D0554AE">
              <wp:simplePos x="0" y="0"/>
              <wp:positionH relativeFrom="column">
                <wp:posOffset>0</wp:posOffset>
              </wp:positionH>
              <wp:positionV relativeFrom="paragraph">
                <wp:posOffset>8498840</wp:posOffset>
              </wp:positionV>
              <wp:extent cx="7379970" cy="2181860"/>
              <wp:effectExtent l="0" t="2540" r="1905" b="0"/>
              <wp:wrapNone/>
              <wp:docPr id="19"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TB/Fi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JkTB/Fi&#10;AwAAHA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5280" behindDoc="1" locked="0" layoutInCell="1" allowOverlap="1" wp14:anchorId="308E8907" wp14:editId="672BA802">
              <wp:simplePos x="0" y="0"/>
              <wp:positionH relativeFrom="column">
                <wp:posOffset>0</wp:posOffset>
              </wp:positionH>
              <wp:positionV relativeFrom="paragraph">
                <wp:posOffset>8498840</wp:posOffset>
              </wp:positionV>
              <wp:extent cx="7379970" cy="2181860"/>
              <wp:effectExtent l="0" t="2540" r="1905" b="0"/>
              <wp:wrapNone/>
              <wp:docPr id="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YZMl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lAMxxh0FXpvwI4yHMNdoeXTLxw0a+B4Rxiyg&#10;RyeEgedgXA1qn80nG4g486Tp7w4pve5ALV9aq4eOEwZe5OF8enMhCA6uov3wo2ZgDjl6HdG+trYP&#10;CgEaeo0RfLtEkL96RGFxMV1U1QLMprA3ycu8nMcYp6Q+XzfW+R+47lGYNNiCt1E9eXlyPphD6vOR&#10;8NpeCrMTUiJmIJqg2Wr/m/BdjE1YOB86RQdY/XMOj3HfaHrsufJjIlsuScDrOmEcPFPzfs8hLvaR&#10;RUxA0tIQm5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cFuOevBXst7K8Foiio&#10;arAHIHG69iDB/aOx4tDBS3l0W+kldJtWxD4QOtFoFdgfBGjB0ZNTrws9/lqOp97/1B6+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tmGTJ&#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5040" behindDoc="1" locked="0" layoutInCell="1" allowOverlap="1" wp14:anchorId="420DCEF5" wp14:editId="420DCEF6">
              <wp:simplePos x="0" y="0"/>
              <wp:positionH relativeFrom="column">
                <wp:posOffset>0</wp:posOffset>
              </wp:positionH>
              <wp:positionV relativeFrom="paragraph">
                <wp:posOffset>8498840</wp:posOffset>
              </wp:positionV>
              <wp:extent cx="7379970" cy="2181860"/>
              <wp:effectExtent l="0" t="2540" r="1905" b="0"/>
              <wp:wrapNone/>
              <wp:docPr id="40" name="Rectangle 4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alt="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Caw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5AmsC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3"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4016" behindDoc="1" locked="0" layoutInCell="1" allowOverlap="1" wp14:anchorId="420DCEF7" wp14:editId="420DCEF8">
              <wp:simplePos x="0" y="0"/>
              <wp:positionH relativeFrom="column">
                <wp:posOffset>0</wp:posOffset>
              </wp:positionH>
              <wp:positionV relativeFrom="paragraph">
                <wp:posOffset>8498840</wp:posOffset>
              </wp:positionV>
              <wp:extent cx="7379970" cy="2181860"/>
              <wp:effectExtent l="0" t="2540" r="1905" b="0"/>
              <wp:wrapNone/>
              <wp:docPr id="41" name="Rectangle 4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alt="AusAID web address graphic" style="position:absolute;margin-left:0;margin-top:669.2pt;width:581.1pt;height:17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phm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qmGZ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3" o:title="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98FD" w14:textId="41FA817F" w:rsidR="005247A7" w:rsidRPr="00FB079A" w:rsidRDefault="005247A7" w:rsidP="00FB079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Aid Program Performance Report 2012−13 Pacific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28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8592" behindDoc="1" locked="0" layoutInCell="1" allowOverlap="1" wp14:anchorId="295D2557" wp14:editId="756E545E">
              <wp:simplePos x="0" y="0"/>
              <wp:positionH relativeFrom="column">
                <wp:posOffset>0</wp:posOffset>
              </wp:positionH>
              <wp:positionV relativeFrom="paragraph">
                <wp:posOffset>8498840</wp:posOffset>
              </wp:positionV>
              <wp:extent cx="7379970" cy="2181860"/>
              <wp:effectExtent l="0" t="2540" r="1905" b="0"/>
              <wp:wrapNone/>
              <wp:docPr id="2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wnj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ILCe&#10;M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57568" behindDoc="1" locked="0" layoutInCell="1" allowOverlap="1" wp14:anchorId="24A78B38" wp14:editId="4A949A91">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DE" w14:textId="77777777" w:rsidR="005247A7" w:rsidRPr="00B7752F" w:rsidRDefault="005247A7" w:rsidP="00B7752F">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726848" behindDoc="1" locked="1" layoutInCell="1" allowOverlap="1" wp14:anchorId="420DCEF9" wp14:editId="420DCEFA">
              <wp:simplePos x="0" y="0"/>
              <wp:positionH relativeFrom="page">
                <wp:posOffset>0</wp:posOffset>
              </wp:positionH>
              <wp:positionV relativeFrom="page">
                <wp:posOffset>8533130</wp:posOffset>
              </wp:positionV>
              <wp:extent cx="7380000" cy="2181600"/>
              <wp:effectExtent l="0" t="0" r="0" b="9525"/>
              <wp:wrapNone/>
              <wp:docPr id="33" name="Rectangle 3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alt="AusAID web address graphic" style="position:absolute;margin-left:0;margin-top:671.9pt;width:581.1pt;height:171.8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JPt+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iok+36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Pacific Regional</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29</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725824" behindDoc="1" locked="0" layoutInCell="1" allowOverlap="1" wp14:anchorId="420DCEFB" wp14:editId="420DCEFC">
              <wp:simplePos x="0" y="0"/>
              <wp:positionH relativeFrom="column">
                <wp:posOffset>0</wp:posOffset>
              </wp:positionH>
              <wp:positionV relativeFrom="paragraph">
                <wp:posOffset>8498840</wp:posOffset>
              </wp:positionV>
              <wp:extent cx="7379970" cy="2181860"/>
              <wp:effectExtent l="0" t="2540" r="1905" b="0"/>
              <wp:wrapNone/>
              <wp:docPr id="34" name="Rectangle 3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alt="AusAID web address graphic" style="position:absolute;margin-left:0;margin-top:669.2pt;width:581.1pt;height:17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v/Wu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h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Ba/9a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4800" behindDoc="1" locked="0" layoutInCell="1" allowOverlap="1" wp14:anchorId="420DCEFD" wp14:editId="420DCEFE">
              <wp:simplePos x="0" y="0"/>
              <wp:positionH relativeFrom="column">
                <wp:posOffset>0</wp:posOffset>
              </wp:positionH>
              <wp:positionV relativeFrom="paragraph">
                <wp:posOffset>8498840</wp:posOffset>
              </wp:positionV>
              <wp:extent cx="7379970" cy="2181860"/>
              <wp:effectExtent l="0" t="2540" r="1905" b="0"/>
              <wp:wrapNone/>
              <wp:docPr id="35" name="Rectangle 3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alt="AusAID web address graphic" style="position:absolute;margin-left:0;margin-top:669.2pt;width:581.1pt;height:17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EE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iI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ogQQ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1" w14:textId="17992CE7" w:rsidR="005247A7" w:rsidRPr="00FB079A" w:rsidRDefault="005247A7" w:rsidP="00FB079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Aid Program Performance Report 2012−13 Pacific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35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5520" behindDoc="1" locked="0" layoutInCell="1" allowOverlap="1" wp14:anchorId="3A61C72B" wp14:editId="542290EA">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54496" behindDoc="1" locked="0" layoutInCell="1" allowOverlap="1" wp14:anchorId="4D1E481C" wp14:editId="1DC1319E">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3" w14:textId="77777777" w:rsidR="005247A7" w:rsidRPr="004C4A3E" w:rsidRDefault="005247A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5104" behindDoc="1" locked="1" layoutInCell="1" allowOverlap="1" wp14:anchorId="420DCF05" wp14:editId="420DCF06">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Pacific Regional</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30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4080" behindDoc="1" locked="0" layoutInCell="1" allowOverlap="1" wp14:anchorId="420DCF07" wp14:editId="420DCF08">
              <wp:simplePos x="0" y="0"/>
              <wp:positionH relativeFrom="column">
                <wp:posOffset>0</wp:posOffset>
              </wp:positionH>
              <wp:positionV relativeFrom="paragraph">
                <wp:posOffset>8498840</wp:posOffset>
              </wp:positionV>
              <wp:extent cx="7379970" cy="2181860"/>
              <wp:effectExtent l="0" t="2540" r="1905" b="0"/>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YQa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0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f1mEG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3056" behindDoc="1" locked="0" layoutInCell="1" allowOverlap="1" wp14:anchorId="420DCF09" wp14:editId="420DCF0A">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6" w14:textId="7CEE59AE" w:rsidR="005247A7" w:rsidRPr="00FB079A" w:rsidRDefault="005247A7" w:rsidP="00FB07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Aid Program Performance Report 2012−13 Pacific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86FAD">
      <w:rPr>
        <w:rFonts w:ascii="Franklin Gothic Medium" w:eastAsia="Times New Roman" w:hAnsi="Franklin Gothic Medium"/>
        <w:noProof/>
        <w:sz w:val="14"/>
        <w:szCs w:val="14"/>
      </w:rPr>
      <w:t>38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2448" behindDoc="1" locked="0" layoutInCell="1" allowOverlap="1" wp14:anchorId="56E4C5A6" wp14:editId="217F44A1">
              <wp:simplePos x="0" y="0"/>
              <wp:positionH relativeFrom="column">
                <wp:posOffset>0</wp:posOffset>
              </wp:positionH>
              <wp:positionV relativeFrom="paragraph">
                <wp:posOffset>8498840</wp:posOffset>
              </wp:positionV>
              <wp:extent cx="7379970" cy="2181860"/>
              <wp:effectExtent l="0" t="2540" r="1905" b="0"/>
              <wp:wrapNone/>
              <wp:docPr id="1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8aC5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SvGg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51424" behindDoc="1" locked="0" layoutInCell="1" allowOverlap="1" wp14:anchorId="2A78875E" wp14:editId="6CEDE16F">
              <wp:simplePos x="0" y="0"/>
              <wp:positionH relativeFrom="column">
                <wp:posOffset>0</wp:posOffset>
              </wp:positionH>
              <wp:positionV relativeFrom="paragraph">
                <wp:posOffset>8498840</wp:posOffset>
              </wp:positionV>
              <wp:extent cx="7379970" cy="2181860"/>
              <wp:effectExtent l="0" t="2540" r="1905" b="0"/>
              <wp:wrapNone/>
              <wp:docPr id="1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lWhB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2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3aVa&#10;E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8" w14:textId="77777777" w:rsidR="005247A7" w:rsidRPr="004C4A3E" w:rsidRDefault="005247A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8176" behindDoc="1" locked="1" layoutInCell="1" allowOverlap="1" wp14:anchorId="420DCF15" wp14:editId="420DCF16">
              <wp:simplePos x="0" y="0"/>
              <wp:positionH relativeFrom="page">
                <wp:posOffset>0</wp:posOffset>
              </wp:positionH>
              <wp:positionV relativeFrom="page">
                <wp:posOffset>8533130</wp:posOffset>
              </wp:positionV>
              <wp:extent cx="7380000" cy="2181600"/>
              <wp:effectExtent l="0" t="0" r="0" b="9525"/>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71.9pt;width:581.1pt;height:171.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oZP+m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Juhk/6YDAADb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Pacific Regional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37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7152" behindDoc="1" locked="0" layoutInCell="1" allowOverlap="1" wp14:anchorId="420DCF17" wp14:editId="420DCF18">
              <wp:simplePos x="0" y="0"/>
              <wp:positionH relativeFrom="column">
                <wp:posOffset>0</wp:posOffset>
              </wp:positionH>
              <wp:positionV relativeFrom="paragraph">
                <wp:posOffset>8498840</wp:posOffset>
              </wp:positionV>
              <wp:extent cx="7379970" cy="2181860"/>
              <wp:effectExtent l="0" t="2540" r="1905" b="0"/>
              <wp:wrapNone/>
              <wp:docPr id="12" name="Rectangle 1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AusAID web address graphic" style="position:absolute;margin-left:0;margin-top:669.2pt;width:581.1pt;height:17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nTHu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W50x7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6128" behindDoc="1" locked="0" layoutInCell="1" allowOverlap="1" wp14:anchorId="420DCF19" wp14:editId="420DCF1A">
              <wp:simplePos x="0" y="0"/>
              <wp:positionH relativeFrom="column">
                <wp:posOffset>0</wp:posOffset>
              </wp:positionH>
              <wp:positionV relativeFrom="paragraph">
                <wp:posOffset>8498840</wp:posOffset>
              </wp:positionV>
              <wp:extent cx="7379970" cy="2181860"/>
              <wp:effectExtent l="0" t="2540" r="1905" b="0"/>
              <wp:wrapNone/>
              <wp:docPr id="13" name="Rectangle 1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AusAID web address graphic" style="position:absolute;margin-left:0;margin-top:669.2pt;width:581.1pt;height:17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MoR+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xTKEf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DCECC" w14:textId="77777777" w:rsidR="005247A7" w:rsidRDefault="005247A7" w:rsidP="0050529F">
      <w:r>
        <w:separator/>
      </w:r>
    </w:p>
    <w:p w14:paraId="420DCECD" w14:textId="77777777" w:rsidR="005247A7" w:rsidRDefault="005247A7"/>
    <w:p w14:paraId="420DCECE" w14:textId="77777777" w:rsidR="005247A7" w:rsidRDefault="005247A7"/>
  </w:footnote>
  <w:footnote w:type="continuationSeparator" w:id="0">
    <w:p w14:paraId="420DCECF" w14:textId="77777777" w:rsidR="005247A7" w:rsidRDefault="005247A7" w:rsidP="0050529F">
      <w:r>
        <w:continuationSeparator/>
      </w:r>
    </w:p>
    <w:p w14:paraId="420DCED0" w14:textId="77777777" w:rsidR="005247A7" w:rsidRDefault="005247A7"/>
    <w:p w14:paraId="420DCED1" w14:textId="77777777" w:rsidR="005247A7" w:rsidRDefault="005247A7"/>
  </w:footnote>
  <w:footnote w:id="1">
    <w:p w14:paraId="420DCF1B" w14:textId="1D4EEA98" w:rsidR="005247A7" w:rsidRDefault="005247A7">
      <w:pPr>
        <w:pStyle w:val="FootnoteText"/>
      </w:pPr>
      <w:r>
        <w:rPr>
          <w:rStyle w:val="FootnoteReference"/>
        </w:rPr>
        <w:footnoteRef/>
      </w:r>
      <w:r>
        <w:t xml:space="preserve"> In November 2013 AusAID was integrated into the Department of Foreign Affairs and Trade (DFAT). </w:t>
      </w:r>
    </w:p>
  </w:footnote>
  <w:footnote w:id="2">
    <w:p w14:paraId="420DCF1C" w14:textId="03CC62EC" w:rsidR="005247A7" w:rsidRDefault="005247A7" w:rsidP="008F4C57">
      <w:pPr>
        <w:pStyle w:val="FootnoteText"/>
      </w:pPr>
      <w:r>
        <w:rPr>
          <w:rStyle w:val="FootnoteReference"/>
        </w:rPr>
        <w:footnoteRef/>
      </w:r>
      <w:r>
        <w:t xml:space="preserve"> Annex B includes individual assessments of initiatives valued at more than $3 million through the Quality at Implementation (QAI) reporting process.</w:t>
      </w:r>
    </w:p>
  </w:footnote>
  <w:footnote w:id="3">
    <w:p w14:paraId="420DCF1D" w14:textId="77777777" w:rsidR="005247A7" w:rsidRPr="008D1452" w:rsidRDefault="005247A7" w:rsidP="00CF6793">
      <w:pPr>
        <w:pStyle w:val="FootnoteText"/>
        <w:rPr>
          <w:sz w:val="14"/>
          <w:szCs w:val="14"/>
        </w:rPr>
      </w:pPr>
      <w:r>
        <w:rPr>
          <w:rStyle w:val="FootnoteReference"/>
        </w:rPr>
        <w:footnoteRef/>
      </w:r>
      <w:r>
        <w:rPr>
          <w:rStyle w:val="FootnoteTextChar"/>
        </w:rPr>
        <w:t xml:space="preserve"> </w:t>
      </w:r>
      <w:r w:rsidRPr="00CF6793">
        <w:rPr>
          <w:rStyle w:val="FootnoteTextChar"/>
        </w:rPr>
        <w:t xml:space="preserve">The new strategy will replace the interim Pacific regional strategy, </w:t>
      </w:r>
      <w:r w:rsidRPr="00CF6793">
        <w:rPr>
          <w:rStyle w:val="FootnoteTextChar"/>
          <w:i/>
        </w:rPr>
        <w:t>Regional aid program to the Pacific 2011–2015</w:t>
      </w:r>
      <w:r w:rsidRPr="00CF6793">
        <w:rPr>
          <w:rStyle w:val="FootnoteTextChar"/>
        </w:rPr>
        <w:t>, which has two objectives: (i) investing in activities that promote: regional cooperation; regional provision of public goods and services; and regional integration, in line with the Pacific Plan; and (ii) improving the effectiveness of PROs in delivering regional services and activities.</w:t>
      </w:r>
    </w:p>
  </w:footnote>
  <w:footnote w:id="4">
    <w:p w14:paraId="420DCF1E" w14:textId="77777777" w:rsidR="005247A7" w:rsidRDefault="005247A7" w:rsidP="008F4C57">
      <w:pPr>
        <w:pStyle w:val="FootnoteText"/>
      </w:pPr>
      <w:r w:rsidRPr="00623B70">
        <w:rPr>
          <w:rStyle w:val="FootnoteReference"/>
          <w:szCs w:val="14"/>
        </w:rPr>
        <w:footnoteRef/>
      </w:r>
      <w:r w:rsidRPr="00623B70">
        <w:rPr>
          <w:szCs w:val="14"/>
        </w:rPr>
        <w:t xml:space="preserve"> </w:t>
      </w:r>
      <w:r>
        <w:t xml:space="preserve">The Pacific Plan is the master strategy for strengthening regional cooperation and integration in the Pacific. </w:t>
      </w:r>
      <w:hyperlink r:id="rId1" w:history="1">
        <w:r w:rsidRPr="00C65686">
          <w:rPr>
            <w:rStyle w:val="Hyperlink"/>
            <w:sz w:val="14"/>
          </w:rPr>
          <w:t>http://www.pacificplanreview.org/pacific-plan/</w:t>
        </w:r>
      </w:hyperlink>
      <w:r>
        <w:t xml:space="preserve">   </w:t>
      </w:r>
    </w:p>
  </w:footnote>
  <w:footnote w:id="5">
    <w:p w14:paraId="225B57C8" w14:textId="24D530DA" w:rsidR="00E86FAD" w:rsidRDefault="00E86FAD">
      <w:pPr>
        <w:pStyle w:val="FootnoteText"/>
      </w:pPr>
      <w:r>
        <w:rPr>
          <w:rStyle w:val="FootnoteReference"/>
        </w:rPr>
        <w:footnoteRef/>
      </w:r>
      <w:r>
        <w:t xml:space="preserve"> </w:t>
      </w:r>
      <w:r>
        <w:t>Prior to 2012-13 Aid Program Performance Reports were called Annual Program Performance Reports</w:t>
      </w:r>
    </w:p>
  </w:footnote>
  <w:footnote w:id="6">
    <w:p w14:paraId="420DCF1F" w14:textId="77777777" w:rsidR="005247A7" w:rsidRPr="00623B70" w:rsidRDefault="005247A7" w:rsidP="008F4C57">
      <w:pPr>
        <w:pStyle w:val="FootnoteText"/>
        <w:rPr>
          <w:szCs w:val="14"/>
        </w:rPr>
      </w:pPr>
      <w:r w:rsidRPr="00623B70">
        <w:rPr>
          <w:rStyle w:val="FootnoteReference"/>
          <w:szCs w:val="14"/>
        </w:rPr>
        <w:footnoteRef/>
      </w:r>
      <w:r w:rsidRPr="00623B70">
        <w:rPr>
          <w:szCs w:val="14"/>
        </w:rPr>
        <w:t xml:space="preserve"> Regional public goods are defined as goods and services most effectively and efficiently conducted on a regional basis.</w:t>
      </w:r>
    </w:p>
  </w:footnote>
  <w:footnote w:id="7">
    <w:p w14:paraId="420DCF20" w14:textId="77777777" w:rsidR="005247A7" w:rsidRPr="001401EA" w:rsidRDefault="005247A7" w:rsidP="00C9090E">
      <w:pPr>
        <w:pStyle w:val="FootnoteText"/>
        <w:rPr>
          <w:szCs w:val="14"/>
        </w:rPr>
      </w:pPr>
      <w:r w:rsidRPr="001401EA">
        <w:rPr>
          <w:rStyle w:val="FootnoteReference"/>
          <w:szCs w:val="14"/>
        </w:rPr>
        <w:footnoteRef/>
      </w:r>
      <w:r w:rsidRPr="001401EA">
        <w:rPr>
          <w:szCs w:val="14"/>
        </w:rPr>
        <w:t xml:space="preserve">  2012 Pacific MDG Tracking Report</w:t>
      </w:r>
      <w:r>
        <w:rPr>
          <w:szCs w:val="14"/>
        </w:rPr>
        <w:t>—</w:t>
      </w:r>
      <w:r w:rsidRPr="001401EA">
        <w:rPr>
          <w:szCs w:val="14"/>
        </w:rPr>
        <w:t>2.6 million people in the region live below the Basic Needs Poverty Line, 2 million</w:t>
      </w:r>
      <w:r>
        <w:rPr>
          <w:szCs w:val="14"/>
        </w:rPr>
        <w:t xml:space="preserve"> of these live</w:t>
      </w:r>
      <w:r w:rsidRPr="001401EA">
        <w:rPr>
          <w:szCs w:val="14"/>
        </w:rPr>
        <w:t xml:space="preserve"> in PNG. Other </w:t>
      </w:r>
      <w:r>
        <w:rPr>
          <w:szCs w:val="14"/>
        </w:rPr>
        <w:t>P</w:t>
      </w:r>
      <w:r w:rsidRPr="001401EA">
        <w:rPr>
          <w:szCs w:val="14"/>
        </w:rPr>
        <w:t>ICs account for roughly 0.6 million of the poor.</w:t>
      </w:r>
    </w:p>
  </w:footnote>
  <w:footnote w:id="8">
    <w:p w14:paraId="420DCF21" w14:textId="77777777" w:rsidR="005247A7" w:rsidRPr="001401EA" w:rsidRDefault="005247A7" w:rsidP="00C9090E">
      <w:pPr>
        <w:pStyle w:val="FootnoteText"/>
        <w:rPr>
          <w:szCs w:val="14"/>
        </w:rPr>
      </w:pPr>
      <w:r w:rsidRPr="001401EA">
        <w:rPr>
          <w:rStyle w:val="FootnoteReference"/>
          <w:szCs w:val="14"/>
        </w:rPr>
        <w:footnoteRef/>
      </w:r>
      <w:r w:rsidRPr="001401EA">
        <w:rPr>
          <w:szCs w:val="14"/>
        </w:rPr>
        <w:t xml:space="preserve"> </w:t>
      </w:r>
      <w:proofErr w:type="gramStart"/>
      <w:r>
        <w:rPr>
          <w:szCs w:val="14"/>
        </w:rPr>
        <w:t xml:space="preserve">E </w:t>
      </w:r>
      <w:r w:rsidRPr="001401EA">
        <w:rPr>
          <w:szCs w:val="14"/>
        </w:rPr>
        <w:t xml:space="preserve">Ellsberg, </w:t>
      </w:r>
      <w:r>
        <w:rPr>
          <w:szCs w:val="14"/>
        </w:rPr>
        <w:t xml:space="preserve">B </w:t>
      </w:r>
      <w:proofErr w:type="spellStart"/>
      <w:r w:rsidRPr="001401EA">
        <w:rPr>
          <w:szCs w:val="14"/>
        </w:rPr>
        <w:t>Heilman</w:t>
      </w:r>
      <w:proofErr w:type="spellEnd"/>
      <w:r w:rsidRPr="001401EA">
        <w:rPr>
          <w:szCs w:val="14"/>
        </w:rPr>
        <w:t xml:space="preserve">, </w:t>
      </w:r>
      <w:r>
        <w:rPr>
          <w:szCs w:val="14"/>
        </w:rPr>
        <w:t xml:space="preserve">S </w:t>
      </w:r>
      <w:proofErr w:type="spellStart"/>
      <w:r w:rsidRPr="001401EA">
        <w:rPr>
          <w:szCs w:val="14"/>
        </w:rPr>
        <w:t>Namy</w:t>
      </w:r>
      <w:proofErr w:type="spellEnd"/>
      <w:r>
        <w:rPr>
          <w:szCs w:val="14"/>
        </w:rPr>
        <w:t>, M</w:t>
      </w:r>
      <w:r w:rsidRPr="001401EA">
        <w:rPr>
          <w:szCs w:val="14"/>
        </w:rPr>
        <w:t xml:space="preserve"> Contreras and</w:t>
      </w:r>
      <w:r>
        <w:rPr>
          <w:szCs w:val="14"/>
        </w:rPr>
        <w:t xml:space="preserve"> R</w:t>
      </w:r>
      <w:r w:rsidRPr="001401EA">
        <w:rPr>
          <w:szCs w:val="14"/>
        </w:rPr>
        <w:t xml:space="preserve"> Hayes (2012).</w:t>
      </w:r>
      <w:proofErr w:type="gramEnd"/>
      <w:r w:rsidRPr="001401EA">
        <w:rPr>
          <w:szCs w:val="14"/>
        </w:rPr>
        <w:t xml:space="preserve"> </w:t>
      </w:r>
      <w:r w:rsidRPr="001401EA">
        <w:rPr>
          <w:i/>
          <w:szCs w:val="14"/>
        </w:rPr>
        <w:t>Violence against Women in Melanesia and Timor-Leste: Progress Made Since the 2008 Office of Development Effectiveness Report</w:t>
      </w:r>
      <w:r w:rsidRPr="001401EA">
        <w:rPr>
          <w:szCs w:val="14"/>
        </w:rPr>
        <w:t>, I</w:t>
      </w:r>
      <w:r>
        <w:rPr>
          <w:szCs w:val="14"/>
        </w:rPr>
        <w:t>nternational Centre for Research on Women</w:t>
      </w:r>
      <w:r w:rsidRPr="001401EA">
        <w:rPr>
          <w:szCs w:val="14"/>
        </w:rPr>
        <w:t>, p. viii.</w:t>
      </w:r>
    </w:p>
  </w:footnote>
  <w:footnote w:id="9">
    <w:p w14:paraId="420DCF22" w14:textId="77777777" w:rsidR="005247A7" w:rsidRPr="001401EA" w:rsidRDefault="005247A7" w:rsidP="00C9090E">
      <w:pPr>
        <w:pStyle w:val="FootnoteText"/>
        <w:rPr>
          <w:szCs w:val="14"/>
        </w:rPr>
      </w:pPr>
      <w:r w:rsidRPr="001401EA">
        <w:rPr>
          <w:rStyle w:val="FootnoteReference"/>
          <w:szCs w:val="14"/>
        </w:rPr>
        <w:footnoteRef/>
      </w:r>
      <w:r w:rsidRPr="001401EA">
        <w:rPr>
          <w:szCs w:val="14"/>
        </w:rPr>
        <w:t xml:space="preserve"> </w:t>
      </w:r>
      <w:hyperlink r:id="rId2" w:history="1">
        <w:r w:rsidRPr="004E0937">
          <w:rPr>
            <w:rStyle w:val="Hyperlink"/>
            <w:sz w:val="16"/>
            <w:szCs w:val="14"/>
          </w:rPr>
          <w:t>http://www.ipu.org/wmn-e/world.htm</w:t>
        </w:r>
      </w:hyperlink>
      <w:r>
        <w:rPr>
          <w:szCs w:val="14"/>
        </w:rPr>
        <w:t xml:space="preserve"> </w:t>
      </w:r>
    </w:p>
  </w:footnote>
  <w:footnote w:id="10">
    <w:p w14:paraId="420DCF23" w14:textId="77777777" w:rsidR="005247A7" w:rsidRPr="001401EA" w:rsidRDefault="005247A7" w:rsidP="00C9090E">
      <w:pPr>
        <w:pStyle w:val="FootnoteText"/>
        <w:rPr>
          <w:szCs w:val="14"/>
        </w:rPr>
      </w:pPr>
      <w:r w:rsidRPr="001401EA">
        <w:rPr>
          <w:rStyle w:val="FootnoteReference"/>
          <w:szCs w:val="14"/>
        </w:rPr>
        <w:footnoteRef/>
      </w:r>
      <w:r w:rsidRPr="001401EA">
        <w:rPr>
          <w:szCs w:val="14"/>
        </w:rPr>
        <w:t xml:space="preserve"> </w:t>
      </w:r>
      <w:hyperlink r:id="rId3" w:history="1">
        <w:r w:rsidRPr="004E0937">
          <w:rPr>
            <w:rStyle w:val="Hyperlink"/>
            <w:sz w:val="16"/>
            <w:szCs w:val="14"/>
          </w:rPr>
          <w:t>http://www.pacwip.org/women-mps/national-women-mps/</w:t>
        </w:r>
      </w:hyperlink>
      <w:r>
        <w:rPr>
          <w:szCs w:val="14"/>
        </w:rPr>
        <w:t xml:space="preserve"> </w:t>
      </w:r>
    </w:p>
  </w:footnote>
  <w:footnote w:id="11">
    <w:p w14:paraId="420DCF24" w14:textId="77777777" w:rsidR="005247A7" w:rsidRDefault="005247A7">
      <w:pPr>
        <w:pStyle w:val="FootnoteText"/>
      </w:pPr>
      <w:r>
        <w:rPr>
          <w:rStyle w:val="FootnoteReference"/>
        </w:rPr>
        <w:footnoteRef/>
      </w:r>
      <w:r>
        <w:t>Approximately $62</w:t>
      </w:r>
      <w:r w:rsidRPr="00A46233">
        <w:t xml:space="preserve"> million</w:t>
      </w:r>
      <w:r>
        <w:t xml:space="preserve"> was</w:t>
      </w:r>
      <w:r w:rsidRPr="00A46233">
        <w:t xml:space="preserve"> provided</w:t>
      </w:r>
      <w:r>
        <w:t xml:space="preserve"> to PROs (SPC, Pacific Island Forum Secretariat</w:t>
      </w:r>
      <w:r w:rsidRPr="00605392">
        <w:t>, USP, FFA and SPREP) in</w:t>
      </w:r>
      <w:r w:rsidRPr="00A46233">
        <w:t xml:space="preserve"> 2012</w:t>
      </w:r>
      <w:r>
        <w:t>–13</w:t>
      </w:r>
      <w:r w:rsidRPr="00A46233">
        <w:t>.</w:t>
      </w:r>
    </w:p>
  </w:footnote>
  <w:footnote w:id="12">
    <w:p w14:paraId="420DCF25" w14:textId="77777777" w:rsidR="005247A7" w:rsidRDefault="005247A7" w:rsidP="00B2767A">
      <w:pPr>
        <w:pStyle w:val="FootnoteText"/>
      </w:pPr>
      <w:r>
        <w:rPr>
          <w:rStyle w:val="FootnoteReference"/>
        </w:rPr>
        <w:footnoteRef/>
      </w:r>
      <w:r>
        <w:t xml:space="preserve"> </w:t>
      </w:r>
      <w:proofErr w:type="gramStart"/>
      <w:r>
        <w:t>I</w:t>
      </w:r>
      <w:r w:rsidRPr="001C7642">
        <w:t>ncluding the establishment of an audit and risk committee, development of a communications strategy</w:t>
      </w:r>
      <w:r>
        <w:t>,</w:t>
      </w:r>
      <w:r w:rsidRPr="001C7642">
        <w:t xml:space="preserve"> improvements to </w:t>
      </w:r>
      <w:r>
        <w:t>information and communications technology</w:t>
      </w:r>
      <w:r w:rsidRPr="001C7642">
        <w:t xml:space="preserve"> systems and business continuity planning</w:t>
      </w:r>
      <w:r>
        <w:t>.</w:t>
      </w:r>
      <w:proofErr w:type="gramEnd"/>
    </w:p>
  </w:footnote>
  <w:footnote w:id="13">
    <w:p w14:paraId="420DCF26" w14:textId="77777777" w:rsidR="005247A7" w:rsidRDefault="005247A7" w:rsidP="00B2767A">
      <w:pPr>
        <w:pStyle w:val="FootnoteText"/>
      </w:pPr>
      <w:r>
        <w:rPr>
          <w:rStyle w:val="FootnoteReference"/>
        </w:rPr>
        <w:footnoteRef/>
      </w:r>
      <w:r>
        <w:t xml:space="preserve"> </w:t>
      </w:r>
      <w:r w:rsidRPr="001C7642">
        <w:t>Reforms underway include a new organisational structure, strengthened Director General’s Office, enhanced recruitment processes (with several key senior a</w:t>
      </w:r>
      <w:r>
        <w:t>ppointments approved in 2012–</w:t>
      </w:r>
      <w:r w:rsidRPr="001C7642">
        <w:t xml:space="preserve">13) and the establishment of a Management Advisory Group and </w:t>
      </w:r>
      <w:r>
        <w:t>a</w:t>
      </w:r>
      <w:r w:rsidRPr="001C7642">
        <w:t xml:space="preserve">udit and </w:t>
      </w:r>
      <w:r>
        <w:t>r</w:t>
      </w:r>
      <w:r w:rsidRPr="001C7642">
        <w:t xml:space="preserve">isk </w:t>
      </w:r>
      <w:r>
        <w:t>c</w:t>
      </w:r>
      <w:r w:rsidRPr="001C7642">
        <w:t>ommittees.</w:t>
      </w:r>
    </w:p>
  </w:footnote>
  <w:footnote w:id="14">
    <w:p w14:paraId="420DCF27" w14:textId="77777777" w:rsidR="005247A7" w:rsidRPr="0090035E" w:rsidRDefault="005247A7">
      <w:pPr>
        <w:pStyle w:val="FootnoteText"/>
        <w:rPr>
          <w:szCs w:val="16"/>
        </w:rPr>
      </w:pPr>
      <w:r>
        <w:rPr>
          <w:rStyle w:val="FootnoteReference"/>
        </w:rPr>
        <w:footnoteRef/>
      </w:r>
      <w:r>
        <w:t xml:space="preserve"> </w:t>
      </w:r>
      <w:r w:rsidRPr="0090035E">
        <w:rPr>
          <w:szCs w:val="16"/>
        </w:rPr>
        <w:t xml:space="preserve">The Forum Compact on Strengthening Development Coordination in the Pacific is a development compact which was agreed by Leaders and endorsed by key development partners at the </w:t>
      </w:r>
      <w:hyperlink r:id="rId4" w:history="1">
        <w:r w:rsidRPr="0090035E">
          <w:rPr>
            <w:szCs w:val="16"/>
          </w:rPr>
          <w:t>Pacific Islands Forum Leaders’ meeting in Cairns, August 2009</w:t>
        </w:r>
      </w:hyperlink>
      <w:r w:rsidRPr="0090035E">
        <w:rPr>
          <w:szCs w:val="16"/>
        </w:rPr>
        <w:t>.</w:t>
      </w:r>
    </w:p>
  </w:footnote>
  <w:footnote w:id="15">
    <w:p w14:paraId="420DCF28" w14:textId="77777777" w:rsidR="005247A7" w:rsidRDefault="005247A7" w:rsidP="000C4896">
      <w:pPr>
        <w:pStyle w:val="FootnoteText"/>
      </w:pPr>
      <w:r>
        <w:rPr>
          <w:rStyle w:val="FootnoteReference"/>
        </w:rPr>
        <w:footnoteRef/>
      </w:r>
      <w:r>
        <w:t xml:space="preserve"> Fiji, Federated States of Micronesia, Palau, PNG, Solomon Islands, Tonga and Vanuatu</w:t>
      </w:r>
    </w:p>
  </w:footnote>
  <w:footnote w:id="16">
    <w:p w14:paraId="420DCF29" w14:textId="77777777" w:rsidR="005247A7" w:rsidRDefault="005247A7" w:rsidP="000C4896">
      <w:pPr>
        <w:pStyle w:val="FootnoteText"/>
      </w:pPr>
      <w:r>
        <w:rPr>
          <w:rStyle w:val="FootnoteReference"/>
        </w:rPr>
        <w:footnoteRef/>
      </w:r>
      <w:r>
        <w:t xml:space="preserve"> Cook Islands, Nauru, Palau, PNG and Vanuatu</w:t>
      </w:r>
    </w:p>
  </w:footnote>
  <w:footnote w:id="17">
    <w:p w14:paraId="420DCF2A" w14:textId="77777777" w:rsidR="005247A7" w:rsidRPr="0011370A" w:rsidRDefault="005247A7" w:rsidP="0011370A">
      <w:pPr>
        <w:autoSpaceDE w:val="0"/>
        <w:autoSpaceDN w:val="0"/>
        <w:adjustRightInd w:val="0"/>
        <w:rPr>
          <w:rFonts w:ascii="UNFPA-Light" w:eastAsiaTheme="minorHAnsi" w:hAnsi="UNFPA-Light" w:cs="UNFPA-Light"/>
          <w:sz w:val="18"/>
          <w:szCs w:val="18"/>
        </w:rPr>
      </w:pPr>
      <w:r w:rsidRPr="0090035E">
        <w:rPr>
          <w:rStyle w:val="FootnoteReference"/>
        </w:rPr>
        <w:footnoteRef/>
      </w:r>
      <w:r w:rsidRPr="0011370A">
        <w:rPr>
          <w:i/>
        </w:rPr>
        <w:t xml:space="preserve"> </w:t>
      </w:r>
      <w:r>
        <w:rPr>
          <w:sz w:val="14"/>
          <w:szCs w:val="14"/>
        </w:rPr>
        <w:t xml:space="preserve">J </w:t>
      </w:r>
      <w:r w:rsidRPr="0011370A">
        <w:rPr>
          <w:rFonts w:eastAsiaTheme="minorHAnsi"/>
          <w:sz w:val="14"/>
          <w:szCs w:val="14"/>
        </w:rPr>
        <w:t>Spratt</w:t>
      </w:r>
      <w:r w:rsidRPr="0011370A">
        <w:rPr>
          <w:rFonts w:eastAsiaTheme="minorHAnsi"/>
          <w:i/>
          <w:sz w:val="14"/>
          <w:szCs w:val="14"/>
        </w:rPr>
        <w:t xml:space="preserve"> </w:t>
      </w:r>
      <w:r>
        <w:rPr>
          <w:rFonts w:eastAsiaTheme="minorHAnsi"/>
          <w:sz w:val="14"/>
          <w:szCs w:val="14"/>
        </w:rPr>
        <w:t xml:space="preserve">(2012) </w:t>
      </w:r>
      <w:r w:rsidRPr="0011370A">
        <w:rPr>
          <w:rFonts w:eastAsiaTheme="minorHAnsi"/>
          <w:i/>
          <w:sz w:val="14"/>
          <w:szCs w:val="14"/>
        </w:rPr>
        <w:t>A Deeper Silence: The Unheard Experiences of Women with Disabilities and Their Sexual and Reproductive Health Experiences: Kiribati, the Solomon Islands and Tonga</w:t>
      </w:r>
      <w:r>
        <w:rPr>
          <w:rFonts w:eastAsiaTheme="minorHAnsi"/>
          <w:sz w:val="14"/>
          <w:szCs w:val="14"/>
        </w:rPr>
        <w:t xml:space="preserve"> </w:t>
      </w:r>
      <w:r w:rsidRPr="0011370A">
        <w:rPr>
          <w:rFonts w:eastAsiaTheme="minorHAnsi"/>
          <w:sz w:val="14"/>
          <w:szCs w:val="14"/>
        </w:rPr>
        <w:t>United Nations Population Fund Pacific Sub-Regional Offic</w:t>
      </w:r>
      <w:r>
        <w:rPr>
          <w:rFonts w:eastAsiaTheme="minorHAnsi"/>
          <w:sz w:val="14"/>
          <w:szCs w:val="14"/>
        </w:rPr>
        <w:t>e, Suva, Fiji.</w:t>
      </w:r>
    </w:p>
  </w:footnote>
  <w:footnote w:id="18">
    <w:p w14:paraId="420DCF2B" w14:textId="77777777" w:rsidR="005247A7" w:rsidRDefault="005247A7">
      <w:pPr>
        <w:pStyle w:val="FootnoteText"/>
      </w:pPr>
      <w:r>
        <w:rPr>
          <w:rStyle w:val="FootnoteReference"/>
        </w:rPr>
        <w:footnoteRef/>
      </w:r>
      <w:r>
        <w:t xml:space="preserve"> </w:t>
      </w:r>
      <w:proofErr w:type="gramStart"/>
      <w:r>
        <w:rPr>
          <w:i/>
        </w:rPr>
        <w:t>Acting Today for Tomorrow: A Policy and Practice Note for Climate and Disaster Resilient Development in the Pacific Islands Region</w:t>
      </w:r>
      <w:r>
        <w:t>, World Bank, 2012.</w:t>
      </w:r>
      <w:proofErr w:type="gramEnd"/>
    </w:p>
  </w:footnote>
  <w:footnote w:id="19">
    <w:p w14:paraId="420DCF2C" w14:textId="52FBBACB" w:rsidR="005247A7" w:rsidRDefault="005247A7">
      <w:pPr>
        <w:pStyle w:val="FootnoteText"/>
      </w:pPr>
      <w:r>
        <w:rPr>
          <w:rStyle w:val="FootnoteReference"/>
        </w:rPr>
        <w:footnoteRef/>
      </w:r>
      <w:r>
        <w:t xml:space="preserve"> </w:t>
      </w:r>
      <w:r w:rsidRPr="00C3544B">
        <w:t xml:space="preserve"> http://aid.dfat.gov.au/Publications/Documents/fisheries.pdf</w:t>
      </w:r>
    </w:p>
  </w:footnote>
  <w:footnote w:id="20">
    <w:p w14:paraId="420DCF2D" w14:textId="77777777" w:rsidR="005247A7" w:rsidRDefault="005247A7" w:rsidP="00765923">
      <w:pPr>
        <w:pStyle w:val="FootnoteText"/>
      </w:pPr>
      <w:r>
        <w:rPr>
          <w:rStyle w:val="FootnoteReference"/>
        </w:rPr>
        <w:footnoteRef/>
      </w:r>
      <w:r>
        <w:t xml:space="preserve"> </w:t>
      </w:r>
      <w:proofErr w:type="gramStart"/>
      <w:r>
        <w:t>T</w:t>
      </w:r>
      <w:r w:rsidRPr="002C1A54">
        <w:t>he Agreement on Strengthening Implementation of the Niue Treaty on Cooperation in Fisheries Surveillance and Law Enforcement in the Pacific Region</w:t>
      </w:r>
      <w:r>
        <w:t>.</w:t>
      </w:r>
      <w:proofErr w:type="gramEnd"/>
    </w:p>
  </w:footnote>
  <w:footnote w:id="21">
    <w:p w14:paraId="420DCF2E" w14:textId="77777777" w:rsidR="005247A7" w:rsidRPr="007129D7" w:rsidRDefault="005247A7" w:rsidP="007129D7">
      <w:pPr>
        <w:rPr>
          <w:color w:val="1F497D"/>
          <w:sz w:val="14"/>
          <w:szCs w:val="14"/>
        </w:rPr>
      </w:pPr>
      <w:r w:rsidRPr="00CB0203">
        <w:rPr>
          <w:rStyle w:val="FootnoteReference"/>
          <w:sz w:val="14"/>
          <w:szCs w:val="14"/>
        </w:rPr>
        <w:footnoteRef/>
      </w:r>
      <w:r w:rsidRPr="00CB0203">
        <w:rPr>
          <w:sz w:val="14"/>
          <w:szCs w:val="14"/>
        </w:rPr>
        <w:t xml:space="preserve"> ‘Australia’s Pacific Seasonal Worker Pilot Scheme (PSWPS): Development Impacts in the First Two Years’, J Gibson </w:t>
      </w:r>
      <w:r>
        <w:rPr>
          <w:sz w:val="14"/>
          <w:szCs w:val="14"/>
        </w:rPr>
        <w:t>and</w:t>
      </w:r>
      <w:r w:rsidRPr="00CB0203">
        <w:rPr>
          <w:sz w:val="14"/>
          <w:szCs w:val="14"/>
        </w:rPr>
        <w:t xml:space="preserve"> D McKenzie, University of Waikato, Working Paper in Economics 09/11, 2011.</w:t>
      </w:r>
    </w:p>
  </w:footnote>
  <w:footnote w:id="22">
    <w:p w14:paraId="420DCF2F" w14:textId="198AAB8F" w:rsidR="005247A7" w:rsidRDefault="005247A7" w:rsidP="006C751D">
      <w:pPr>
        <w:pStyle w:val="FootnoteText"/>
      </w:pPr>
      <w:r>
        <w:rPr>
          <w:rStyle w:val="FootnoteReference"/>
        </w:rPr>
        <w:footnoteRef/>
      </w:r>
      <w:r>
        <w:t xml:space="preserve"> ‘Multilateral Engagement Strategy for the Australian Aid Program 2012–2016: Working with effective multilateral partners to help people overcome poverty’; </w:t>
      </w:r>
      <w:r w:rsidR="006633C3">
        <w:t>the Australian Government</w:t>
      </w:r>
      <w:r>
        <w:t xml:space="preserve">; Canberra ACT 2012. The strategy is available at: www.dfat.gov.au </w:t>
      </w:r>
    </w:p>
  </w:footnote>
  <w:footnote w:id="23">
    <w:p w14:paraId="420DCF30" w14:textId="77777777" w:rsidR="005247A7" w:rsidRPr="00071B95" w:rsidRDefault="005247A7" w:rsidP="005C77B9">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24">
    <w:p w14:paraId="420DCF31" w14:textId="77777777" w:rsidR="005247A7" w:rsidRPr="00071B95" w:rsidRDefault="005247A7" w:rsidP="005C77B9">
      <w:pPr>
        <w:pStyle w:val="FootnoteText"/>
      </w:pPr>
      <w:r w:rsidRPr="00F77E6A">
        <w:rPr>
          <w:rStyle w:val="FootnoteReference"/>
        </w:rPr>
        <w:footnoteRef/>
      </w:r>
      <w:r w:rsidRPr="00071B95">
        <w:t xml:space="preserve"> Mid-term review, </w:t>
      </w:r>
      <w:r>
        <w:t>c</w:t>
      </w:r>
      <w:r w:rsidRPr="00071B95">
        <w:t>ompletion report, partner-led evaluation, joint evaluation</w:t>
      </w:r>
    </w:p>
  </w:footnote>
  <w:footnote w:id="25">
    <w:p w14:paraId="420DCF32" w14:textId="77777777" w:rsidR="005247A7" w:rsidRPr="00551C11" w:rsidRDefault="005247A7" w:rsidP="005C77B9">
      <w:pPr>
        <w:pStyle w:val="FootnoteText"/>
      </w:pPr>
      <w:r w:rsidRPr="00F77E6A">
        <w:rPr>
          <w:rStyle w:val="FootnoteReference"/>
        </w:rPr>
        <w:footnoteRef/>
      </w:r>
      <w:r w:rsidRPr="00071B95">
        <w:t xml:space="preserve"> </w:t>
      </w:r>
      <w:proofErr w:type="gramStart"/>
      <w:r w:rsidRPr="00071B95">
        <w:t>To inform a future phase of program, to improve existing program; to verify program outcomes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D8" w14:textId="68F450A2" w:rsidR="005247A7" w:rsidRDefault="005247A7">
    <w:pPr>
      <w:pStyle w:val="Header"/>
    </w:pPr>
  </w:p>
  <w:p w14:paraId="420DCED9" w14:textId="2EFED6E9" w:rsidR="005247A7" w:rsidRDefault="005247A7">
    <w:r>
      <w:rPr>
        <w:noProof/>
      </w:rPr>
      <w:drawing>
        <wp:anchor distT="0" distB="0" distL="114300" distR="114300" simplePos="0" relativeHeight="251743232" behindDoc="0" locked="0" layoutInCell="1" allowOverlap="1" wp14:anchorId="1D243217" wp14:editId="41A064BA">
          <wp:simplePos x="0" y="0"/>
          <wp:positionH relativeFrom="page">
            <wp:align>left</wp:align>
          </wp:positionH>
          <wp:positionV relativeFrom="page">
            <wp:align>top</wp:align>
          </wp:positionV>
          <wp:extent cx="7560000" cy="1440000"/>
          <wp:effectExtent l="0" t="0" r="317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2D0B" w14:textId="1F6F6A0A" w:rsidR="005247A7" w:rsidRDefault="005247A7" w:rsidP="00FB079A">
    <w:pPr>
      <w:pStyle w:val="Header"/>
      <w:tabs>
        <w:tab w:val="clear" w:pos="4513"/>
        <w:tab w:val="clear" w:pos="9026"/>
        <w:tab w:val="left" w:pos="2790"/>
      </w:tabs>
    </w:pPr>
    <w:r>
      <w:rPr>
        <w:noProof/>
      </w:rPr>
      <w:drawing>
        <wp:anchor distT="0" distB="0" distL="114300" distR="114300" simplePos="0" relativeHeight="251741184" behindDoc="0" locked="0" layoutInCell="1" allowOverlap="1" wp14:anchorId="1043D4BB" wp14:editId="0BA9F9B9">
          <wp:simplePos x="0" y="0"/>
          <wp:positionH relativeFrom="page">
            <wp:align>left</wp:align>
          </wp:positionH>
          <wp:positionV relativeFrom="page">
            <wp:align>top</wp:align>
          </wp:positionV>
          <wp:extent cx="7560000" cy="1890000"/>
          <wp:effectExtent l="0" t="0" r="3175"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815A" w14:textId="77777777" w:rsidR="005247A7" w:rsidRDefault="005247A7">
    <w:pPr>
      <w:pStyle w:val="Header"/>
    </w:pPr>
  </w:p>
  <w:p w14:paraId="2B3013EB" w14:textId="4FF28801" w:rsidR="005247A7" w:rsidRDefault="005247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DD" w14:textId="77777777" w:rsidR="005247A7" w:rsidRDefault="005247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DF" w14:textId="77777777" w:rsidR="005247A7" w:rsidRDefault="005247A7">
    <w:pPr>
      <w:pStyle w:val="Header"/>
    </w:pPr>
  </w:p>
  <w:p w14:paraId="420DCEE0" w14:textId="77777777" w:rsidR="005247A7" w:rsidRDefault="005247A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2" w14:textId="77777777" w:rsidR="005247A7" w:rsidRDefault="005247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4" w14:textId="5AD2F2C7" w:rsidR="005247A7" w:rsidRDefault="005247A7">
    <w:pPr>
      <w:pStyle w:val="Header"/>
    </w:pPr>
    <w:r>
      <w:rPr>
        <w:noProof/>
      </w:rPr>
      <w:drawing>
        <wp:anchor distT="0" distB="0" distL="114300" distR="114300" simplePos="0" relativeHeight="251760640" behindDoc="0" locked="0" layoutInCell="1" allowOverlap="1" wp14:anchorId="69B89634" wp14:editId="3A3DF176">
          <wp:simplePos x="0" y="0"/>
          <wp:positionH relativeFrom="page">
            <wp:align>left</wp:align>
          </wp:positionH>
          <wp:positionV relativeFrom="page">
            <wp:align>top</wp:align>
          </wp:positionV>
          <wp:extent cx="7560000" cy="1440000"/>
          <wp:effectExtent l="0" t="0" r="3175" b="825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420DCEE5" w14:textId="758836F5" w:rsidR="005247A7" w:rsidRDefault="005247A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CEE7" w14:textId="77777777" w:rsidR="005247A7" w:rsidRDefault="005247A7">
    <w:pPr>
      <w:pStyle w:val="Header"/>
    </w:pPr>
    <w:r>
      <w:rPr>
        <w:noProof/>
      </w:rPr>
      <mc:AlternateContent>
        <mc:Choice Requires="wps">
          <w:drawing>
            <wp:anchor distT="0" distB="0" distL="114300" distR="114300" simplePos="0" relativeHeight="251700224" behindDoc="0" locked="1" layoutInCell="1" allowOverlap="1" wp14:anchorId="420DCF13" wp14:editId="420DCF14">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2" name="Rectangle 2"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Australian Aid Factsheets olive-2" style="position:absolute;margin-left:0;margin-top:0;width:595.3pt;height:119.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CH8UvisQMAAOI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11C4390"/>
    <w:multiLevelType w:val="hybridMultilevel"/>
    <w:tmpl w:val="4E7204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5FF2E44"/>
    <w:multiLevelType w:val="hybridMultilevel"/>
    <w:tmpl w:val="363C27F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602B93"/>
    <w:multiLevelType w:val="hybridMultilevel"/>
    <w:tmpl w:val="AF32A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C21D5A"/>
    <w:multiLevelType w:val="hybridMultilevel"/>
    <w:tmpl w:val="8F1EE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1F1318"/>
    <w:multiLevelType w:val="hybridMultilevel"/>
    <w:tmpl w:val="D0169846"/>
    <w:lvl w:ilvl="0" w:tplc="0C090001">
      <w:start w:val="1"/>
      <w:numFmt w:val="bullet"/>
      <w:lvlText w:val=""/>
      <w:lvlJc w:val="left"/>
      <w:pPr>
        <w:ind w:left="360" w:hanging="360"/>
      </w:pPr>
      <w:rPr>
        <w:rFonts w:ascii="Symbol" w:hAnsi="Symbol" w:hint="default"/>
      </w:rPr>
    </w:lvl>
    <w:lvl w:ilvl="1" w:tplc="400A42EA">
      <w:start w:val="20"/>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17F72F5"/>
    <w:multiLevelType w:val="hybridMultilevel"/>
    <w:tmpl w:val="E3609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3710A50"/>
    <w:multiLevelType w:val="hybridMultilevel"/>
    <w:tmpl w:val="E35CBC2C"/>
    <w:lvl w:ilvl="0" w:tplc="04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F2B798C"/>
    <w:multiLevelType w:val="hybridMultilevel"/>
    <w:tmpl w:val="69042CAC"/>
    <w:lvl w:ilvl="0" w:tplc="A120C8FE">
      <w:start w:val="1"/>
      <w:numFmt w:val="bullet"/>
      <w:pStyle w:val="ListParagraph"/>
      <w:lvlText w:val=""/>
      <w:lvlJc w:val="left"/>
      <w:pPr>
        <w:ind w:left="357" w:hanging="360"/>
      </w:pPr>
      <w:rPr>
        <w:rFonts w:ascii="Symbol" w:hAnsi="Symbol" w:hint="default"/>
        <w:color w:val="auto"/>
        <w:sz w:val="24"/>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2">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89218EB"/>
    <w:multiLevelType w:val="hybridMultilevel"/>
    <w:tmpl w:val="4EAEC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126956"/>
    <w:multiLevelType w:val="hybridMultilevel"/>
    <w:tmpl w:val="9EF841F8"/>
    <w:lvl w:ilvl="0" w:tplc="0FCC73D2">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95224B"/>
    <w:multiLevelType w:val="hybridMultilevel"/>
    <w:tmpl w:val="776E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934291"/>
    <w:multiLevelType w:val="hybridMultilevel"/>
    <w:tmpl w:val="0BE0F27A"/>
    <w:lvl w:ilvl="0" w:tplc="B712A9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9A685C"/>
    <w:multiLevelType w:val="hybridMultilevel"/>
    <w:tmpl w:val="C8BEB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935F1A"/>
    <w:multiLevelType w:val="hybridMultilevel"/>
    <w:tmpl w:val="897A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6EC0398"/>
    <w:multiLevelType w:val="hybridMultilevel"/>
    <w:tmpl w:val="38C2DF4E"/>
    <w:lvl w:ilvl="0" w:tplc="0C090003">
      <w:start w:val="1"/>
      <w:numFmt w:val="bullet"/>
      <w:lvlText w:val="o"/>
      <w:lvlJc w:val="left"/>
      <w:pPr>
        <w:ind w:left="428" w:hanging="360"/>
      </w:pPr>
      <w:rPr>
        <w:rFonts w:ascii="Courier New" w:hAnsi="Courier New" w:cs="Courier New" w:hint="default"/>
        <w:color w:val="auto"/>
        <w:sz w:val="20"/>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4">
    <w:nsid w:val="472340EE"/>
    <w:multiLevelType w:val="hybridMultilevel"/>
    <w:tmpl w:val="420A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9D56D4"/>
    <w:multiLevelType w:val="hybridMultilevel"/>
    <w:tmpl w:val="A01AA7A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B20719"/>
    <w:multiLevelType w:val="hybridMultilevel"/>
    <w:tmpl w:val="EE40A41E"/>
    <w:lvl w:ilvl="0" w:tplc="0FCC73D2">
      <w:start w:val="1"/>
      <w:numFmt w:val="bullet"/>
      <w:pStyle w:val="PACdotpoints"/>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BB20C0B"/>
    <w:multiLevelType w:val="hybridMultilevel"/>
    <w:tmpl w:val="60AAB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E105B9"/>
    <w:multiLevelType w:val="hybridMultilevel"/>
    <w:tmpl w:val="5B7861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nsid w:val="63E22CC6"/>
    <w:multiLevelType w:val="hybridMultilevel"/>
    <w:tmpl w:val="BD98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1C2BEE"/>
    <w:multiLevelType w:val="hybridMultilevel"/>
    <w:tmpl w:val="1D4A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D645BB"/>
    <w:multiLevelType w:val="hybridMultilevel"/>
    <w:tmpl w:val="A5E0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ED2618"/>
    <w:multiLevelType w:val="hybridMultilevel"/>
    <w:tmpl w:val="B1767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D235C0"/>
    <w:multiLevelType w:val="hybridMultilevel"/>
    <w:tmpl w:val="C7AA39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6"/>
  </w:num>
  <w:num w:numId="3">
    <w:abstractNumId w:val="11"/>
  </w:num>
  <w:num w:numId="4">
    <w:abstractNumId w:val="29"/>
  </w:num>
  <w:num w:numId="5">
    <w:abstractNumId w:val="10"/>
  </w:num>
  <w:num w:numId="6">
    <w:abstractNumId w:val="28"/>
  </w:num>
  <w:num w:numId="7">
    <w:abstractNumId w:val="22"/>
  </w:num>
  <w:num w:numId="8">
    <w:abstractNumId w:val="18"/>
  </w:num>
  <w:num w:numId="9">
    <w:abstractNumId w:val="34"/>
  </w:num>
  <w:num w:numId="10">
    <w:abstractNumId w:val="9"/>
  </w:num>
  <w:num w:numId="11">
    <w:abstractNumId w:val="27"/>
  </w:num>
  <w:num w:numId="12">
    <w:abstractNumId w:val="37"/>
  </w:num>
  <w:num w:numId="13">
    <w:abstractNumId w:val="12"/>
  </w:num>
  <w:num w:numId="14">
    <w:abstractNumId w:val="41"/>
  </w:num>
  <w:num w:numId="15">
    <w:abstractNumId w:val="42"/>
  </w:num>
  <w:num w:numId="16">
    <w:abstractNumId w:val="15"/>
  </w:num>
  <w:num w:numId="17">
    <w:abstractNumId w:val="0"/>
  </w:num>
  <w:num w:numId="18">
    <w:abstractNumId w:val="3"/>
  </w:num>
  <w:num w:numId="19">
    <w:abstractNumId w:val="26"/>
  </w:num>
  <w:num w:numId="20">
    <w:abstractNumId w:val="1"/>
  </w:num>
  <w:num w:numId="21">
    <w:abstractNumId w:val="38"/>
  </w:num>
  <w:num w:numId="22">
    <w:abstractNumId w:val="23"/>
  </w:num>
  <w:num w:numId="23">
    <w:abstractNumId w:val="17"/>
  </w:num>
  <w:num w:numId="24">
    <w:abstractNumId w:val="31"/>
  </w:num>
  <w:num w:numId="25">
    <w:abstractNumId w:val="21"/>
  </w:num>
  <w:num w:numId="26">
    <w:abstractNumId w:val="7"/>
  </w:num>
  <w:num w:numId="27">
    <w:abstractNumId w:val="6"/>
  </w:num>
  <w:num w:numId="28">
    <w:abstractNumId w:val="5"/>
  </w:num>
  <w:num w:numId="29">
    <w:abstractNumId w:val="4"/>
  </w:num>
  <w:num w:numId="30">
    <w:abstractNumId w:val="14"/>
  </w:num>
  <w:num w:numId="31">
    <w:abstractNumId w:val="20"/>
  </w:num>
  <w:num w:numId="32">
    <w:abstractNumId w:val="19"/>
  </w:num>
  <w:num w:numId="33">
    <w:abstractNumId w:val="24"/>
  </w:num>
  <w:num w:numId="34">
    <w:abstractNumId w:val="39"/>
  </w:num>
  <w:num w:numId="35">
    <w:abstractNumId w:val="4"/>
  </w:num>
  <w:num w:numId="36">
    <w:abstractNumId w:val="4"/>
  </w:num>
  <w:num w:numId="37">
    <w:abstractNumId w:val="16"/>
  </w:num>
  <w:num w:numId="38">
    <w:abstractNumId w:val="8"/>
  </w:num>
  <w:num w:numId="39">
    <w:abstractNumId w:val="2"/>
  </w:num>
  <w:num w:numId="40">
    <w:abstractNumId w:val="11"/>
  </w:num>
  <w:num w:numId="41">
    <w:abstractNumId w:val="32"/>
  </w:num>
  <w:num w:numId="42">
    <w:abstractNumId w:val="30"/>
  </w:num>
  <w:num w:numId="43">
    <w:abstractNumId w:val="35"/>
  </w:num>
  <w:num w:numId="44">
    <w:abstractNumId w:val="25"/>
  </w:num>
  <w:num w:numId="45">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0F04"/>
    <w:rsid w:val="000039CF"/>
    <w:rsid w:val="00012E3B"/>
    <w:rsid w:val="000143D9"/>
    <w:rsid w:val="00020121"/>
    <w:rsid w:val="00021A9E"/>
    <w:rsid w:val="00030111"/>
    <w:rsid w:val="00031100"/>
    <w:rsid w:val="00035547"/>
    <w:rsid w:val="00037FFA"/>
    <w:rsid w:val="00043052"/>
    <w:rsid w:val="000517D5"/>
    <w:rsid w:val="0006325A"/>
    <w:rsid w:val="00063AD6"/>
    <w:rsid w:val="00071B95"/>
    <w:rsid w:val="00073F18"/>
    <w:rsid w:val="000745E2"/>
    <w:rsid w:val="00075BB4"/>
    <w:rsid w:val="000774FD"/>
    <w:rsid w:val="000833F0"/>
    <w:rsid w:val="0008562D"/>
    <w:rsid w:val="00090EB6"/>
    <w:rsid w:val="000979A0"/>
    <w:rsid w:val="000A1618"/>
    <w:rsid w:val="000A1812"/>
    <w:rsid w:val="000A3196"/>
    <w:rsid w:val="000B3121"/>
    <w:rsid w:val="000B5BA2"/>
    <w:rsid w:val="000C29BF"/>
    <w:rsid w:val="000C4896"/>
    <w:rsid w:val="000C6080"/>
    <w:rsid w:val="000C60A8"/>
    <w:rsid w:val="000C7141"/>
    <w:rsid w:val="000D226F"/>
    <w:rsid w:val="000E0897"/>
    <w:rsid w:val="000E48F1"/>
    <w:rsid w:val="000E7297"/>
    <w:rsid w:val="000F20A0"/>
    <w:rsid w:val="000F21DD"/>
    <w:rsid w:val="000F355C"/>
    <w:rsid w:val="00100AA2"/>
    <w:rsid w:val="00103B08"/>
    <w:rsid w:val="00104A01"/>
    <w:rsid w:val="00112E97"/>
    <w:rsid w:val="00113451"/>
    <w:rsid w:val="0011370A"/>
    <w:rsid w:val="00120FC7"/>
    <w:rsid w:val="00123161"/>
    <w:rsid w:val="00125D33"/>
    <w:rsid w:val="00130408"/>
    <w:rsid w:val="001353F7"/>
    <w:rsid w:val="00135753"/>
    <w:rsid w:val="001366B4"/>
    <w:rsid w:val="001401EA"/>
    <w:rsid w:val="0014181A"/>
    <w:rsid w:val="00141A30"/>
    <w:rsid w:val="0014411B"/>
    <w:rsid w:val="0014558B"/>
    <w:rsid w:val="00152088"/>
    <w:rsid w:val="00156F0D"/>
    <w:rsid w:val="00160DD7"/>
    <w:rsid w:val="001612CE"/>
    <w:rsid w:val="001618E4"/>
    <w:rsid w:val="0016544D"/>
    <w:rsid w:val="0016758C"/>
    <w:rsid w:val="0017048D"/>
    <w:rsid w:val="00172238"/>
    <w:rsid w:val="00173C6E"/>
    <w:rsid w:val="00180B19"/>
    <w:rsid w:val="001810B9"/>
    <w:rsid w:val="0018196F"/>
    <w:rsid w:val="001829BB"/>
    <w:rsid w:val="00183359"/>
    <w:rsid w:val="0018381F"/>
    <w:rsid w:val="00192498"/>
    <w:rsid w:val="00194806"/>
    <w:rsid w:val="001973F0"/>
    <w:rsid w:val="001A3821"/>
    <w:rsid w:val="001A717C"/>
    <w:rsid w:val="001A7F25"/>
    <w:rsid w:val="001B1A0C"/>
    <w:rsid w:val="001C1EA0"/>
    <w:rsid w:val="001C507E"/>
    <w:rsid w:val="001C700E"/>
    <w:rsid w:val="001C7117"/>
    <w:rsid w:val="001D20FC"/>
    <w:rsid w:val="001D210A"/>
    <w:rsid w:val="001E226A"/>
    <w:rsid w:val="001E34A5"/>
    <w:rsid w:val="001E353D"/>
    <w:rsid w:val="001E3FC0"/>
    <w:rsid w:val="001E55AB"/>
    <w:rsid w:val="001E6D7F"/>
    <w:rsid w:val="001E7155"/>
    <w:rsid w:val="001F53E5"/>
    <w:rsid w:val="001F609D"/>
    <w:rsid w:val="001F7480"/>
    <w:rsid w:val="002115BD"/>
    <w:rsid w:val="002131CD"/>
    <w:rsid w:val="00223144"/>
    <w:rsid w:val="00223BA8"/>
    <w:rsid w:val="00224AD0"/>
    <w:rsid w:val="00225961"/>
    <w:rsid w:val="00231212"/>
    <w:rsid w:val="00231D45"/>
    <w:rsid w:val="0023610E"/>
    <w:rsid w:val="00237C4B"/>
    <w:rsid w:val="00242A52"/>
    <w:rsid w:val="00242F2D"/>
    <w:rsid w:val="00246E5F"/>
    <w:rsid w:val="002510F7"/>
    <w:rsid w:val="002557A5"/>
    <w:rsid w:val="00257259"/>
    <w:rsid w:val="00271AA0"/>
    <w:rsid w:val="002735C8"/>
    <w:rsid w:val="002776D4"/>
    <w:rsid w:val="00283947"/>
    <w:rsid w:val="002849B4"/>
    <w:rsid w:val="0028652A"/>
    <w:rsid w:val="00286CD5"/>
    <w:rsid w:val="00293C0A"/>
    <w:rsid w:val="002A0D20"/>
    <w:rsid w:val="002A1935"/>
    <w:rsid w:val="002A1BC5"/>
    <w:rsid w:val="002A22F7"/>
    <w:rsid w:val="002B40C6"/>
    <w:rsid w:val="002B433A"/>
    <w:rsid w:val="002B7604"/>
    <w:rsid w:val="002B79D4"/>
    <w:rsid w:val="002B7B91"/>
    <w:rsid w:val="002C3376"/>
    <w:rsid w:val="002C3B7B"/>
    <w:rsid w:val="002D4C6B"/>
    <w:rsid w:val="002D6914"/>
    <w:rsid w:val="002E298E"/>
    <w:rsid w:val="002F1849"/>
    <w:rsid w:val="002F2755"/>
    <w:rsid w:val="002F479A"/>
    <w:rsid w:val="002F4B79"/>
    <w:rsid w:val="002F5A14"/>
    <w:rsid w:val="00303038"/>
    <w:rsid w:val="00310426"/>
    <w:rsid w:val="00313480"/>
    <w:rsid w:val="003159EA"/>
    <w:rsid w:val="00315D13"/>
    <w:rsid w:val="003223F8"/>
    <w:rsid w:val="00322931"/>
    <w:rsid w:val="0032486D"/>
    <w:rsid w:val="003249CF"/>
    <w:rsid w:val="003260C0"/>
    <w:rsid w:val="00326B5A"/>
    <w:rsid w:val="0033037D"/>
    <w:rsid w:val="003327F8"/>
    <w:rsid w:val="00332DF6"/>
    <w:rsid w:val="00341177"/>
    <w:rsid w:val="00344548"/>
    <w:rsid w:val="00345B8E"/>
    <w:rsid w:val="00351ACA"/>
    <w:rsid w:val="00352AE5"/>
    <w:rsid w:val="00357AF7"/>
    <w:rsid w:val="00360662"/>
    <w:rsid w:val="00365E8F"/>
    <w:rsid w:val="00372E1B"/>
    <w:rsid w:val="00373CEF"/>
    <w:rsid w:val="00383294"/>
    <w:rsid w:val="00395B7D"/>
    <w:rsid w:val="00395CFA"/>
    <w:rsid w:val="00395F8C"/>
    <w:rsid w:val="003A2D7B"/>
    <w:rsid w:val="003A71AB"/>
    <w:rsid w:val="003A74BF"/>
    <w:rsid w:val="003B10DF"/>
    <w:rsid w:val="003B3CFC"/>
    <w:rsid w:val="003B4583"/>
    <w:rsid w:val="003C5641"/>
    <w:rsid w:val="003C7721"/>
    <w:rsid w:val="003D081D"/>
    <w:rsid w:val="003D3303"/>
    <w:rsid w:val="003D4761"/>
    <w:rsid w:val="003D4BB9"/>
    <w:rsid w:val="003E03AB"/>
    <w:rsid w:val="003E1AF2"/>
    <w:rsid w:val="003E4404"/>
    <w:rsid w:val="003E4982"/>
    <w:rsid w:val="003E7898"/>
    <w:rsid w:val="003F1E4F"/>
    <w:rsid w:val="003F66EF"/>
    <w:rsid w:val="00412652"/>
    <w:rsid w:val="00413539"/>
    <w:rsid w:val="004148D3"/>
    <w:rsid w:val="00415A92"/>
    <w:rsid w:val="004228CD"/>
    <w:rsid w:val="00423FA9"/>
    <w:rsid w:val="00426354"/>
    <w:rsid w:val="0042762E"/>
    <w:rsid w:val="004341F6"/>
    <w:rsid w:val="004366F4"/>
    <w:rsid w:val="004434C6"/>
    <w:rsid w:val="00443639"/>
    <w:rsid w:val="00445A3B"/>
    <w:rsid w:val="00456818"/>
    <w:rsid w:val="00462CE5"/>
    <w:rsid w:val="00464D90"/>
    <w:rsid w:val="00465AAF"/>
    <w:rsid w:val="00467CC5"/>
    <w:rsid w:val="00470C62"/>
    <w:rsid w:val="00472ED5"/>
    <w:rsid w:val="0048254E"/>
    <w:rsid w:val="004845B9"/>
    <w:rsid w:val="00497807"/>
    <w:rsid w:val="004A7400"/>
    <w:rsid w:val="004A7A53"/>
    <w:rsid w:val="004B14E6"/>
    <w:rsid w:val="004B1F1E"/>
    <w:rsid w:val="004C0ED5"/>
    <w:rsid w:val="004C334D"/>
    <w:rsid w:val="004C4A3E"/>
    <w:rsid w:val="004C5396"/>
    <w:rsid w:val="004C660D"/>
    <w:rsid w:val="004C764A"/>
    <w:rsid w:val="004D1529"/>
    <w:rsid w:val="004D19CE"/>
    <w:rsid w:val="004D4522"/>
    <w:rsid w:val="004D69AD"/>
    <w:rsid w:val="004E04B4"/>
    <w:rsid w:val="004E6400"/>
    <w:rsid w:val="004E6E33"/>
    <w:rsid w:val="004F1C6C"/>
    <w:rsid w:val="004F3322"/>
    <w:rsid w:val="004F4023"/>
    <w:rsid w:val="004F521E"/>
    <w:rsid w:val="00500CA8"/>
    <w:rsid w:val="00503974"/>
    <w:rsid w:val="0050529F"/>
    <w:rsid w:val="00510C1A"/>
    <w:rsid w:val="005128AC"/>
    <w:rsid w:val="00514B5E"/>
    <w:rsid w:val="00520672"/>
    <w:rsid w:val="0052286C"/>
    <w:rsid w:val="00522AB9"/>
    <w:rsid w:val="005247A7"/>
    <w:rsid w:val="005265B9"/>
    <w:rsid w:val="00533533"/>
    <w:rsid w:val="00533824"/>
    <w:rsid w:val="00535E24"/>
    <w:rsid w:val="005440F6"/>
    <w:rsid w:val="0054557A"/>
    <w:rsid w:val="00546DD6"/>
    <w:rsid w:val="00554C41"/>
    <w:rsid w:val="0055771D"/>
    <w:rsid w:val="00560161"/>
    <w:rsid w:val="00560A63"/>
    <w:rsid w:val="00567FCF"/>
    <w:rsid w:val="0057269C"/>
    <w:rsid w:val="0057383F"/>
    <w:rsid w:val="00575295"/>
    <w:rsid w:val="005759DB"/>
    <w:rsid w:val="005845CB"/>
    <w:rsid w:val="0058498A"/>
    <w:rsid w:val="005854E1"/>
    <w:rsid w:val="00586350"/>
    <w:rsid w:val="00592A7E"/>
    <w:rsid w:val="005945F2"/>
    <w:rsid w:val="005A18C5"/>
    <w:rsid w:val="005A48B6"/>
    <w:rsid w:val="005B0EDB"/>
    <w:rsid w:val="005B3210"/>
    <w:rsid w:val="005B442C"/>
    <w:rsid w:val="005B5581"/>
    <w:rsid w:val="005B66B3"/>
    <w:rsid w:val="005B7C71"/>
    <w:rsid w:val="005C2BCE"/>
    <w:rsid w:val="005C3D83"/>
    <w:rsid w:val="005C49A3"/>
    <w:rsid w:val="005C4A6B"/>
    <w:rsid w:val="005C5D12"/>
    <w:rsid w:val="005C77B9"/>
    <w:rsid w:val="005D2A59"/>
    <w:rsid w:val="005D63A9"/>
    <w:rsid w:val="005E04D5"/>
    <w:rsid w:val="005E6668"/>
    <w:rsid w:val="005E688E"/>
    <w:rsid w:val="005F0C00"/>
    <w:rsid w:val="005F33F2"/>
    <w:rsid w:val="005F7448"/>
    <w:rsid w:val="0060224F"/>
    <w:rsid w:val="00605392"/>
    <w:rsid w:val="0060742A"/>
    <w:rsid w:val="00610785"/>
    <w:rsid w:val="00611886"/>
    <w:rsid w:val="00611989"/>
    <w:rsid w:val="00614F88"/>
    <w:rsid w:val="00617F30"/>
    <w:rsid w:val="006207BB"/>
    <w:rsid w:val="00621F24"/>
    <w:rsid w:val="006222EA"/>
    <w:rsid w:val="00623B70"/>
    <w:rsid w:val="00630C7C"/>
    <w:rsid w:val="00642E50"/>
    <w:rsid w:val="00645C7A"/>
    <w:rsid w:val="00645CDF"/>
    <w:rsid w:val="00646049"/>
    <w:rsid w:val="00653E10"/>
    <w:rsid w:val="00657108"/>
    <w:rsid w:val="006633C3"/>
    <w:rsid w:val="00663909"/>
    <w:rsid w:val="006671BC"/>
    <w:rsid w:val="00671ABE"/>
    <w:rsid w:val="00680679"/>
    <w:rsid w:val="00680B7C"/>
    <w:rsid w:val="0068252A"/>
    <w:rsid w:val="00683FFB"/>
    <w:rsid w:val="00686A80"/>
    <w:rsid w:val="00695279"/>
    <w:rsid w:val="0069742B"/>
    <w:rsid w:val="006A4194"/>
    <w:rsid w:val="006A6233"/>
    <w:rsid w:val="006B14B7"/>
    <w:rsid w:val="006B1681"/>
    <w:rsid w:val="006B55EF"/>
    <w:rsid w:val="006C15A5"/>
    <w:rsid w:val="006C1EE5"/>
    <w:rsid w:val="006C6800"/>
    <w:rsid w:val="006C751D"/>
    <w:rsid w:val="006D2E37"/>
    <w:rsid w:val="006E586E"/>
    <w:rsid w:val="006E7E9F"/>
    <w:rsid w:val="006E7FA8"/>
    <w:rsid w:val="006F4623"/>
    <w:rsid w:val="006F4B40"/>
    <w:rsid w:val="006F777F"/>
    <w:rsid w:val="00701FEA"/>
    <w:rsid w:val="00706DE1"/>
    <w:rsid w:val="007104B7"/>
    <w:rsid w:val="007110C9"/>
    <w:rsid w:val="007129D7"/>
    <w:rsid w:val="00714BA3"/>
    <w:rsid w:val="00716373"/>
    <w:rsid w:val="00716686"/>
    <w:rsid w:val="00717800"/>
    <w:rsid w:val="00717F28"/>
    <w:rsid w:val="00721098"/>
    <w:rsid w:val="00725265"/>
    <w:rsid w:val="0072611F"/>
    <w:rsid w:val="00727554"/>
    <w:rsid w:val="00731E33"/>
    <w:rsid w:val="0073433B"/>
    <w:rsid w:val="007411FA"/>
    <w:rsid w:val="00741798"/>
    <w:rsid w:val="00742CC3"/>
    <w:rsid w:val="00742CC5"/>
    <w:rsid w:val="00750E77"/>
    <w:rsid w:val="00757212"/>
    <w:rsid w:val="00757FE6"/>
    <w:rsid w:val="00761D88"/>
    <w:rsid w:val="0076440F"/>
    <w:rsid w:val="00765923"/>
    <w:rsid w:val="00766BCF"/>
    <w:rsid w:val="00767962"/>
    <w:rsid w:val="00767F39"/>
    <w:rsid w:val="007720A5"/>
    <w:rsid w:val="007726E1"/>
    <w:rsid w:val="00774F4B"/>
    <w:rsid w:val="0077737D"/>
    <w:rsid w:val="0079256F"/>
    <w:rsid w:val="007A123B"/>
    <w:rsid w:val="007A3346"/>
    <w:rsid w:val="007A3C6A"/>
    <w:rsid w:val="007A5821"/>
    <w:rsid w:val="007A5D06"/>
    <w:rsid w:val="007B33CB"/>
    <w:rsid w:val="007B3F13"/>
    <w:rsid w:val="007B51E2"/>
    <w:rsid w:val="007B734F"/>
    <w:rsid w:val="007C313A"/>
    <w:rsid w:val="007D3967"/>
    <w:rsid w:val="007D5136"/>
    <w:rsid w:val="007E2A95"/>
    <w:rsid w:val="007E6565"/>
    <w:rsid w:val="007F0E82"/>
    <w:rsid w:val="007F2841"/>
    <w:rsid w:val="00800ACF"/>
    <w:rsid w:val="0080163F"/>
    <w:rsid w:val="00802A66"/>
    <w:rsid w:val="00803BDC"/>
    <w:rsid w:val="00804BE6"/>
    <w:rsid w:val="00804ECB"/>
    <w:rsid w:val="00805FFF"/>
    <w:rsid w:val="008149DB"/>
    <w:rsid w:val="00820BEE"/>
    <w:rsid w:val="00821541"/>
    <w:rsid w:val="008220CE"/>
    <w:rsid w:val="00830647"/>
    <w:rsid w:val="00830E80"/>
    <w:rsid w:val="00836FD6"/>
    <w:rsid w:val="008449CF"/>
    <w:rsid w:val="00852BCD"/>
    <w:rsid w:val="00853906"/>
    <w:rsid w:val="00854FFC"/>
    <w:rsid w:val="0086368E"/>
    <w:rsid w:val="00864F2A"/>
    <w:rsid w:val="00871FBE"/>
    <w:rsid w:val="00874389"/>
    <w:rsid w:val="00880FC7"/>
    <w:rsid w:val="008810FA"/>
    <w:rsid w:val="008834D0"/>
    <w:rsid w:val="00884878"/>
    <w:rsid w:val="00884D34"/>
    <w:rsid w:val="00885AA6"/>
    <w:rsid w:val="00885B9C"/>
    <w:rsid w:val="00893E5F"/>
    <w:rsid w:val="0089583B"/>
    <w:rsid w:val="00896927"/>
    <w:rsid w:val="00897E16"/>
    <w:rsid w:val="008A144E"/>
    <w:rsid w:val="008B2858"/>
    <w:rsid w:val="008B5E94"/>
    <w:rsid w:val="008B5F65"/>
    <w:rsid w:val="008C43AA"/>
    <w:rsid w:val="008C61D6"/>
    <w:rsid w:val="008C71C1"/>
    <w:rsid w:val="008C7874"/>
    <w:rsid w:val="008D1452"/>
    <w:rsid w:val="008D27EF"/>
    <w:rsid w:val="008D2DC8"/>
    <w:rsid w:val="008D34F9"/>
    <w:rsid w:val="008D745E"/>
    <w:rsid w:val="008E1162"/>
    <w:rsid w:val="008F06F2"/>
    <w:rsid w:val="008F4C4B"/>
    <w:rsid w:val="008F4C57"/>
    <w:rsid w:val="008F5D80"/>
    <w:rsid w:val="008F75B0"/>
    <w:rsid w:val="0090035E"/>
    <w:rsid w:val="00911F16"/>
    <w:rsid w:val="009127FD"/>
    <w:rsid w:val="009150DB"/>
    <w:rsid w:val="009224F3"/>
    <w:rsid w:val="00923084"/>
    <w:rsid w:val="00923D3D"/>
    <w:rsid w:val="009243B2"/>
    <w:rsid w:val="0092456E"/>
    <w:rsid w:val="00924CCB"/>
    <w:rsid w:val="0092520A"/>
    <w:rsid w:val="00932FAD"/>
    <w:rsid w:val="0094163A"/>
    <w:rsid w:val="00942F46"/>
    <w:rsid w:val="00943337"/>
    <w:rsid w:val="00943BC9"/>
    <w:rsid w:val="00946CF0"/>
    <w:rsid w:val="00947D54"/>
    <w:rsid w:val="00951562"/>
    <w:rsid w:val="00954EF3"/>
    <w:rsid w:val="00956EA4"/>
    <w:rsid w:val="0096549E"/>
    <w:rsid w:val="00965562"/>
    <w:rsid w:val="009668EF"/>
    <w:rsid w:val="009729A9"/>
    <w:rsid w:val="0098030D"/>
    <w:rsid w:val="00981E62"/>
    <w:rsid w:val="00983D8A"/>
    <w:rsid w:val="00986B32"/>
    <w:rsid w:val="009955C4"/>
    <w:rsid w:val="009A1E07"/>
    <w:rsid w:val="009A28D2"/>
    <w:rsid w:val="009A2BB6"/>
    <w:rsid w:val="009A3815"/>
    <w:rsid w:val="009A4C7E"/>
    <w:rsid w:val="009A4D39"/>
    <w:rsid w:val="009A7884"/>
    <w:rsid w:val="009B2488"/>
    <w:rsid w:val="009B5190"/>
    <w:rsid w:val="009B654F"/>
    <w:rsid w:val="009C16DF"/>
    <w:rsid w:val="009C4804"/>
    <w:rsid w:val="009C4DCB"/>
    <w:rsid w:val="009D3524"/>
    <w:rsid w:val="009E0DDF"/>
    <w:rsid w:val="009E6780"/>
    <w:rsid w:val="009F2FC1"/>
    <w:rsid w:val="009F4D99"/>
    <w:rsid w:val="009F50F0"/>
    <w:rsid w:val="009F5DB1"/>
    <w:rsid w:val="009F67EB"/>
    <w:rsid w:val="00A03911"/>
    <w:rsid w:val="00A05140"/>
    <w:rsid w:val="00A10DE1"/>
    <w:rsid w:val="00A122BE"/>
    <w:rsid w:val="00A22538"/>
    <w:rsid w:val="00A260D1"/>
    <w:rsid w:val="00A30CE4"/>
    <w:rsid w:val="00A34039"/>
    <w:rsid w:val="00A3552E"/>
    <w:rsid w:val="00A417FA"/>
    <w:rsid w:val="00A42760"/>
    <w:rsid w:val="00A443C7"/>
    <w:rsid w:val="00A46233"/>
    <w:rsid w:val="00A477C1"/>
    <w:rsid w:val="00A52372"/>
    <w:rsid w:val="00A5551F"/>
    <w:rsid w:val="00A56FE4"/>
    <w:rsid w:val="00A61297"/>
    <w:rsid w:val="00A64D97"/>
    <w:rsid w:val="00A658EA"/>
    <w:rsid w:val="00A65CAA"/>
    <w:rsid w:val="00A766FD"/>
    <w:rsid w:val="00A820E7"/>
    <w:rsid w:val="00A82B43"/>
    <w:rsid w:val="00A84A34"/>
    <w:rsid w:val="00A90EC5"/>
    <w:rsid w:val="00A94EC5"/>
    <w:rsid w:val="00AA326D"/>
    <w:rsid w:val="00AA4F9F"/>
    <w:rsid w:val="00AB1E0A"/>
    <w:rsid w:val="00AB3900"/>
    <w:rsid w:val="00AB7215"/>
    <w:rsid w:val="00AB7772"/>
    <w:rsid w:val="00AC2CD6"/>
    <w:rsid w:val="00AC3864"/>
    <w:rsid w:val="00AC4C20"/>
    <w:rsid w:val="00AC4DAB"/>
    <w:rsid w:val="00AC4DE1"/>
    <w:rsid w:val="00AC56C2"/>
    <w:rsid w:val="00AC5E19"/>
    <w:rsid w:val="00AC75D8"/>
    <w:rsid w:val="00AD6E18"/>
    <w:rsid w:val="00AE24C9"/>
    <w:rsid w:val="00AE5C52"/>
    <w:rsid w:val="00AE5F45"/>
    <w:rsid w:val="00AF045F"/>
    <w:rsid w:val="00AF0FA2"/>
    <w:rsid w:val="00AF0FDD"/>
    <w:rsid w:val="00AF409A"/>
    <w:rsid w:val="00B0028B"/>
    <w:rsid w:val="00B00412"/>
    <w:rsid w:val="00B17A9D"/>
    <w:rsid w:val="00B21C2F"/>
    <w:rsid w:val="00B2518C"/>
    <w:rsid w:val="00B2764E"/>
    <w:rsid w:val="00B2767A"/>
    <w:rsid w:val="00B30E77"/>
    <w:rsid w:val="00B32EDC"/>
    <w:rsid w:val="00B33F27"/>
    <w:rsid w:val="00B456CC"/>
    <w:rsid w:val="00B478EF"/>
    <w:rsid w:val="00B51BAD"/>
    <w:rsid w:val="00B56551"/>
    <w:rsid w:val="00B57AE9"/>
    <w:rsid w:val="00B6040E"/>
    <w:rsid w:val="00B6349D"/>
    <w:rsid w:val="00B638BD"/>
    <w:rsid w:val="00B65EB5"/>
    <w:rsid w:val="00B72CEC"/>
    <w:rsid w:val="00B7752F"/>
    <w:rsid w:val="00B80707"/>
    <w:rsid w:val="00B866A9"/>
    <w:rsid w:val="00B87675"/>
    <w:rsid w:val="00B95043"/>
    <w:rsid w:val="00B95D4A"/>
    <w:rsid w:val="00B972A9"/>
    <w:rsid w:val="00BA3026"/>
    <w:rsid w:val="00BA3EFF"/>
    <w:rsid w:val="00BA4972"/>
    <w:rsid w:val="00BA5FE7"/>
    <w:rsid w:val="00BB1C24"/>
    <w:rsid w:val="00BC6774"/>
    <w:rsid w:val="00BC6EEF"/>
    <w:rsid w:val="00BC7980"/>
    <w:rsid w:val="00BD0387"/>
    <w:rsid w:val="00BD4D43"/>
    <w:rsid w:val="00BE0D5C"/>
    <w:rsid w:val="00BE65E4"/>
    <w:rsid w:val="00BF0AA7"/>
    <w:rsid w:val="00BF2F97"/>
    <w:rsid w:val="00C00765"/>
    <w:rsid w:val="00C06287"/>
    <w:rsid w:val="00C12C24"/>
    <w:rsid w:val="00C13158"/>
    <w:rsid w:val="00C14B0F"/>
    <w:rsid w:val="00C20D5E"/>
    <w:rsid w:val="00C23583"/>
    <w:rsid w:val="00C249B4"/>
    <w:rsid w:val="00C32AF5"/>
    <w:rsid w:val="00C336CF"/>
    <w:rsid w:val="00C3407E"/>
    <w:rsid w:val="00C3544B"/>
    <w:rsid w:val="00C36C67"/>
    <w:rsid w:val="00C40272"/>
    <w:rsid w:val="00C4066A"/>
    <w:rsid w:val="00C40D0E"/>
    <w:rsid w:val="00C469FC"/>
    <w:rsid w:val="00C51945"/>
    <w:rsid w:val="00C54224"/>
    <w:rsid w:val="00C56BAB"/>
    <w:rsid w:val="00C60D92"/>
    <w:rsid w:val="00C63986"/>
    <w:rsid w:val="00C6566B"/>
    <w:rsid w:val="00C65930"/>
    <w:rsid w:val="00C7354B"/>
    <w:rsid w:val="00C75AB0"/>
    <w:rsid w:val="00C804A3"/>
    <w:rsid w:val="00C81AB9"/>
    <w:rsid w:val="00C82AA4"/>
    <w:rsid w:val="00C8305C"/>
    <w:rsid w:val="00C8447B"/>
    <w:rsid w:val="00C85DD0"/>
    <w:rsid w:val="00C875EA"/>
    <w:rsid w:val="00C9090E"/>
    <w:rsid w:val="00C95691"/>
    <w:rsid w:val="00CA16F7"/>
    <w:rsid w:val="00CA1ECD"/>
    <w:rsid w:val="00CA3C5D"/>
    <w:rsid w:val="00CA4C7F"/>
    <w:rsid w:val="00CA7FEF"/>
    <w:rsid w:val="00CC0B4F"/>
    <w:rsid w:val="00CD0FA4"/>
    <w:rsid w:val="00CE30D1"/>
    <w:rsid w:val="00CE4CEB"/>
    <w:rsid w:val="00CE7C4F"/>
    <w:rsid w:val="00CF5974"/>
    <w:rsid w:val="00CF6640"/>
    <w:rsid w:val="00CF6793"/>
    <w:rsid w:val="00D0122D"/>
    <w:rsid w:val="00D032DC"/>
    <w:rsid w:val="00D056F2"/>
    <w:rsid w:val="00D0608D"/>
    <w:rsid w:val="00D06E87"/>
    <w:rsid w:val="00D06EFC"/>
    <w:rsid w:val="00D11062"/>
    <w:rsid w:val="00D1197E"/>
    <w:rsid w:val="00D12BCD"/>
    <w:rsid w:val="00D1619E"/>
    <w:rsid w:val="00D25410"/>
    <w:rsid w:val="00D2727E"/>
    <w:rsid w:val="00D33DA7"/>
    <w:rsid w:val="00D35DAB"/>
    <w:rsid w:val="00D4192C"/>
    <w:rsid w:val="00D472D8"/>
    <w:rsid w:val="00D533F8"/>
    <w:rsid w:val="00D56FF4"/>
    <w:rsid w:val="00D67182"/>
    <w:rsid w:val="00D73CE8"/>
    <w:rsid w:val="00D74036"/>
    <w:rsid w:val="00D808EE"/>
    <w:rsid w:val="00D8178B"/>
    <w:rsid w:val="00D90DC2"/>
    <w:rsid w:val="00D93663"/>
    <w:rsid w:val="00D94097"/>
    <w:rsid w:val="00D95451"/>
    <w:rsid w:val="00DA07F1"/>
    <w:rsid w:val="00DA7DA7"/>
    <w:rsid w:val="00DB0CB2"/>
    <w:rsid w:val="00DB48D9"/>
    <w:rsid w:val="00DC4B3C"/>
    <w:rsid w:val="00DC71A6"/>
    <w:rsid w:val="00DC7B2F"/>
    <w:rsid w:val="00DE179D"/>
    <w:rsid w:val="00DE55E6"/>
    <w:rsid w:val="00DF334B"/>
    <w:rsid w:val="00DF52EF"/>
    <w:rsid w:val="00E04482"/>
    <w:rsid w:val="00E07968"/>
    <w:rsid w:val="00E12830"/>
    <w:rsid w:val="00E14E1B"/>
    <w:rsid w:val="00E2267F"/>
    <w:rsid w:val="00E27C9F"/>
    <w:rsid w:val="00E31BD8"/>
    <w:rsid w:val="00E35959"/>
    <w:rsid w:val="00E4049B"/>
    <w:rsid w:val="00E45844"/>
    <w:rsid w:val="00E56694"/>
    <w:rsid w:val="00E56811"/>
    <w:rsid w:val="00E6139F"/>
    <w:rsid w:val="00E61E1E"/>
    <w:rsid w:val="00E62387"/>
    <w:rsid w:val="00E64B3B"/>
    <w:rsid w:val="00E66F9F"/>
    <w:rsid w:val="00E70948"/>
    <w:rsid w:val="00E71828"/>
    <w:rsid w:val="00E71A05"/>
    <w:rsid w:val="00E73768"/>
    <w:rsid w:val="00E76CDC"/>
    <w:rsid w:val="00E8307C"/>
    <w:rsid w:val="00E86FAD"/>
    <w:rsid w:val="00E90B9D"/>
    <w:rsid w:val="00E923F1"/>
    <w:rsid w:val="00E96687"/>
    <w:rsid w:val="00EA50FC"/>
    <w:rsid w:val="00EA5A80"/>
    <w:rsid w:val="00EB29FC"/>
    <w:rsid w:val="00EB3D8A"/>
    <w:rsid w:val="00EB44A7"/>
    <w:rsid w:val="00EB4AF9"/>
    <w:rsid w:val="00EB711D"/>
    <w:rsid w:val="00EB76F2"/>
    <w:rsid w:val="00EC16F9"/>
    <w:rsid w:val="00EC1862"/>
    <w:rsid w:val="00EC5640"/>
    <w:rsid w:val="00EC57E9"/>
    <w:rsid w:val="00EC6CA7"/>
    <w:rsid w:val="00ED22BA"/>
    <w:rsid w:val="00ED2536"/>
    <w:rsid w:val="00ED31A5"/>
    <w:rsid w:val="00ED44FA"/>
    <w:rsid w:val="00ED5180"/>
    <w:rsid w:val="00ED7003"/>
    <w:rsid w:val="00EE0426"/>
    <w:rsid w:val="00EE0E84"/>
    <w:rsid w:val="00EE308D"/>
    <w:rsid w:val="00EE318F"/>
    <w:rsid w:val="00EE44C9"/>
    <w:rsid w:val="00EF2769"/>
    <w:rsid w:val="00EF4DF3"/>
    <w:rsid w:val="00EF750B"/>
    <w:rsid w:val="00F0799D"/>
    <w:rsid w:val="00F209D8"/>
    <w:rsid w:val="00F27ED1"/>
    <w:rsid w:val="00F30681"/>
    <w:rsid w:val="00F331F0"/>
    <w:rsid w:val="00F3550D"/>
    <w:rsid w:val="00F46297"/>
    <w:rsid w:val="00F5172B"/>
    <w:rsid w:val="00F51A9A"/>
    <w:rsid w:val="00F53655"/>
    <w:rsid w:val="00F55501"/>
    <w:rsid w:val="00F569E6"/>
    <w:rsid w:val="00F6071E"/>
    <w:rsid w:val="00F61C30"/>
    <w:rsid w:val="00F62F88"/>
    <w:rsid w:val="00F63992"/>
    <w:rsid w:val="00F65284"/>
    <w:rsid w:val="00F66AD4"/>
    <w:rsid w:val="00F711FF"/>
    <w:rsid w:val="00F71512"/>
    <w:rsid w:val="00F731ED"/>
    <w:rsid w:val="00F7433D"/>
    <w:rsid w:val="00F74FA5"/>
    <w:rsid w:val="00F75920"/>
    <w:rsid w:val="00F77E6A"/>
    <w:rsid w:val="00F8198E"/>
    <w:rsid w:val="00F81D93"/>
    <w:rsid w:val="00F82D43"/>
    <w:rsid w:val="00F86C62"/>
    <w:rsid w:val="00F9171D"/>
    <w:rsid w:val="00F93164"/>
    <w:rsid w:val="00F940A3"/>
    <w:rsid w:val="00F9413F"/>
    <w:rsid w:val="00F94D21"/>
    <w:rsid w:val="00F95597"/>
    <w:rsid w:val="00F95B9A"/>
    <w:rsid w:val="00FA11D0"/>
    <w:rsid w:val="00FA406D"/>
    <w:rsid w:val="00FA4570"/>
    <w:rsid w:val="00FA64B5"/>
    <w:rsid w:val="00FB079A"/>
    <w:rsid w:val="00FB5DB7"/>
    <w:rsid w:val="00FC19A6"/>
    <w:rsid w:val="00FC1C39"/>
    <w:rsid w:val="00FC1F5A"/>
    <w:rsid w:val="00FC3C87"/>
    <w:rsid w:val="00FC5452"/>
    <w:rsid w:val="00FE1536"/>
    <w:rsid w:val="00FE1B28"/>
    <w:rsid w:val="00FE25EE"/>
    <w:rsid w:val="00FE4491"/>
    <w:rsid w:val="00FE62B5"/>
    <w:rsid w:val="00FF00EA"/>
    <w:rsid w:val="00FF0ED4"/>
    <w:rsid w:val="00FF1D8E"/>
    <w:rsid w:val="00FF2D07"/>
    <w:rsid w:val="00FF4D8C"/>
    <w:rsid w:val="00FF7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20D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36"/>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B66B3"/>
    <w:pPr>
      <w:numPr>
        <w:ilvl w:val="2"/>
      </w:numPr>
      <w:spacing w:before="300" w:line="260" w:lineRule="atLeast"/>
      <w:outlineLvl w:val="2"/>
    </w:pPr>
    <w:rPr>
      <w:rFonts w:ascii="Franklin Gothic Book" w:hAnsi="Franklin Gothic Book" w:cs="Times New Roman"/>
      <w:b/>
      <w:color w:val="auto"/>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B66B3"/>
    <w:rPr>
      <w:rFonts w:ascii="Franklin Gothic Book" w:eastAsia="Times New Roman" w:hAnsi="Franklin Gothic Book" w:cs="Times New Roman"/>
      <w:b/>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110C9"/>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FB079A"/>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FB079A"/>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List Paragraph2"/>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462CE5"/>
    <w:pPr>
      <w:spacing w:before="80" w:after="80" w:line="280" w:lineRule="atLeast"/>
    </w:pPr>
    <w:rPr>
      <w:rFonts w:ascii="Arial" w:eastAsia="Times New Roman" w:hAnsi="Arial"/>
      <w:iCs/>
      <w:szCs w:val="22"/>
    </w:rPr>
  </w:style>
  <w:style w:type="character" w:customStyle="1" w:styleId="BoxTextChar">
    <w:name w:val="Box Text Char"/>
    <w:link w:val="BoxText"/>
    <w:rsid w:val="00462CE5"/>
    <w:rPr>
      <w:rFonts w:ascii="Arial" w:eastAsia="Times New Roman" w:hAnsi="Arial"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uiPriority w:val="99"/>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rsid w:val="0050529F"/>
    <w:rPr>
      <w:rFonts w:ascii="Tahoma" w:eastAsia="Times New Roman" w:hAnsi="Tahoma" w:cs="Tahoma"/>
      <w:sz w:val="16"/>
      <w:szCs w:val="16"/>
    </w:rPr>
  </w:style>
  <w:style w:type="character" w:customStyle="1" w:styleId="BalloonTextChar">
    <w:name w:val="Balloon Text Char"/>
    <w:basedOn w:val="DefaultParagraphFont"/>
    <w:link w:val="BalloonText"/>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Palatino Linotype" w:hAnsi="Palatino Linotype"/>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CF6793"/>
    <w:pPr>
      <w:spacing w:after="0"/>
      <w:contextualSpacing/>
    </w:pPr>
    <w:rPr>
      <w:sz w:val="16"/>
      <w:szCs w:val="20"/>
    </w:rPr>
  </w:style>
  <w:style w:type="character" w:customStyle="1" w:styleId="FootnoteTextChar">
    <w:name w:val="Footnote Text Char"/>
    <w:basedOn w:val="DefaultParagraphFont"/>
    <w:link w:val="FootnoteText"/>
    <w:uiPriority w:val="99"/>
    <w:rsid w:val="00CF6793"/>
    <w:rPr>
      <w:rFonts w:ascii="Times New Roman" w:eastAsia="Times New Roman" w:hAnsi="Times New Roman" w:cs="Times New Roman"/>
      <w:sz w:val="16"/>
      <w:szCs w:val="20"/>
    </w:rPr>
  </w:style>
  <w:style w:type="character" w:styleId="FootnoteReference">
    <w:name w:val="footnote reference"/>
    <w:uiPriority w:val="99"/>
    <w:rsid w:val="00CF6793"/>
    <w:rPr>
      <w:rFonts w:ascii="Times New Roman" w:hAnsi="Times New Roman"/>
      <w:caps w:val="0"/>
      <w:smallCaps w:val="0"/>
      <w:strike w:val="0"/>
      <w:dstrike w:val="0"/>
      <w:vanish w:val="0"/>
      <w:w w:val="100"/>
      <w:position w:val="0"/>
      <w:sz w:val="22"/>
      <w:szCs w:val="12"/>
      <w:vertAlign w:val="superscript"/>
    </w:rPr>
  </w:style>
  <w:style w:type="character" w:customStyle="1" w:styleId="PACdotpointsChar">
    <w:name w:val="PAC dot points Char"/>
    <w:basedOn w:val="DefaultParagraphFont"/>
    <w:link w:val="PACdotpoints"/>
    <w:locked/>
    <w:rsid w:val="003E7898"/>
    <w:rPr>
      <w:rFonts w:ascii="Calibri" w:hAnsi="Calibri" w:cs="Calibri"/>
      <w:szCs w:val="24"/>
    </w:rPr>
  </w:style>
  <w:style w:type="paragraph" w:customStyle="1" w:styleId="PACdotpoints">
    <w:name w:val="PAC dot points"/>
    <w:basedOn w:val="ListParagraph"/>
    <w:link w:val="PACdotpointsChar"/>
    <w:qFormat/>
    <w:rsid w:val="003E7898"/>
    <w:pPr>
      <w:numPr>
        <w:numId w:val="19"/>
      </w:numPr>
      <w:autoSpaceDE w:val="0"/>
      <w:autoSpaceDN w:val="0"/>
      <w:adjustRightInd w:val="0"/>
      <w:spacing w:before="120" w:line="300" w:lineRule="auto"/>
      <w:contextualSpacing/>
    </w:pPr>
    <w:rPr>
      <w:rFonts w:ascii="Calibri" w:eastAsiaTheme="minorHAnsi" w:hAnsi="Calibri" w:cs="Calibri"/>
    </w:rPr>
  </w:style>
  <w:style w:type="paragraph" w:customStyle="1" w:styleId="Default">
    <w:name w:val="Default"/>
    <w:rsid w:val="003E7898"/>
    <w:pPr>
      <w:autoSpaceDE w:val="0"/>
      <w:autoSpaceDN w:val="0"/>
      <w:adjustRightInd w:val="0"/>
      <w:spacing w:after="0" w:line="240" w:lineRule="auto"/>
    </w:pPr>
    <w:rPr>
      <w:rFonts w:ascii="Arial" w:hAnsi="Arial" w:cs="Arial"/>
      <w:color w:val="000000"/>
      <w:sz w:val="24"/>
      <w:szCs w:val="24"/>
      <w:lang w:eastAsia="en-US"/>
    </w:rPr>
  </w:style>
  <w:style w:type="paragraph" w:customStyle="1" w:styleId="PACbodytext">
    <w:name w:val="PAC body text"/>
    <w:basedOn w:val="Normal"/>
    <w:link w:val="PACbodytextChar"/>
    <w:qFormat/>
    <w:rsid w:val="003E7898"/>
    <w:pPr>
      <w:spacing w:before="60" w:after="120" w:line="276" w:lineRule="auto"/>
    </w:pPr>
    <w:rPr>
      <w:rFonts w:eastAsia="Times New Roman" w:cstheme="minorHAnsi"/>
      <w:sz w:val="22"/>
    </w:rPr>
  </w:style>
  <w:style w:type="character" w:customStyle="1" w:styleId="PACbodytextChar">
    <w:name w:val="PAC body text Char"/>
    <w:basedOn w:val="DefaultParagraphFont"/>
    <w:link w:val="PACbodytext"/>
    <w:rsid w:val="003E7898"/>
    <w:rPr>
      <w:rFonts w:ascii="Times New Roman" w:eastAsia="Times New Roman" w:hAnsi="Times New Roman" w:cstheme="minorHAnsi"/>
      <w:szCs w:val="24"/>
    </w:rPr>
  </w:style>
  <w:style w:type="character" w:customStyle="1" w:styleId="ListParagraphChar">
    <w:name w:val="List Paragraph Char"/>
    <w:aliases w:val="List Paragraph1 Char,List Paragraph11 Char,List Paragraph2 Char"/>
    <w:basedOn w:val="DefaultParagraphFont"/>
    <w:link w:val="ListParagraph"/>
    <w:uiPriority w:val="34"/>
    <w:locked/>
    <w:rsid w:val="00B2767A"/>
    <w:rPr>
      <w:rFonts w:ascii="Times New Roman" w:eastAsia="Times New Roman" w:hAnsi="Times New Roman" w:cs="Times New Roman"/>
      <w:szCs w:val="24"/>
    </w:rPr>
  </w:style>
  <w:style w:type="paragraph" w:styleId="PlainText">
    <w:name w:val="Plain Text"/>
    <w:basedOn w:val="Normal"/>
    <w:link w:val="PlainTextChar"/>
    <w:uiPriority w:val="99"/>
    <w:unhideWhenUsed/>
    <w:rsid w:val="00B2767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2767A"/>
    <w:rPr>
      <w:rFonts w:ascii="Calibri" w:hAnsi="Calibri"/>
      <w:szCs w:val="21"/>
      <w:lang w:eastAsia="en-US"/>
    </w:rPr>
  </w:style>
  <w:style w:type="character" w:customStyle="1" w:styleId="BulletChar">
    <w:name w:val="Bullet Char"/>
    <w:aliases w:val="b + line Char Char,b Char"/>
    <w:link w:val="Bullet"/>
    <w:locked/>
    <w:rsid w:val="00765923"/>
    <w:rPr>
      <w:rFonts w:ascii="Palatino" w:eastAsia="Calibri" w:hAnsi="Palatino"/>
      <w:color w:val="000000"/>
    </w:rPr>
  </w:style>
  <w:style w:type="paragraph" w:customStyle="1" w:styleId="Bullet">
    <w:name w:val="Bullet"/>
    <w:aliases w:val="b,b + line"/>
    <w:basedOn w:val="Normal"/>
    <w:link w:val="BulletChar"/>
    <w:qFormat/>
    <w:rsid w:val="00765923"/>
    <w:pPr>
      <w:tabs>
        <w:tab w:val="num" w:pos="520"/>
      </w:tabs>
      <w:spacing w:after="240" w:line="320" w:lineRule="exact"/>
      <w:ind w:left="520" w:hanging="520"/>
    </w:pPr>
    <w:rPr>
      <w:rFonts w:ascii="Palatino" w:eastAsia="Calibri" w:hAnsi="Palatino" w:cstheme="minorBidi"/>
      <w:color w:val="000000"/>
      <w:sz w:val="22"/>
      <w:szCs w:val="22"/>
    </w:rPr>
  </w:style>
  <w:style w:type="paragraph" w:customStyle="1" w:styleId="Abodytextnospaceabovetext">
    <w:name w:val="A body text no space above (text)"/>
    <w:basedOn w:val="Normal"/>
    <w:rsid w:val="00765923"/>
    <w:pPr>
      <w:tabs>
        <w:tab w:val="left" w:pos="283"/>
        <w:tab w:val="left" w:pos="567"/>
      </w:tabs>
      <w:suppressAutoHyphens/>
      <w:autoSpaceDE w:val="0"/>
      <w:autoSpaceDN w:val="0"/>
      <w:adjustRightInd w:val="0"/>
      <w:spacing w:line="240" w:lineRule="atLeast"/>
      <w:textAlignment w:val="baseline"/>
    </w:pPr>
    <w:rPr>
      <w:rFonts w:ascii="ArialMT" w:eastAsia="Times New Roman" w:hAnsi="ArialMT" w:cs="ArialMT"/>
      <w:color w:val="000000"/>
      <w:sz w:val="18"/>
      <w:szCs w:val="18"/>
      <w:lang w:val="en-GB" w:eastAsia="en-US" w:bidi="en-US"/>
    </w:rPr>
  </w:style>
  <w:style w:type="paragraph" w:styleId="NormalWeb">
    <w:name w:val="Normal (Web)"/>
    <w:basedOn w:val="Normal"/>
    <w:uiPriority w:val="99"/>
    <w:unhideWhenUsed/>
    <w:rsid w:val="00765923"/>
    <w:pPr>
      <w:spacing w:before="100" w:beforeAutospacing="1" w:after="100" w:afterAutospacing="1"/>
    </w:pPr>
    <w:rPr>
      <w:rFonts w:eastAsia="Times New Roman"/>
      <w:sz w:val="24"/>
    </w:rPr>
  </w:style>
  <w:style w:type="character" w:customStyle="1" w:styleId="st">
    <w:name w:val="st"/>
    <w:basedOn w:val="DefaultParagraphFont"/>
    <w:rsid w:val="00765923"/>
  </w:style>
  <w:style w:type="paragraph" w:customStyle="1" w:styleId="xl65">
    <w:name w:val="xl65"/>
    <w:basedOn w:val="Normal"/>
    <w:rsid w:val="006B1681"/>
    <w:pPr>
      <w:spacing w:before="100" w:beforeAutospacing="1" w:after="100" w:afterAutospacing="1"/>
      <w:textAlignment w:val="center"/>
    </w:pPr>
    <w:rPr>
      <w:rFonts w:eastAsia="Times New Roman"/>
      <w:sz w:val="24"/>
    </w:rPr>
  </w:style>
  <w:style w:type="paragraph" w:customStyle="1" w:styleId="xl66">
    <w:name w:val="xl66"/>
    <w:basedOn w:val="Normal"/>
    <w:rsid w:val="006B1681"/>
    <w:pPr>
      <w:spacing w:before="100" w:beforeAutospacing="1" w:after="100" w:afterAutospacing="1"/>
      <w:jc w:val="center"/>
    </w:pPr>
    <w:rPr>
      <w:rFonts w:eastAsia="Times New Roman"/>
      <w:b/>
      <w:bCs/>
      <w:sz w:val="24"/>
    </w:rPr>
  </w:style>
  <w:style w:type="paragraph" w:customStyle="1" w:styleId="xl67">
    <w:name w:val="xl67"/>
    <w:basedOn w:val="Normal"/>
    <w:rsid w:val="006B1681"/>
    <w:pPr>
      <w:spacing w:before="100" w:beforeAutospacing="1" w:after="100" w:afterAutospacing="1"/>
      <w:jc w:val="center"/>
    </w:pPr>
    <w:rPr>
      <w:rFonts w:eastAsia="Times New Roman"/>
      <w:b/>
      <w:bCs/>
      <w:sz w:val="24"/>
    </w:rPr>
  </w:style>
  <w:style w:type="paragraph" w:customStyle="1" w:styleId="xl68">
    <w:name w:val="xl68"/>
    <w:basedOn w:val="Normal"/>
    <w:rsid w:val="006B1681"/>
    <w:pPr>
      <w:spacing w:before="100" w:beforeAutospacing="1" w:after="100" w:afterAutospacing="1"/>
      <w:jc w:val="center"/>
    </w:pPr>
    <w:rPr>
      <w:rFonts w:eastAsia="Times New Roman"/>
      <w:b/>
      <w:bCs/>
      <w:sz w:val="24"/>
    </w:rPr>
  </w:style>
  <w:style w:type="paragraph" w:customStyle="1" w:styleId="xl69">
    <w:name w:val="xl69"/>
    <w:basedOn w:val="Normal"/>
    <w:rsid w:val="006B1681"/>
    <w:pPr>
      <w:spacing w:before="100" w:beforeAutospacing="1" w:after="100" w:afterAutospacing="1"/>
    </w:pPr>
    <w:rPr>
      <w:rFonts w:eastAsia="Times New Roman"/>
      <w:sz w:val="24"/>
    </w:rPr>
  </w:style>
  <w:style w:type="paragraph" w:customStyle="1" w:styleId="xl70">
    <w:name w:val="xl70"/>
    <w:basedOn w:val="Normal"/>
    <w:rsid w:val="006B1681"/>
    <w:pPr>
      <w:spacing w:before="100" w:beforeAutospacing="1" w:after="100" w:afterAutospacing="1"/>
      <w:jc w:val="center"/>
    </w:pPr>
    <w:rPr>
      <w:rFonts w:eastAsia="Times New Roman"/>
      <w:b/>
      <w:bCs/>
      <w:sz w:val="24"/>
    </w:rPr>
  </w:style>
  <w:style w:type="paragraph" w:customStyle="1" w:styleId="xl71">
    <w:name w:val="xl71"/>
    <w:basedOn w:val="Normal"/>
    <w:rsid w:val="006B1681"/>
    <w:pPr>
      <w:spacing w:before="100" w:beforeAutospacing="1" w:after="100" w:afterAutospacing="1"/>
      <w:jc w:val="center"/>
      <w:textAlignment w:val="center"/>
    </w:pPr>
    <w:rPr>
      <w:rFonts w:eastAsia="Times New Roman"/>
      <w:sz w:val="24"/>
    </w:rPr>
  </w:style>
  <w:style w:type="paragraph" w:customStyle="1" w:styleId="xl72">
    <w:name w:val="xl72"/>
    <w:basedOn w:val="Normal"/>
    <w:rsid w:val="006B1681"/>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rFonts w:eastAsia="Times New Roman"/>
      <w:sz w:val="24"/>
    </w:rPr>
  </w:style>
  <w:style w:type="paragraph" w:customStyle="1" w:styleId="xl73">
    <w:name w:val="xl73"/>
    <w:basedOn w:val="Normal"/>
    <w:rsid w:val="006B1681"/>
    <w:pPr>
      <w:pBdr>
        <w:top w:val="single" w:sz="12" w:space="0" w:color="FFFFFF"/>
        <w:left w:val="single" w:sz="12" w:space="0" w:color="FFFFFF"/>
        <w:bottom w:val="single" w:sz="12" w:space="0" w:color="FFFFFF"/>
        <w:right w:val="single" w:sz="12" w:space="0" w:color="FFFFFF"/>
      </w:pBdr>
      <w:shd w:val="clear" w:color="000000" w:fill="FFFF00"/>
      <w:spacing w:before="100" w:beforeAutospacing="1" w:after="100" w:afterAutospacing="1"/>
      <w:jc w:val="center"/>
      <w:textAlignment w:val="center"/>
    </w:pPr>
    <w:rPr>
      <w:rFonts w:eastAsia="Times New Roman"/>
      <w:sz w:val="24"/>
    </w:rPr>
  </w:style>
  <w:style w:type="paragraph" w:customStyle="1" w:styleId="xl74">
    <w:name w:val="xl74"/>
    <w:basedOn w:val="Normal"/>
    <w:rsid w:val="006B1681"/>
    <w:pPr>
      <w:pBdr>
        <w:top w:val="single" w:sz="12" w:space="0" w:color="FFFFFF"/>
        <w:left w:val="single" w:sz="12" w:space="0" w:color="FFFFFF"/>
        <w:bottom w:val="single" w:sz="12" w:space="0" w:color="FFFFFF"/>
        <w:right w:val="single" w:sz="12" w:space="0" w:color="FFFFFF"/>
      </w:pBdr>
      <w:shd w:val="clear" w:color="000000" w:fill="FF9900"/>
      <w:spacing w:before="100" w:beforeAutospacing="1" w:after="100" w:afterAutospacing="1"/>
      <w:jc w:val="center"/>
      <w:textAlignment w:val="center"/>
    </w:pPr>
    <w:rPr>
      <w:rFonts w:eastAsia="Times New Roman"/>
      <w:sz w:val="24"/>
    </w:rPr>
  </w:style>
  <w:style w:type="paragraph" w:customStyle="1" w:styleId="xl75">
    <w:name w:val="xl75"/>
    <w:basedOn w:val="Normal"/>
    <w:rsid w:val="006B1681"/>
    <w:pPr>
      <w:pBdr>
        <w:top w:val="single" w:sz="12" w:space="0" w:color="FFFFFF"/>
        <w:left w:val="single" w:sz="12" w:space="0" w:color="FFFFFF"/>
        <w:bottom w:val="single" w:sz="12" w:space="0" w:color="FFFFFF"/>
        <w:right w:val="single" w:sz="12" w:space="0" w:color="FFFFFF"/>
      </w:pBdr>
      <w:shd w:val="clear" w:color="000000" w:fill="A6A6A6"/>
      <w:spacing w:before="100" w:beforeAutospacing="1" w:after="100" w:afterAutospacing="1"/>
      <w:jc w:val="center"/>
      <w:textAlignment w:val="center"/>
    </w:pPr>
    <w:rPr>
      <w:rFonts w:eastAsia="Times New Roman"/>
      <w:sz w:val="24"/>
    </w:rPr>
  </w:style>
  <w:style w:type="paragraph" w:customStyle="1" w:styleId="xl76">
    <w:name w:val="xl76"/>
    <w:basedOn w:val="Normal"/>
    <w:rsid w:val="006B1681"/>
    <w:pPr>
      <w:pBdr>
        <w:top w:val="single" w:sz="12" w:space="0" w:color="FFFFFF"/>
        <w:left w:val="single" w:sz="12" w:space="0" w:color="FFFFFF"/>
        <w:bottom w:val="single" w:sz="12" w:space="0" w:color="FFFFFF"/>
        <w:right w:val="single" w:sz="12" w:space="0" w:color="FFFFFF"/>
      </w:pBdr>
      <w:shd w:val="clear" w:color="000000" w:fill="FFFF99"/>
      <w:spacing w:before="100" w:beforeAutospacing="1" w:after="100" w:afterAutospacing="1"/>
      <w:jc w:val="center"/>
      <w:textAlignment w:val="center"/>
    </w:pPr>
    <w:rPr>
      <w:rFonts w:eastAsia="Times New Roman"/>
      <w:sz w:val="24"/>
    </w:rPr>
  </w:style>
  <w:style w:type="paragraph" w:customStyle="1" w:styleId="xl77">
    <w:name w:val="xl77"/>
    <w:basedOn w:val="Normal"/>
    <w:rsid w:val="006B1681"/>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8">
    <w:name w:val="xl78"/>
    <w:basedOn w:val="Normal"/>
    <w:rsid w:val="006B1681"/>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9">
    <w:name w:val="xl79"/>
    <w:basedOn w:val="Normal"/>
    <w:rsid w:val="006B1681"/>
    <w:pPr>
      <w:pBdr>
        <w:top w:val="single" w:sz="12" w:space="0" w:color="FFFFFF"/>
        <w:left w:val="single" w:sz="12" w:space="0" w:color="FFFFFF"/>
        <w:bottom w:val="single" w:sz="12" w:space="0" w:color="FFFFFF"/>
        <w:right w:val="single" w:sz="12" w:space="0" w:color="FFFFFF"/>
      </w:pBdr>
      <w:shd w:val="clear" w:color="000000" w:fill="339966"/>
      <w:spacing w:before="100" w:beforeAutospacing="1" w:after="100" w:afterAutospacing="1"/>
      <w:jc w:val="center"/>
      <w:textAlignment w:val="center"/>
    </w:pPr>
    <w:rPr>
      <w:rFonts w:eastAsia="Times New Roman"/>
      <w:sz w:val="24"/>
    </w:rPr>
  </w:style>
  <w:style w:type="paragraph" w:customStyle="1" w:styleId="xl80">
    <w:name w:val="xl80"/>
    <w:basedOn w:val="Normal"/>
    <w:rsid w:val="006B1681"/>
    <w:pPr>
      <w:spacing w:before="100" w:beforeAutospacing="1" w:after="100" w:afterAutospacing="1"/>
      <w:jc w:val="center"/>
      <w:textAlignment w:val="center"/>
    </w:pPr>
    <w:rPr>
      <w:rFonts w:eastAsia="Times New Roman"/>
      <w:sz w:val="24"/>
    </w:rPr>
  </w:style>
  <w:style w:type="paragraph" w:customStyle="1" w:styleId="xl81">
    <w:name w:val="xl81"/>
    <w:basedOn w:val="Normal"/>
    <w:rsid w:val="006B1681"/>
    <w:pPr>
      <w:spacing w:before="100" w:beforeAutospacing="1" w:after="100" w:afterAutospacing="1"/>
      <w:jc w:val="center"/>
      <w:textAlignment w:val="center"/>
    </w:pPr>
    <w:rPr>
      <w:rFonts w:eastAsia="Times New Roman"/>
      <w:sz w:val="24"/>
    </w:rPr>
  </w:style>
  <w:style w:type="paragraph" w:customStyle="1" w:styleId="xl82">
    <w:name w:val="xl82"/>
    <w:basedOn w:val="Normal"/>
    <w:rsid w:val="006B1681"/>
    <w:pPr>
      <w:spacing w:before="100" w:beforeAutospacing="1" w:after="100" w:afterAutospacing="1"/>
      <w:jc w:val="center"/>
      <w:textAlignment w:val="center"/>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36"/>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B66B3"/>
    <w:pPr>
      <w:numPr>
        <w:ilvl w:val="2"/>
      </w:numPr>
      <w:spacing w:before="300" w:line="260" w:lineRule="atLeast"/>
      <w:outlineLvl w:val="2"/>
    </w:pPr>
    <w:rPr>
      <w:rFonts w:ascii="Franklin Gothic Book" w:hAnsi="Franklin Gothic Book" w:cs="Times New Roman"/>
      <w:b/>
      <w:color w:val="auto"/>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B66B3"/>
    <w:rPr>
      <w:rFonts w:ascii="Franklin Gothic Book" w:eastAsia="Times New Roman" w:hAnsi="Franklin Gothic Book" w:cs="Times New Roman"/>
      <w:b/>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110C9"/>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FB079A"/>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FB079A"/>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List Paragraph2"/>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462CE5"/>
    <w:pPr>
      <w:spacing w:before="80" w:after="80" w:line="280" w:lineRule="atLeast"/>
    </w:pPr>
    <w:rPr>
      <w:rFonts w:ascii="Arial" w:eastAsia="Times New Roman" w:hAnsi="Arial"/>
      <w:iCs/>
      <w:szCs w:val="22"/>
    </w:rPr>
  </w:style>
  <w:style w:type="character" w:customStyle="1" w:styleId="BoxTextChar">
    <w:name w:val="Box Text Char"/>
    <w:link w:val="BoxText"/>
    <w:rsid w:val="00462CE5"/>
    <w:rPr>
      <w:rFonts w:ascii="Arial" w:eastAsia="Times New Roman" w:hAnsi="Arial"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uiPriority w:val="99"/>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rsid w:val="0050529F"/>
    <w:rPr>
      <w:rFonts w:ascii="Tahoma" w:eastAsia="Times New Roman" w:hAnsi="Tahoma" w:cs="Tahoma"/>
      <w:sz w:val="16"/>
      <w:szCs w:val="16"/>
    </w:rPr>
  </w:style>
  <w:style w:type="character" w:customStyle="1" w:styleId="BalloonTextChar">
    <w:name w:val="Balloon Text Char"/>
    <w:basedOn w:val="DefaultParagraphFont"/>
    <w:link w:val="BalloonText"/>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Palatino Linotype" w:hAnsi="Palatino Linotype"/>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CF6793"/>
    <w:pPr>
      <w:spacing w:after="0"/>
      <w:contextualSpacing/>
    </w:pPr>
    <w:rPr>
      <w:sz w:val="16"/>
      <w:szCs w:val="20"/>
    </w:rPr>
  </w:style>
  <w:style w:type="character" w:customStyle="1" w:styleId="FootnoteTextChar">
    <w:name w:val="Footnote Text Char"/>
    <w:basedOn w:val="DefaultParagraphFont"/>
    <w:link w:val="FootnoteText"/>
    <w:uiPriority w:val="99"/>
    <w:rsid w:val="00CF6793"/>
    <w:rPr>
      <w:rFonts w:ascii="Times New Roman" w:eastAsia="Times New Roman" w:hAnsi="Times New Roman" w:cs="Times New Roman"/>
      <w:sz w:val="16"/>
      <w:szCs w:val="20"/>
    </w:rPr>
  </w:style>
  <w:style w:type="character" w:styleId="FootnoteReference">
    <w:name w:val="footnote reference"/>
    <w:uiPriority w:val="99"/>
    <w:rsid w:val="00CF6793"/>
    <w:rPr>
      <w:rFonts w:ascii="Times New Roman" w:hAnsi="Times New Roman"/>
      <w:caps w:val="0"/>
      <w:smallCaps w:val="0"/>
      <w:strike w:val="0"/>
      <w:dstrike w:val="0"/>
      <w:vanish w:val="0"/>
      <w:w w:val="100"/>
      <w:position w:val="0"/>
      <w:sz w:val="22"/>
      <w:szCs w:val="12"/>
      <w:vertAlign w:val="superscript"/>
    </w:rPr>
  </w:style>
  <w:style w:type="character" w:customStyle="1" w:styleId="PACdotpointsChar">
    <w:name w:val="PAC dot points Char"/>
    <w:basedOn w:val="DefaultParagraphFont"/>
    <w:link w:val="PACdotpoints"/>
    <w:locked/>
    <w:rsid w:val="003E7898"/>
    <w:rPr>
      <w:rFonts w:ascii="Calibri" w:hAnsi="Calibri" w:cs="Calibri"/>
      <w:szCs w:val="24"/>
    </w:rPr>
  </w:style>
  <w:style w:type="paragraph" w:customStyle="1" w:styleId="PACdotpoints">
    <w:name w:val="PAC dot points"/>
    <w:basedOn w:val="ListParagraph"/>
    <w:link w:val="PACdotpointsChar"/>
    <w:qFormat/>
    <w:rsid w:val="003E7898"/>
    <w:pPr>
      <w:numPr>
        <w:numId w:val="19"/>
      </w:numPr>
      <w:autoSpaceDE w:val="0"/>
      <w:autoSpaceDN w:val="0"/>
      <w:adjustRightInd w:val="0"/>
      <w:spacing w:before="120" w:line="300" w:lineRule="auto"/>
      <w:contextualSpacing/>
    </w:pPr>
    <w:rPr>
      <w:rFonts w:ascii="Calibri" w:eastAsiaTheme="minorHAnsi" w:hAnsi="Calibri" w:cs="Calibri"/>
    </w:rPr>
  </w:style>
  <w:style w:type="paragraph" w:customStyle="1" w:styleId="Default">
    <w:name w:val="Default"/>
    <w:rsid w:val="003E7898"/>
    <w:pPr>
      <w:autoSpaceDE w:val="0"/>
      <w:autoSpaceDN w:val="0"/>
      <w:adjustRightInd w:val="0"/>
      <w:spacing w:after="0" w:line="240" w:lineRule="auto"/>
    </w:pPr>
    <w:rPr>
      <w:rFonts w:ascii="Arial" w:hAnsi="Arial" w:cs="Arial"/>
      <w:color w:val="000000"/>
      <w:sz w:val="24"/>
      <w:szCs w:val="24"/>
      <w:lang w:eastAsia="en-US"/>
    </w:rPr>
  </w:style>
  <w:style w:type="paragraph" w:customStyle="1" w:styleId="PACbodytext">
    <w:name w:val="PAC body text"/>
    <w:basedOn w:val="Normal"/>
    <w:link w:val="PACbodytextChar"/>
    <w:qFormat/>
    <w:rsid w:val="003E7898"/>
    <w:pPr>
      <w:spacing w:before="60" w:after="120" w:line="276" w:lineRule="auto"/>
    </w:pPr>
    <w:rPr>
      <w:rFonts w:eastAsia="Times New Roman" w:cstheme="minorHAnsi"/>
      <w:sz w:val="22"/>
    </w:rPr>
  </w:style>
  <w:style w:type="character" w:customStyle="1" w:styleId="PACbodytextChar">
    <w:name w:val="PAC body text Char"/>
    <w:basedOn w:val="DefaultParagraphFont"/>
    <w:link w:val="PACbodytext"/>
    <w:rsid w:val="003E7898"/>
    <w:rPr>
      <w:rFonts w:ascii="Times New Roman" w:eastAsia="Times New Roman" w:hAnsi="Times New Roman" w:cstheme="minorHAnsi"/>
      <w:szCs w:val="24"/>
    </w:rPr>
  </w:style>
  <w:style w:type="character" w:customStyle="1" w:styleId="ListParagraphChar">
    <w:name w:val="List Paragraph Char"/>
    <w:aliases w:val="List Paragraph1 Char,List Paragraph11 Char,List Paragraph2 Char"/>
    <w:basedOn w:val="DefaultParagraphFont"/>
    <w:link w:val="ListParagraph"/>
    <w:uiPriority w:val="34"/>
    <w:locked/>
    <w:rsid w:val="00B2767A"/>
    <w:rPr>
      <w:rFonts w:ascii="Times New Roman" w:eastAsia="Times New Roman" w:hAnsi="Times New Roman" w:cs="Times New Roman"/>
      <w:szCs w:val="24"/>
    </w:rPr>
  </w:style>
  <w:style w:type="paragraph" w:styleId="PlainText">
    <w:name w:val="Plain Text"/>
    <w:basedOn w:val="Normal"/>
    <w:link w:val="PlainTextChar"/>
    <w:uiPriority w:val="99"/>
    <w:unhideWhenUsed/>
    <w:rsid w:val="00B2767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2767A"/>
    <w:rPr>
      <w:rFonts w:ascii="Calibri" w:hAnsi="Calibri"/>
      <w:szCs w:val="21"/>
      <w:lang w:eastAsia="en-US"/>
    </w:rPr>
  </w:style>
  <w:style w:type="character" w:customStyle="1" w:styleId="BulletChar">
    <w:name w:val="Bullet Char"/>
    <w:aliases w:val="b + line Char Char,b Char"/>
    <w:link w:val="Bullet"/>
    <w:locked/>
    <w:rsid w:val="00765923"/>
    <w:rPr>
      <w:rFonts w:ascii="Palatino" w:eastAsia="Calibri" w:hAnsi="Palatino"/>
      <w:color w:val="000000"/>
    </w:rPr>
  </w:style>
  <w:style w:type="paragraph" w:customStyle="1" w:styleId="Bullet">
    <w:name w:val="Bullet"/>
    <w:aliases w:val="b,b + line"/>
    <w:basedOn w:val="Normal"/>
    <w:link w:val="BulletChar"/>
    <w:qFormat/>
    <w:rsid w:val="00765923"/>
    <w:pPr>
      <w:tabs>
        <w:tab w:val="num" w:pos="520"/>
      </w:tabs>
      <w:spacing w:after="240" w:line="320" w:lineRule="exact"/>
      <w:ind w:left="520" w:hanging="520"/>
    </w:pPr>
    <w:rPr>
      <w:rFonts w:ascii="Palatino" w:eastAsia="Calibri" w:hAnsi="Palatino" w:cstheme="minorBidi"/>
      <w:color w:val="000000"/>
      <w:sz w:val="22"/>
      <w:szCs w:val="22"/>
    </w:rPr>
  </w:style>
  <w:style w:type="paragraph" w:customStyle="1" w:styleId="Abodytextnospaceabovetext">
    <w:name w:val="A body text no space above (text)"/>
    <w:basedOn w:val="Normal"/>
    <w:rsid w:val="00765923"/>
    <w:pPr>
      <w:tabs>
        <w:tab w:val="left" w:pos="283"/>
        <w:tab w:val="left" w:pos="567"/>
      </w:tabs>
      <w:suppressAutoHyphens/>
      <w:autoSpaceDE w:val="0"/>
      <w:autoSpaceDN w:val="0"/>
      <w:adjustRightInd w:val="0"/>
      <w:spacing w:line="240" w:lineRule="atLeast"/>
      <w:textAlignment w:val="baseline"/>
    </w:pPr>
    <w:rPr>
      <w:rFonts w:ascii="ArialMT" w:eastAsia="Times New Roman" w:hAnsi="ArialMT" w:cs="ArialMT"/>
      <w:color w:val="000000"/>
      <w:sz w:val="18"/>
      <w:szCs w:val="18"/>
      <w:lang w:val="en-GB" w:eastAsia="en-US" w:bidi="en-US"/>
    </w:rPr>
  </w:style>
  <w:style w:type="paragraph" w:styleId="NormalWeb">
    <w:name w:val="Normal (Web)"/>
    <w:basedOn w:val="Normal"/>
    <w:uiPriority w:val="99"/>
    <w:unhideWhenUsed/>
    <w:rsid w:val="00765923"/>
    <w:pPr>
      <w:spacing w:before="100" w:beforeAutospacing="1" w:after="100" w:afterAutospacing="1"/>
    </w:pPr>
    <w:rPr>
      <w:rFonts w:eastAsia="Times New Roman"/>
      <w:sz w:val="24"/>
    </w:rPr>
  </w:style>
  <w:style w:type="character" w:customStyle="1" w:styleId="st">
    <w:name w:val="st"/>
    <w:basedOn w:val="DefaultParagraphFont"/>
    <w:rsid w:val="00765923"/>
  </w:style>
  <w:style w:type="paragraph" w:customStyle="1" w:styleId="xl65">
    <w:name w:val="xl65"/>
    <w:basedOn w:val="Normal"/>
    <w:rsid w:val="006B1681"/>
    <w:pPr>
      <w:spacing w:before="100" w:beforeAutospacing="1" w:after="100" w:afterAutospacing="1"/>
      <w:textAlignment w:val="center"/>
    </w:pPr>
    <w:rPr>
      <w:rFonts w:eastAsia="Times New Roman"/>
      <w:sz w:val="24"/>
    </w:rPr>
  </w:style>
  <w:style w:type="paragraph" w:customStyle="1" w:styleId="xl66">
    <w:name w:val="xl66"/>
    <w:basedOn w:val="Normal"/>
    <w:rsid w:val="006B1681"/>
    <w:pPr>
      <w:spacing w:before="100" w:beforeAutospacing="1" w:after="100" w:afterAutospacing="1"/>
      <w:jc w:val="center"/>
    </w:pPr>
    <w:rPr>
      <w:rFonts w:eastAsia="Times New Roman"/>
      <w:b/>
      <w:bCs/>
      <w:sz w:val="24"/>
    </w:rPr>
  </w:style>
  <w:style w:type="paragraph" w:customStyle="1" w:styleId="xl67">
    <w:name w:val="xl67"/>
    <w:basedOn w:val="Normal"/>
    <w:rsid w:val="006B1681"/>
    <w:pPr>
      <w:spacing w:before="100" w:beforeAutospacing="1" w:after="100" w:afterAutospacing="1"/>
      <w:jc w:val="center"/>
    </w:pPr>
    <w:rPr>
      <w:rFonts w:eastAsia="Times New Roman"/>
      <w:b/>
      <w:bCs/>
      <w:sz w:val="24"/>
    </w:rPr>
  </w:style>
  <w:style w:type="paragraph" w:customStyle="1" w:styleId="xl68">
    <w:name w:val="xl68"/>
    <w:basedOn w:val="Normal"/>
    <w:rsid w:val="006B1681"/>
    <w:pPr>
      <w:spacing w:before="100" w:beforeAutospacing="1" w:after="100" w:afterAutospacing="1"/>
      <w:jc w:val="center"/>
    </w:pPr>
    <w:rPr>
      <w:rFonts w:eastAsia="Times New Roman"/>
      <w:b/>
      <w:bCs/>
      <w:sz w:val="24"/>
    </w:rPr>
  </w:style>
  <w:style w:type="paragraph" w:customStyle="1" w:styleId="xl69">
    <w:name w:val="xl69"/>
    <w:basedOn w:val="Normal"/>
    <w:rsid w:val="006B1681"/>
    <w:pPr>
      <w:spacing w:before="100" w:beforeAutospacing="1" w:after="100" w:afterAutospacing="1"/>
    </w:pPr>
    <w:rPr>
      <w:rFonts w:eastAsia="Times New Roman"/>
      <w:sz w:val="24"/>
    </w:rPr>
  </w:style>
  <w:style w:type="paragraph" w:customStyle="1" w:styleId="xl70">
    <w:name w:val="xl70"/>
    <w:basedOn w:val="Normal"/>
    <w:rsid w:val="006B1681"/>
    <w:pPr>
      <w:spacing w:before="100" w:beforeAutospacing="1" w:after="100" w:afterAutospacing="1"/>
      <w:jc w:val="center"/>
    </w:pPr>
    <w:rPr>
      <w:rFonts w:eastAsia="Times New Roman"/>
      <w:b/>
      <w:bCs/>
      <w:sz w:val="24"/>
    </w:rPr>
  </w:style>
  <w:style w:type="paragraph" w:customStyle="1" w:styleId="xl71">
    <w:name w:val="xl71"/>
    <w:basedOn w:val="Normal"/>
    <w:rsid w:val="006B1681"/>
    <w:pPr>
      <w:spacing w:before="100" w:beforeAutospacing="1" w:after="100" w:afterAutospacing="1"/>
      <w:jc w:val="center"/>
      <w:textAlignment w:val="center"/>
    </w:pPr>
    <w:rPr>
      <w:rFonts w:eastAsia="Times New Roman"/>
      <w:sz w:val="24"/>
    </w:rPr>
  </w:style>
  <w:style w:type="paragraph" w:customStyle="1" w:styleId="xl72">
    <w:name w:val="xl72"/>
    <w:basedOn w:val="Normal"/>
    <w:rsid w:val="006B1681"/>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rFonts w:eastAsia="Times New Roman"/>
      <w:sz w:val="24"/>
    </w:rPr>
  </w:style>
  <w:style w:type="paragraph" w:customStyle="1" w:styleId="xl73">
    <w:name w:val="xl73"/>
    <w:basedOn w:val="Normal"/>
    <w:rsid w:val="006B1681"/>
    <w:pPr>
      <w:pBdr>
        <w:top w:val="single" w:sz="12" w:space="0" w:color="FFFFFF"/>
        <w:left w:val="single" w:sz="12" w:space="0" w:color="FFFFFF"/>
        <w:bottom w:val="single" w:sz="12" w:space="0" w:color="FFFFFF"/>
        <w:right w:val="single" w:sz="12" w:space="0" w:color="FFFFFF"/>
      </w:pBdr>
      <w:shd w:val="clear" w:color="000000" w:fill="FFFF00"/>
      <w:spacing w:before="100" w:beforeAutospacing="1" w:after="100" w:afterAutospacing="1"/>
      <w:jc w:val="center"/>
      <w:textAlignment w:val="center"/>
    </w:pPr>
    <w:rPr>
      <w:rFonts w:eastAsia="Times New Roman"/>
      <w:sz w:val="24"/>
    </w:rPr>
  </w:style>
  <w:style w:type="paragraph" w:customStyle="1" w:styleId="xl74">
    <w:name w:val="xl74"/>
    <w:basedOn w:val="Normal"/>
    <w:rsid w:val="006B1681"/>
    <w:pPr>
      <w:pBdr>
        <w:top w:val="single" w:sz="12" w:space="0" w:color="FFFFFF"/>
        <w:left w:val="single" w:sz="12" w:space="0" w:color="FFFFFF"/>
        <w:bottom w:val="single" w:sz="12" w:space="0" w:color="FFFFFF"/>
        <w:right w:val="single" w:sz="12" w:space="0" w:color="FFFFFF"/>
      </w:pBdr>
      <w:shd w:val="clear" w:color="000000" w:fill="FF9900"/>
      <w:spacing w:before="100" w:beforeAutospacing="1" w:after="100" w:afterAutospacing="1"/>
      <w:jc w:val="center"/>
      <w:textAlignment w:val="center"/>
    </w:pPr>
    <w:rPr>
      <w:rFonts w:eastAsia="Times New Roman"/>
      <w:sz w:val="24"/>
    </w:rPr>
  </w:style>
  <w:style w:type="paragraph" w:customStyle="1" w:styleId="xl75">
    <w:name w:val="xl75"/>
    <w:basedOn w:val="Normal"/>
    <w:rsid w:val="006B1681"/>
    <w:pPr>
      <w:pBdr>
        <w:top w:val="single" w:sz="12" w:space="0" w:color="FFFFFF"/>
        <w:left w:val="single" w:sz="12" w:space="0" w:color="FFFFFF"/>
        <w:bottom w:val="single" w:sz="12" w:space="0" w:color="FFFFFF"/>
        <w:right w:val="single" w:sz="12" w:space="0" w:color="FFFFFF"/>
      </w:pBdr>
      <w:shd w:val="clear" w:color="000000" w:fill="A6A6A6"/>
      <w:spacing w:before="100" w:beforeAutospacing="1" w:after="100" w:afterAutospacing="1"/>
      <w:jc w:val="center"/>
      <w:textAlignment w:val="center"/>
    </w:pPr>
    <w:rPr>
      <w:rFonts w:eastAsia="Times New Roman"/>
      <w:sz w:val="24"/>
    </w:rPr>
  </w:style>
  <w:style w:type="paragraph" w:customStyle="1" w:styleId="xl76">
    <w:name w:val="xl76"/>
    <w:basedOn w:val="Normal"/>
    <w:rsid w:val="006B1681"/>
    <w:pPr>
      <w:pBdr>
        <w:top w:val="single" w:sz="12" w:space="0" w:color="FFFFFF"/>
        <w:left w:val="single" w:sz="12" w:space="0" w:color="FFFFFF"/>
        <w:bottom w:val="single" w:sz="12" w:space="0" w:color="FFFFFF"/>
        <w:right w:val="single" w:sz="12" w:space="0" w:color="FFFFFF"/>
      </w:pBdr>
      <w:shd w:val="clear" w:color="000000" w:fill="FFFF99"/>
      <w:spacing w:before="100" w:beforeAutospacing="1" w:after="100" w:afterAutospacing="1"/>
      <w:jc w:val="center"/>
      <w:textAlignment w:val="center"/>
    </w:pPr>
    <w:rPr>
      <w:rFonts w:eastAsia="Times New Roman"/>
      <w:sz w:val="24"/>
    </w:rPr>
  </w:style>
  <w:style w:type="paragraph" w:customStyle="1" w:styleId="xl77">
    <w:name w:val="xl77"/>
    <w:basedOn w:val="Normal"/>
    <w:rsid w:val="006B1681"/>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8">
    <w:name w:val="xl78"/>
    <w:basedOn w:val="Normal"/>
    <w:rsid w:val="006B1681"/>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9">
    <w:name w:val="xl79"/>
    <w:basedOn w:val="Normal"/>
    <w:rsid w:val="006B1681"/>
    <w:pPr>
      <w:pBdr>
        <w:top w:val="single" w:sz="12" w:space="0" w:color="FFFFFF"/>
        <w:left w:val="single" w:sz="12" w:space="0" w:color="FFFFFF"/>
        <w:bottom w:val="single" w:sz="12" w:space="0" w:color="FFFFFF"/>
        <w:right w:val="single" w:sz="12" w:space="0" w:color="FFFFFF"/>
      </w:pBdr>
      <w:shd w:val="clear" w:color="000000" w:fill="339966"/>
      <w:spacing w:before="100" w:beforeAutospacing="1" w:after="100" w:afterAutospacing="1"/>
      <w:jc w:val="center"/>
      <w:textAlignment w:val="center"/>
    </w:pPr>
    <w:rPr>
      <w:rFonts w:eastAsia="Times New Roman"/>
      <w:sz w:val="24"/>
    </w:rPr>
  </w:style>
  <w:style w:type="paragraph" w:customStyle="1" w:styleId="xl80">
    <w:name w:val="xl80"/>
    <w:basedOn w:val="Normal"/>
    <w:rsid w:val="006B1681"/>
    <w:pPr>
      <w:spacing w:before="100" w:beforeAutospacing="1" w:after="100" w:afterAutospacing="1"/>
      <w:jc w:val="center"/>
      <w:textAlignment w:val="center"/>
    </w:pPr>
    <w:rPr>
      <w:rFonts w:eastAsia="Times New Roman"/>
      <w:sz w:val="24"/>
    </w:rPr>
  </w:style>
  <w:style w:type="paragraph" w:customStyle="1" w:styleId="xl81">
    <w:name w:val="xl81"/>
    <w:basedOn w:val="Normal"/>
    <w:rsid w:val="006B1681"/>
    <w:pPr>
      <w:spacing w:before="100" w:beforeAutospacing="1" w:after="100" w:afterAutospacing="1"/>
      <w:jc w:val="center"/>
      <w:textAlignment w:val="center"/>
    </w:pPr>
    <w:rPr>
      <w:rFonts w:eastAsia="Times New Roman"/>
      <w:sz w:val="24"/>
    </w:rPr>
  </w:style>
  <w:style w:type="paragraph" w:customStyle="1" w:styleId="xl82">
    <w:name w:val="xl82"/>
    <w:basedOn w:val="Normal"/>
    <w:rsid w:val="006B1681"/>
    <w:pPr>
      <w:spacing w:before="100" w:beforeAutospacing="1" w:after="100" w:afterAutospacing="1"/>
      <w:jc w:val="center"/>
      <w:textAlignment w:val="center"/>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4798">
      <w:bodyDiv w:val="1"/>
      <w:marLeft w:val="0"/>
      <w:marRight w:val="0"/>
      <w:marTop w:val="0"/>
      <w:marBottom w:val="0"/>
      <w:divBdr>
        <w:top w:val="none" w:sz="0" w:space="0" w:color="auto"/>
        <w:left w:val="none" w:sz="0" w:space="0" w:color="auto"/>
        <w:bottom w:val="none" w:sz="0" w:space="0" w:color="auto"/>
        <w:right w:val="none" w:sz="0" w:space="0" w:color="auto"/>
      </w:divBdr>
    </w:div>
    <w:div w:id="234900619">
      <w:bodyDiv w:val="1"/>
      <w:marLeft w:val="0"/>
      <w:marRight w:val="0"/>
      <w:marTop w:val="0"/>
      <w:marBottom w:val="0"/>
      <w:divBdr>
        <w:top w:val="none" w:sz="0" w:space="0" w:color="auto"/>
        <w:left w:val="none" w:sz="0" w:space="0" w:color="auto"/>
        <w:bottom w:val="none" w:sz="0" w:space="0" w:color="auto"/>
        <w:right w:val="none" w:sz="0" w:space="0" w:color="auto"/>
      </w:divBdr>
    </w:div>
    <w:div w:id="281035959">
      <w:bodyDiv w:val="1"/>
      <w:marLeft w:val="0"/>
      <w:marRight w:val="0"/>
      <w:marTop w:val="0"/>
      <w:marBottom w:val="0"/>
      <w:divBdr>
        <w:top w:val="none" w:sz="0" w:space="0" w:color="auto"/>
        <w:left w:val="none" w:sz="0" w:space="0" w:color="auto"/>
        <w:bottom w:val="none" w:sz="0" w:space="0" w:color="auto"/>
        <w:right w:val="none" w:sz="0" w:space="0" w:color="auto"/>
      </w:divBdr>
    </w:div>
    <w:div w:id="288168516">
      <w:bodyDiv w:val="1"/>
      <w:marLeft w:val="0"/>
      <w:marRight w:val="0"/>
      <w:marTop w:val="0"/>
      <w:marBottom w:val="0"/>
      <w:divBdr>
        <w:top w:val="none" w:sz="0" w:space="0" w:color="auto"/>
        <w:left w:val="none" w:sz="0" w:space="0" w:color="auto"/>
        <w:bottom w:val="none" w:sz="0" w:space="0" w:color="auto"/>
        <w:right w:val="none" w:sz="0" w:space="0" w:color="auto"/>
      </w:divBdr>
    </w:div>
    <w:div w:id="293798782">
      <w:bodyDiv w:val="1"/>
      <w:marLeft w:val="0"/>
      <w:marRight w:val="0"/>
      <w:marTop w:val="0"/>
      <w:marBottom w:val="0"/>
      <w:divBdr>
        <w:top w:val="none" w:sz="0" w:space="0" w:color="auto"/>
        <w:left w:val="none" w:sz="0" w:space="0" w:color="auto"/>
        <w:bottom w:val="none" w:sz="0" w:space="0" w:color="auto"/>
        <w:right w:val="none" w:sz="0" w:space="0" w:color="auto"/>
      </w:divBdr>
    </w:div>
    <w:div w:id="301496691">
      <w:bodyDiv w:val="1"/>
      <w:marLeft w:val="0"/>
      <w:marRight w:val="0"/>
      <w:marTop w:val="0"/>
      <w:marBottom w:val="0"/>
      <w:divBdr>
        <w:top w:val="none" w:sz="0" w:space="0" w:color="auto"/>
        <w:left w:val="none" w:sz="0" w:space="0" w:color="auto"/>
        <w:bottom w:val="none" w:sz="0" w:space="0" w:color="auto"/>
        <w:right w:val="none" w:sz="0" w:space="0" w:color="auto"/>
      </w:divBdr>
    </w:div>
    <w:div w:id="316299939">
      <w:bodyDiv w:val="1"/>
      <w:marLeft w:val="0"/>
      <w:marRight w:val="0"/>
      <w:marTop w:val="0"/>
      <w:marBottom w:val="0"/>
      <w:divBdr>
        <w:top w:val="none" w:sz="0" w:space="0" w:color="auto"/>
        <w:left w:val="none" w:sz="0" w:space="0" w:color="auto"/>
        <w:bottom w:val="none" w:sz="0" w:space="0" w:color="auto"/>
        <w:right w:val="none" w:sz="0" w:space="0" w:color="auto"/>
      </w:divBdr>
    </w:div>
    <w:div w:id="435835943">
      <w:bodyDiv w:val="1"/>
      <w:marLeft w:val="0"/>
      <w:marRight w:val="0"/>
      <w:marTop w:val="0"/>
      <w:marBottom w:val="0"/>
      <w:divBdr>
        <w:top w:val="none" w:sz="0" w:space="0" w:color="auto"/>
        <w:left w:val="none" w:sz="0" w:space="0" w:color="auto"/>
        <w:bottom w:val="none" w:sz="0" w:space="0" w:color="auto"/>
        <w:right w:val="none" w:sz="0" w:space="0" w:color="auto"/>
      </w:divBdr>
    </w:div>
    <w:div w:id="466050386">
      <w:bodyDiv w:val="1"/>
      <w:marLeft w:val="0"/>
      <w:marRight w:val="0"/>
      <w:marTop w:val="0"/>
      <w:marBottom w:val="0"/>
      <w:divBdr>
        <w:top w:val="none" w:sz="0" w:space="0" w:color="auto"/>
        <w:left w:val="none" w:sz="0" w:space="0" w:color="auto"/>
        <w:bottom w:val="none" w:sz="0" w:space="0" w:color="auto"/>
        <w:right w:val="none" w:sz="0" w:space="0" w:color="auto"/>
      </w:divBdr>
    </w:div>
    <w:div w:id="503739770">
      <w:bodyDiv w:val="1"/>
      <w:marLeft w:val="0"/>
      <w:marRight w:val="0"/>
      <w:marTop w:val="0"/>
      <w:marBottom w:val="0"/>
      <w:divBdr>
        <w:top w:val="none" w:sz="0" w:space="0" w:color="auto"/>
        <w:left w:val="none" w:sz="0" w:space="0" w:color="auto"/>
        <w:bottom w:val="none" w:sz="0" w:space="0" w:color="auto"/>
        <w:right w:val="none" w:sz="0" w:space="0" w:color="auto"/>
      </w:divBdr>
    </w:div>
    <w:div w:id="567761669">
      <w:bodyDiv w:val="1"/>
      <w:marLeft w:val="0"/>
      <w:marRight w:val="0"/>
      <w:marTop w:val="0"/>
      <w:marBottom w:val="0"/>
      <w:divBdr>
        <w:top w:val="none" w:sz="0" w:space="0" w:color="auto"/>
        <w:left w:val="none" w:sz="0" w:space="0" w:color="auto"/>
        <w:bottom w:val="none" w:sz="0" w:space="0" w:color="auto"/>
        <w:right w:val="none" w:sz="0" w:space="0" w:color="auto"/>
      </w:divBdr>
    </w:div>
    <w:div w:id="575358051">
      <w:bodyDiv w:val="1"/>
      <w:marLeft w:val="0"/>
      <w:marRight w:val="0"/>
      <w:marTop w:val="0"/>
      <w:marBottom w:val="0"/>
      <w:divBdr>
        <w:top w:val="none" w:sz="0" w:space="0" w:color="auto"/>
        <w:left w:val="none" w:sz="0" w:space="0" w:color="auto"/>
        <w:bottom w:val="none" w:sz="0" w:space="0" w:color="auto"/>
        <w:right w:val="none" w:sz="0" w:space="0" w:color="auto"/>
      </w:divBdr>
    </w:div>
    <w:div w:id="640961630">
      <w:bodyDiv w:val="1"/>
      <w:marLeft w:val="0"/>
      <w:marRight w:val="0"/>
      <w:marTop w:val="0"/>
      <w:marBottom w:val="0"/>
      <w:divBdr>
        <w:top w:val="none" w:sz="0" w:space="0" w:color="auto"/>
        <w:left w:val="none" w:sz="0" w:space="0" w:color="auto"/>
        <w:bottom w:val="none" w:sz="0" w:space="0" w:color="auto"/>
        <w:right w:val="none" w:sz="0" w:space="0" w:color="auto"/>
      </w:divBdr>
    </w:div>
    <w:div w:id="810096618">
      <w:bodyDiv w:val="1"/>
      <w:marLeft w:val="0"/>
      <w:marRight w:val="0"/>
      <w:marTop w:val="0"/>
      <w:marBottom w:val="0"/>
      <w:divBdr>
        <w:top w:val="none" w:sz="0" w:space="0" w:color="auto"/>
        <w:left w:val="none" w:sz="0" w:space="0" w:color="auto"/>
        <w:bottom w:val="none" w:sz="0" w:space="0" w:color="auto"/>
        <w:right w:val="none" w:sz="0" w:space="0" w:color="auto"/>
      </w:divBdr>
    </w:div>
    <w:div w:id="908882078">
      <w:bodyDiv w:val="1"/>
      <w:marLeft w:val="0"/>
      <w:marRight w:val="0"/>
      <w:marTop w:val="0"/>
      <w:marBottom w:val="0"/>
      <w:divBdr>
        <w:top w:val="none" w:sz="0" w:space="0" w:color="auto"/>
        <w:left w:val="none" w:sz="0" w:space="0" w:color="auto"/>
        <w:bottom w:val="none" w:sz="0" w:space="0" w:color="auto"/>
        <w:right w:val="none" w:sz="0" w:space="0" w:color="auto"/>
      </w:divBdr>
    </w:div>
    <w:div w:id="962661221">
      <w:bodyDiv w:val="1"/>
      <w:marLeft w:val="0"/>
      <w:marRight w:val="0"/>
      <w:marTop w:val="0"/>
      <w:marBottom w:val="0"/>
      <w:divBdr>
        <w:top w:val="none" w:sz="0" w:space="0" w:color="auto"/>
        <w:left w:val="none" w:sz="0" w:space="0" w:color="auto"/>
        <w:bottom w:val="none" w:sz="0" w:space="0" w:color="auto"/>
        <w:right w:val="none" w:sz="0" w:space="0" w:color="auto"/>
      </w:divBdr>
    </w:div>
    <w:div w:id="1102649069">
      <w:bodyDiv w:val="1"/>
      <w:marLeft w:val="0"/>
      <w:marRight w:val="0"/>
      <w:marTop w:val="0"/>
      <w:marBottom w:val="0"/>
      <w:divBdr>
        <w:top w:val="none" w:sz="0" w:space="0" w:color="auto"/>
        <w:left w:val="none" w:sz="0" w:space="0" w:color="auto"/>
        <w:bottom w:val="none" w:sz="0" w:space="0" w:color="auto"/>
        <w:right w:val="none" w:sz="0" w:space="0" w:color="auto"/>
      </w:divBdr>
    </w:div>
    <w:div w:id="1271889398">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75442204">
      <w:bodyDiv w:val="1"/>
      <w:marLeft w:val="0"/>
      <w:marRight w:val="0"/>
      <w:marTop w:val="0"/>
      <w:marBottom w:val="0"/>
      <w:divBdr>
        <w:top w:val="none" w:sz="0" w:space="0" w:color="auto"/>
        <w:left w:val="none" w:sz="0" w:space="0" w:color="auto"/>
        <w:bottom w:val="none" w:sz="0" w:space="0" w:color="auto"/>
        <w:right w:val="none" w:sz="0" w:space="0" w:color="auto"/>
      </w:divBdr>
    </w:div>
    <w:div w:id="1639845924">
      <w:bodyDiv w:val="1"/>
      <w:marLeft w:val="0"/>
      <w:marRight w:val="0"/>
      <w:marTop w:val="0"/>
      <w:marBottom w:val="0"/>
      <w:divBdr>
        <w:top w:val="none" w:sz="0" w:space="0" w:color="auto"/>
        <w:left w:val="none" w:sz="0" w:space="0" w:color="auto"/>
        <w:bottom w:val="none" w:sz="0" w:space="0" w:color="auto"/>
        <w:right w:val="none" w:sz="0" w:space="0" w:color="auto"/>
      </w:divBdr>
    </w:div>
    <w:div w:id="1643465684">
      <w:bodyDiv w:val="1"/>
      <w:marLeft w:val="0"/>
      <w:marRight w:val="0"/>
      <w:marTop w:val="0"/>
      <w:marBottom w:val="0"/>
      <w:divBdr>
        <w:top w:val="none" w:sz="0" w:space="0" w:color="auto"/>
        <w:left w:val="none" w:sz="0" w:space="0" w:color="auto"/>
        <w:bottom w:val="none" w:sz="0" w:space="0" w:color="auto"/>
        <w:right w:val="none" w:sz="0" w:space="0" w:color="auto"/>
      </w:divBdr>
    </w:div>
    <w:div w:id="1678144323">
      <w:bodyDiv w:val="1"/>
      <w:marLeft w:val="0"/>
      <w:marRight w:val="0"/>
      <w:marTop w:val="0"/>
      <w:marBottom w:val="0"/>
      <w:divBdr>
        <w:top w:val="none" w:sz="0" w:space="0" w:color="auto"/>
        <w:left w:val="none" w:sz="0" w:space="0" w:color="auto"/>
        <w:bottom w:val="none" w:sz="0" w:space="0" w:color="auto"/>
        <w:right w:val="none" w:sz="0" w:space="0" w:color="auto"/>
      </w:divBdr>
    </w:div>
    <w:div w:id="1743522501">
      <w:bodyDiv w:val="1"/>
      <w:marLeft w:val="0"/>
      <w:marRight w:val="0"/>
      <w:marTop w:val="0"/>
      <w:marBottom w:val="0"/>
      <w:divBdr>
        <w:top w:val="none" w:sz="0" w:space="0" w:color="auto"/>
        <w:left w:val="none" w:sz="0" w:space="0" w:color="auto"/>
        <w:bottom w:val="none" w:sz="0" w:space="0" w:color="auto"/>
        <w:right w:val="none" w:sz="0" w:space="0" w:color="auto"/>
      </w:divBdr>
    </w:div>
    <w:div w:id="1816948663">
      <w:bodyDiv w:val="1"/>
      <w:marLeft w:val="0"/>
      <w:marRight w:val="0"/>
      <w:marTop w:val="0"/>
      <w:marBottom w:val="0"/>
      <w:divBdr>
        <w:top w:val="none" w:sz="0" w:space="0" w:color="auto"/>
        <w:left w:val="none" w:sz="0" w:space="0" w:color="auto"/>
        <w:bottom w:val="none" w:sz="0" w:space="0" w:color="auto"/>
        <w:right w:val="none" w:sz="0" w:space="0" w:color="auto"/>
      </w:divBdr>
    </w:div>
    <w:div w:id="1900169938">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vpolicy.org/so-many-meetings-so-little-impact/)(Negin" TargetMode="External"/><Relationship Id="rId24" Type="http://schemas.openxmlformats.org/officeDocument/2006/relationships/header" Target="header7.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ipu.org/iss-e/women.htm"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pacwip.org/women-mps/national-women-mps/" TargetMode="External"/><Relationship Id="rId2" Type="http://schemas.openxmlformats.org/officeDocument/2006/relationships/hyperlink" Target="http://www.ipu.org/wmn-e/world.htm" TargetMode="External"/><Relationship Id="rId1" Type="http://schemas.openxmlformats.org/officeDocument/2006/relationships/hyperlink" Target="http://www.pacificplanreview.org/pacific-plan/" TargetMode="External"/><Relationship Id="rId4" Type="http://schemas.openxmlformats.org/officeDocument/2006/relationships/hyperlink" Target="http://www.pif2009.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F31B24-644E-4D05-9CEB-6594B9D22A20}"/>
</file>

<file path=customXml/itemProps2.xml><?xml version="1.0" encoding="utf-8"?>
<ds:datastoreItem xmlns:ds="http://schemas.openxmlformats.org/officeDocument/2006/customXml" ds:itemID="{A1ADF516-D236-49DC-9125-B0E3D30E521E}"/>
</file>

<file path=customXml/itemProps3.xml><?xml version="1.0" encoding="utf-8"?>
<ds:datastoreItem xmlns:ds="http://schemas.openxmlformats.org/officeDocument/2006/customXml" ds:itemID="{C827C261-0C00-46A3-9E54-4E2C6677EF88}"/>
</file>

<file path=customXml/itemProps4.xml><?xml version="1.0" encoding="utf-8"?>
<ds:datastoreItem xmlns:ds="http://schemas.openxmlformats.org/officeDocument/2006/customXml" ds:itemID="{7A899842-BFAA-4DFE-B99A-7DD01FD6F9E8}"/>
</file>

<file path=docProps/app.xml><?xml version="1.0" encoding="utf-8"?>
<Properties xmlns="http://schemas.openxmlformats.org/officeDocument/2006/extended-properties" xmlns:vt="http://schemas.openxmlformats.org/officeDocument/2006/docPropsVTypes">
  <Template>Normal.dotm</Template>
  <TotalTime>0</TotalTime>
  <Pages>38</Pages>
  <Words>14011</Words>
  <Characters>79864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2014-01-29T05:33:00Z</dcterms:created>
  <dcterms:modified xsi:type="dcterms:W3CDTF">2014-01-29T05:50:00Z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313300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