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4143" w14:textId="51BA6D69" w:rsidR="0024718E" w:rsidRPr="000131CC" w:rsidRDefault="00955DB8" w:rsidP="000131CC">
      <w:pPr>
        <w:pStyle w:val="Heading1"/>
      </w:pPr>
      <w:r w:rsidRPr="000131CC">
        <w:t xml:space="preserve">2024 </w:t>
      </w:r>
      <w:r w:rsidR="00F83DC1" w:rsidRPr="000131CC">
        <w:t xml:space="preserve">Independent Mid-term Review and Evaluation of the Pacific Ocean Litter Project </w:t>
      </w:r>
    </w:p>
    <w:p w14:paraId="27685431" w14:textId="09069D73" w:rsidR="009A6DD3" w:rsidRPr="009D7093" w:rsidRDefault="009A6DD3" w:rsidP="00B534EF">
      <w:pPr>
        <w:spacing w:after="200"/>
        <w:rPr>
          <w:b/>
          <w:bCs/>
          <w:color w:val="215E99" w:themeColor="text2" w:themeTint="BF"/>
          <w:lang w:val="en-US"/>
        </w:rPr>
      </w:pPr>
      <w:r w:rsidRPr="009D7093">
        <w:rPr>
          <w:b/>
          <w:bCs/>
          <w:color w:val="215E99" w:themeColor="text2" w:themeTint="BF"/>
          <w:lang w:val="en-US"/>
        </w:rPr>
        <w:t>Joint</w:t>
      </w:r>
      <w:r w:rsidR="008B15E9" w:rsidRPr="009D7093">
        <w:rPr>
          <w:b/>
          <w:bCs/>
          <w:color w:val="215E99" w:themeColor="text2" w:themeTint="BF"/>
          <w:lang w:val="en-US"/>
        </w:rPr>
        <w:t xml:space="preserve"> Management Response from Department of Foreign Affairs and Trade (DFAT) and </w:t>
      </w:r>
      <w:r w:rsidR="001F771F" w:rsidRPr="009D7093">
        <w:rPr>
          <w:b/>
          <w:bCs/>
          <w:color w:val="215E99" w:themeColor="text2" w:themeTint="BF"/>
          <w:lang w:val="en-US"/>
        </w:rPr>
        <w:t>Department of Climate Change, Energy, the Environment and Water (DCCEEW)</w:t>
      </w:r>
    </w:p>
    <w:p w14:paraId="007C7372" w14:textId="58D76602" w:rsidR="001F771F" w:rsidRPr="000131CC" w:rsidRDefault="007A798E" w:rsidP="000131CC">
      <w:pPr>
        <w:pStyle w:val="Heading2"/>
      </w:pPr>
      <w:r w:rsidRPr="000131CC">
        <w:t>Summary of Management Response</w:t>
      </w:r>
    </w:p>
    <w:p w14:paraId="31ECE056" w14:textId="77777777" w:rsidR="00F451D2" w:rsidRPr="0094364E" w:rsidRDefault="00675144">
      <w:pPr>
        <w:rPr>
          <w:lang w:val="en-US"/>
        </w:rPr>
      </w:pPr>
      <w:r w:rsidRPr="0094364E">
        <w:rPr>
          <w:lang w:val="en-US"/>
        </w:rPr>
        <w:t xml:space="preserve">The </w:t>
      </w:r>
      <w:r w:rsidR="005E5BFE" w:rsidRPr="0094364E">
        <w:rPr>
          <w:lang w:val="en-US"/>
        </w:rPr>
        <w:t xml:space="preserve">Australian Government welcomes the </w:t>
      </w:r>
      <w:r w:rsidRPr="0094364E">
        <w:rPr>
          <w:lang w:val="en-US"/>
        </w:rPr>
        <w:t>findings and recommendations of the 2024 mid-term review and evaluation of the Pacific Ocean Litter Project (POLP, 2019-2027)</w:t>
      </w:r>
      <w:r w:rsidR="005E5BFE" w:rsidRPr="0094364E">
        <w:rPr>
          <w:lang w:val="en-US"/>
        </w:rPr>
        <w:t xml:space="preserve">. The </w:t>
      </w:r>
      <w:r w:rsidR="00D26B2D" w:rsidRPr="0094364E">
        <w:rPr>
          <w:lang w:val="en-US"/>
        </w:rPr>
        <w:t xml:space="preserve">independent </w:t>
      </w:r>
      <w:r w:rsidR="005E5BFE" w:rsidRPr="0094364E">
        <w:rPr>
          <w:lang w:val="en-US"/>
        </w:rPr>
        <w:t xml:space="preserve">review provides </w:t>
      </w:r>
      <w:r w:rsidR="00D26B2D" w:rsidRPr="0094364E">
        <w:rPr>
          <w:lang w:val="en-US"/>
        </w:rPr>
        <w:t xml:space="preserve">an important </w:t>
      </w:r>
      <w:r w:rsidR="00156CEB" w:rsidRPr="0094364E">
        <w:rPr>
          <w:lang w:val="en-US"/>
        </w:rPr>
        <w:t xml:space="preserve">evaluation of the </w:t>
      </w:r>
      <w:r w:rsidR="001F15AE" w:rsidRPr="0094364E">
        <w:rPr>
          <w:lang w:val="en-US"/>
        </w:rPr>
        <w:t>POLP’s</w:t>
      </w:r>
      <w:r w:rsidR="00156CEB" w:rsidRPr="0094364E">
        <w:rPr>
          <w:lang w:val="en-US"/>
        </w:rPr>
        <w:t xml:space="preserve"> progress at </w:t>
      </w:r>
      <w:r w:rsidR="001F15AE" w:rsidRPr="0094364E">
        <w:rPr>
          <w:lang w:val="en-US"/>
        </w:rPr>
        <w:t>the mid-point of the project</w:t>
      </w:r>
      <w:r w:rsidR="005D61B1" w:rsidRPr="0094364E">
        <w:rPr>
          <w:lang w:val="en-US"/>
        </w:rPr>
        <w:t>. The review reflects on</w:t>
      </w:r>
      <w:r w:rsidR="00AA1E51" w:rsidRPr="0094364E">
        <w:rPr>
          <w:lang w:val="en-US"/>
        </w:rPr>
        <w:t xml:space="preserve"> challenges faced in implementatio</w:t>
      </w:r>
      <w:r w:rsidR="001A27CC" w:rsidRPr="0094364E">
        <w:rPr>
          <w:lang w:val="en-US"/>
        </w:rPr>
        <w:t>n</w:t>
      </w:r>
      <w:r w:rsidR="007A734B" w:rsidRPr="0094364E">
        <w:rPr>
          <w:lang w:val="en-US"/>
        </w:rPr>
        <w:t xml:space="preserve"> </w:t>
      </w:r>
      <w:r w:rsidR="00D02A8A" w:rsidRPr="0094364E">
        <w:rPr>
          <w:lang w:val="en-US"/>
        </w:rPr>
        <w:t xml:space="preserve">and </w:t>
      </w:r>
      <w:r w:rsidR="008A3846" w:rsidRPr="0094364E">
        <w:rPr>
          <w:lang w:val="en-US"/>
        </w:rPr>
        <w:t>progress to date</w:t>
      </w:r>
      <w:r w:rsidR="00250097" w:rsidRPr="0094364E">
        <w:rPr>
          <w:lang w:val="en-US"/>
        </w:rPr>
        <w:t>,</w:t>
      </w:r>
      <w:r w:rsidR="00AE1F1C" w:rsidRPr="0094364E">
        <w:rPr>
          <w:lang w:val="en-US"/>
        </w:rPr>
        <w:t xml:space="preserve"> </w:t>
      </w:r>
      <w:r w:rsidR="00250097" w:rsidRPr="0094364E">
        <w:rPr>
          <w:lang w:val="en-US"/>
        </w:rPr>
        <w:t>and provides constructive</w:t>
      </w:r>
      <w:r w:rsidR="00F177A8" w:rsidRPr="0094364E">
        <w:rPr>
          <w:lang w:val="en-US"/>
        </w:rPr>
        <w:t xml:space="preserve"> recommendations </w:t>
      </w:r>
      <w:r w:rsidR="00A01BA0" w:rsidRPr="0094364E">
        <w:rPr>
          <w:lang w:val="en-US"/>
        </w:rPr>
        <w:t>concerning g</w:t>
      </w:r>
      <w:r w:rsidR="00E27FEA" w:rsidRPr="0094364E">
        <w:rPr>
          <w:lang w:val="en-US"/>
        </w:rPr>
        <w:t xml:space="preserve">overnance, relevance, </w:t>
      </w:r>
      <w:r w:rsidR="00672994" w:rsidRPr="0094364E">
        <w:rPr>
          <w:lang w:val="en-US"/>
        </w:rPr>
        <w:t>effectiveness</w:t>
      </w:r>
      <w:r w:rsidR="00A01BA0" w:rsidRPr="0094364E">
        <w:rPr>
          <w:lang w:val="en-US"/>
        </w:rPr>
        <w:t xml:space="preserve">, gender equity, </w:t>
      </w:r>
      <w:r w:rsidR="003612DB" w:rsidRPr="0094364E">
        <w:rPr>
          <w:lang w:val="en-US"/>
        </w:rPr>
        <w:t>disability and social inclusion</w:t>
      </w:r>
      <w:r w:rsidR="00256BB6" w:rsidRPr="0094364E">
        <w:rPr>
          <w:lang w:val="en-US"/>
        </w:rPr>
        <w:t xml:space="preserve"> (GEDSI)</w:t>
      </w:r>
      <w:r w:rsidR="003612DB" w:rsidRPr="0094364E">
        <w:rPr>
          <w:lang w:val="en-US"/>
        </w:rPr>
        <w:t>,</w:t>
      </w:r>
      <w:r w:rsidR="00E27FEA" w:rsidRPr="0094364E">
        <w:rPr>
          <w:lang w:val="en-US"/>
        </w:rPr>
        <w:t xml:space="preserve"> and sustainability</w:t>
      </w:r>
      <w:r w:rsidR="00672994" w:rsidRPr="0094364E">
        <w:rPr>
          <w:lang w:val="en-US"/>
        </w:rPr>
        <w:t>.</w:t>
      </w:r>
      <w:r w:rsidR="00762A84" w:rsidRPr="0094364E">
        <w:rPr>
          <w:lang w:val="en-US"/>
        </w:rPr>
        <w:t xml:space="preserve"> </w:t>
      </w:r>
    </w:p>
    <w:p w14:paraId="004C06E3" w14:textId="31135FDB" w:rsidR="007A798E" w:rsidRPr="0094364E" w:rsidRDefault="003D64B5">
      <w:pPr>
        <w:rPr>
          <w:lang w:val="en-US"/>
        </w:rPr>
      </w:pPr>
      <w:r w:rsidRPr="0094364E">
        <w:rPr>
          <w:lang w:val="en-US"/>
        </w:rPr>
        <w:t>Responses to recommendations of the mid-term review are p</w:t>
      </w:r>
      <w:r w:rsidR="004B5AFA" w:rsidRPr="0094364E">
        <w:rPr>
          <w:lang w:val="en-US"/>
        </w:rPr>
        <w:t xml:space="preserve">rovided </w:t>
      </w:r>
      <w:proofErr w:type="gramStart"/>
      <w:r w:rsidR="004B5AFA" w:rsidRPr="0094364E">
        <w:rPr>
          <w:lang w:val="en-US"/>
        </w:rPr>
        <w:t>in</w:t>
      </w:r>
      <w:proofErr w:type="gramEnd"/>
      <w:r w:rsidR="004B5AFA" w:rsidRPr="0094364E">
        <w:rPr>
          <w:lang w:val="en-US"/>
        </w:rPr>
        <w:t xml:space="preserve"> the table below.</w:t>
      </w:r>
    </w:p>
    <w:p w14:paraId="034DD1DF" w14:textId="77777777" w:rsidR="00D35325" w:rsidRDefault="00D35325">
      <w:pPr>
        <w:rPr>
          <w:color w:val="153D63" w:themeColor="text2" w:themeTint="E6"/>
          <w:lang w:val="en-US"/>
        </w:rPr>
        <w:sectPr w:rsidR="00D35325" w:rsidSect="009B7E4A">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8" w:footer="708" w:gutter="0"/>
          <w:cols w:space="708"/>
          <w:docGrid w:linePitch="360"/>
        </w:sectPr>
      </w:pPr>
    </w:p>
    <w:p w14:paraId="41F96BEA" w14:textId="33E30466" w:rsidR="00575CAC" w:rsidRPr="000131CC" w:rsidRDefault="00037A93" w:rsidP="000131CC">
      <w:pPr>
        <w:pStyle w:val="Heading2"/>
        <w:rPr>
          <w:i w:val="0"/>
          <w:iCs w:val="0"/>
        </w:rPr>
      </w:pPr>
      <w:r w:rsidRPr="000131CC">
        <w:rPr>
          <w:i w:val="0"/>
          <w:iCs w:val="0"/>
        </w:rPr>
        <w:lastRenderedPageBreak/>
        <w:t>Joint Management Response – Mid-term review and evaluation of the Pacific Ocean Litter Project</w:t>
      </w:r>
      <w:r w:rsidR="000C3115" w:rsidRPr="000131CC">
        <w:rPr>
          <w:i w:val="0"/>
          <w:iCs w:val="0"/>
        </w:rPr>
        <w:t xml:space="preserve"> (POLP)</w:t>
      </w:r>
    </w:p>
    <w:tbl>
      <w:tblPr>
        <w:tblStyle w:val="TableGrid"/>
        <w:tblW w:w="0" w:type="auto"/>
        <w:tblLook w:val="04A0" w:firstRow="1" w:lastRow="0" w:firstColumn="1" w:lastColumn="0" w:noHBand="0" w:noVBand="1"/>
      </w:tblPr>
      <w:tblGrid>
        <w:gridCol w:w="3520"/>
        <w:gridCol w:w="1207"/>
        <w:gridCol w:w="3490"/>
        <w:gridCol w:w="4439"/>
        <w:gridCol w:w="1292"/>
      </w:tblGrid>
      <w:tr w:rsidR="007064DD" w14:paraId="6B5F2E00" w14:textId="2666D455" w:rsidTr="000131CC">
        <w:trPr>
          <w:tblHeader/>
        </w:trPr>
        <w:tc>
          <w:tcPr>
            <w:tcW w:w="3520" w:type="dxa"/>
            <w:shd w:val="clear" w:color="auto" w:fill="F6C5AC" w:themeFill="accent2" w:themeFillTint="66"/>
          </w:tcPr>
          <w:p w14:paraId="2A146479" w14:textId="036A6BEF" w:rsidR="00E025A2" w:rsidRPr="007E065C" w:rsidRDefault="00E025A2" w:rsidP="00AE3D5D">
            <w:pPr>
              <w:rPr>
                <w:b/>
                <w:bCs/>
              </w:rPr>
            </w:pPr>
            <w:r>
              <w:rPr>
                <w:b/>
                <w:bCs/>
              </w:rPr>
              <w:t>Recommendation</w:t>
            </w:r>
            <w:r w:rsidR="00955529">
              <w:rPr>
                <w:b/>
                <w:bCs/>
              </w:rPr>
              <w:t>s</w:t>
            </w:r>
          </w:p>
        </w:tc>
        <w:tc>
          <w:tcPr>
            <w:tcW w:w="1207" w:type="dxa"/>
            <w:shd w:val="clear" w:color="auto" w:fill="F6C5AC" w:themeFill="accent2" w:themeFillTint="66"/>
          </w:tcPr>
          <w:p w14:paraId="1968C49E" w14:textId="3677550B" w:rsidR="00E025A2" w:rsidRPr="007E065C" w:rsidRDefault="00E025A2" w:rsidP="00AE3D5D">
            <w:pPr>
              <w:rPr>
                <w:b/>
                <w:bCs/>
              </w:rPr>
            </w:pPr>
            <w:r>
              <w:rPr>
                <w:b/>
                <w:bCs/>
              </w:rPr>
              <w:t>Response</w:t>
            </w:r>
          </w:p>
        </w:tc>
        <w:tc>
          <w:tcPr>
            <w:tcW w:w="3490" w:type="dxa"/>
            <w:shd w:val="clear" w:color="auto" w:fill="F6C5AC" w:themeFill="accent2" w:themeFillTint="66"/>
          </w:tcPr>
          <w:p w14:paraId="6F77C1E4" w14:textId="0845CDCD" w:rsidR="00E025A2" w:rsidRPr="007E065C" w:rsidRDefault="00E025A2" w:rsidP="00AE3D5D">
            <w:pPr>
              <w:rPr>
                <w:b/>
                <w:bCs/>
              </w:rPr>
            </w:pPr>
            <w:r>
              <w:rPr>
                <w:b/>
                <w:bCs/>
              </w:rPr>
              <w:t>Explanation</w:t>
            </w:r>
          </w:p>
        </w:tc>
        <w:tc>
          <w:tcPr>
            <w:tcW w:w="4439" w:type="dxa"/>
            <w:shd w:val="clear" w:color="auto" w:fill="F6C5AC" w:themeFill="accent2" w:themeFillTint="66"/>
          </w:tcPr>
          <w:p w14:paraId="040F9BCF" w14:textId="0A29A92D" w:rsidR="00E025A2" w:rsidRPr="007E065C" w:rsidRDefault="00E025A2" w:rsidP="00E025A2">
            <w:pPr>
              <w:rPr>
                <w:b/>
                <w:bCs/>
              </w:rPr>
            </w:pPr>
            <w:r>
              <w:rPr>
                <w:b/>
                <w:bCs/>
              </w:rPr>
              <w:t xml:space="preserve">Action </w:t>
            </w:r>
          </w:p>
        </w:tc>
        <w:tc>
          <w:tcPr>
            <w:tcW w:w="1292" w:type="dxa"/>
            <w:shd w:val="clear" w:color="auto" w:fill="F6C5AC" w:themeFill="accent2" w:themeFillTint="66"/>
          </w:tcPr>
          <w:p w14:paraId="51EC800B" w14:textId="0F9DBB69" w:rsidR="00E025A2" w:rsidRDefault="00E025A2" w:rsidP="00AE3D5D">
            <w:pPr>
              <w:rPr>
                <w:b/>
                <w:bCs/>
              </w:rPr>
            </w:pPr>
            <w:r>
              <w:rPr>
                <w:b/>
                <w:bCs/>
              </w:rPr>
              <w:t>Timeframe</w:t>
            </w:r>
          </w:p>
        </w:tc>
      </w:tr>
      <w:tr w:rsidR="007064DD" w14:paraId="524943E9" w14:textId="58347915" w:rsidTr="7137A468">
        <w:tc>
          <w:tcPr>
            <w:tcW w:w="3520" w:type="dxa"/>
            <w:shd w:val="clear" w:color="auto" w:fill="F2F2F2" w:themeFill="background1" w:themeFillShade="F2"/>
          </w:tcPr>
          <w:p w14:paraId="18C2AB9E" w14:textId="77777777" w:rsidR="00E025A2" w:rsidRPr="00A265EC" w:rsidRDefault="00E025A2" w:rsidP="007A2AC4">
            <w:pPr>
              <w:pStyle w:val="ListParagraph"/>
              <w:numPr>
                <w:ilvl w:val="0"/>
                <w:numId w:val="3"/>
              </w:numPr>
              <w:ind w:left="452" w:hanging="425"/>
            </w:pPr>
            <w:r w:rsidRPr="00A265EC">
              <w:t xml:space="preserve">Ensure that DFAT’s and DCCEEW’s </w:t>
            </w:r>
            <w:r w:rsidRPr="002C74E7">
              <w:t>respective roles and responsibiliti</w:t>
            </w:r>
            <w:r w:rsidRPr="002255D6">
              <w:t>es</w:t>
            </w:r>
            <w:r w:rsidRPr="00A265EC">
              <w:t xml:space="preserve"> at the POLP Officer level are clear and reflect DCCEEW’s decision–making responsibilities for project implementation and decisions requiring referral to DFAT</w:t>
            </w:r>
          </w:p>
          <w:p w14:paraId="623AEB34" w14:textId="0C198893" w:rsidR="00E025A2" w:rsidRDefault="00E025A2" w:rsidP="00E025A2"/>
        </w:tc>
        <w:tc>
          <w:tcPr>
            <w:tcW w:w="1207" w:type="dxa"/>
            <w:shd w:val="clear" w:color="auto" w:fill="C1F0C7" w:themeFill="accent3" w:themeFillTint="33"/>
          </w:tcPr>
          <w:p w14:paraId="3CFB5F21" w14:textId="4D596B0C" w:rsidR="00E025A2" w:rsidRPr="00A265EC" w:rsidRDefault="00F33B89" w:rsidP="00AE3D5D">
            <w:pPr>
              <w:spacing w:before="60"/>
            </w:pPr>
            <w:r>
              <w:t>Agree</w:t>
            </w:r>
          </w:p>
        </w:tc>
        <w:tc>
          <w:tcPr>
            <w:tcW w:w="3490" w:type="dxa"/>
            <w:shd w:val="clear" w:color="auto" w:fill="DAE9F7" w:themeFill="text2" w:themeFillTint="1A"/>
          </w:tcPr>
          <w:p w14:paraId="0473A169" w14:textId="711AD500" w:rsidR="00E025A2" w:rsidRPr="009E214C" w:rsidRDefault="00A04AF5" w:rsidP="00C37168">
            <w:r w:rsidRPr="00F16620">
              <w:t>T</w:t>
            </w:r>
            <w:r w:rsidR="00E025A2" w:rsidRPr="00F16620">
              <w:t>he</w:t>
            </w:r>
            <w:r w:rsidR="001E5AB2">
              <w:t xml:space="preserve"> mid-term review identified that the</w:t>
            </w:r>
            <w:r w:rsidR="00E025A2" w:rsidRPr="00F16620">
              <w:t>re is lack of clarity about what strategic funding decisions can be made by DCCEEW without consulting DFAT</w:t>
            </w:r>
            <w:r w:rsidR="00F16620">
              <w:t>.</w:t>
            </w:r>
            <w:r w:rsidR="00633DC6">
              <w:t xml:space="preserve"> This needs to be clarified in the </w:t>
            </w:r>
            <w:r w:rsidR="009E214C">
              <w:t>project’s governance structure.</w:t>
            </w:r>
          </w:p>
        </w:tc>
        <w:tc>
          <w:tcPr>
            <w:tcW w:w="4439" w:type="dxa"/>
            <w:shd w:val="clear" w:color="auto" w:fill="DAE9F7" w:themeFill="text2" w:themeFillTint="1A"/>
          </w:tcPr>
          <w:p w14:paraId="6303DCA9" w14:textId="73F00062" w:rsidR="00E025A2" w:rsidRDefault="00E025A2" w:rsidP="00707C47">
            <w:r>
              <w:t>DCCEEW</w:t>
            </w:r>
            <w:r w:rsidR="00EB56CB">
              <w:t xml:space="preserve"> </w:t>
            </w:r>
            <w:r w:rsidR="009761AA">
              <w:t>and</w:t>
            </w:r>
            <w:r w:rsidR="00EB56CB">
              <w:t xml:space="preserve"> </w:t>
            </w:r>
            <w:r>
              <w:t xml:space="preserve">DFAT </w:t>
            </w:r>
            <w:r w:rsidR="009761AA">
              <w:t>will</w:t>
            </w:r>
            <w:r w:rsidR="00EB56CB">
              <w:t xml:space="preserve"> update respective </w:t>
            </w:r>
            <w:r>
              <w:t>roles and responsibilities in the project</w:t>
            </w:r>
            <w:r w:rsidR="00626DB2">
              <w:t>’s</w:t>
            </w:r>
            <w:r>
              <w:t xml:space="preserve"> governance structure</w:t>
            </w:r>
            <w:r w:rsidR="00E90979">
              <w:t>, including to</w:t>
            </w:r>
            <w:r>
              <w:t>:</w:t>
            </w:r>
          </w:p>
          <w:p w14:paraId="1E27B424" w14:textId="2B5DD76F" w:rsidR="00E90979" w:rsidRDefault="00E90979" w:rsidP="00E90979">
            <w:pPr>
              <w:pStyle w:val="ListParagraph"/>
              <w:numPr>
                <w:ilvl w:val="0"/>
                <w:numId w:val="1"/>
              </w:numPr>
              <w:ind w:left="318" w:hanging="284"/>
              <w:contextualSpacing w:val="0"/>
            </w:pPr>
            <w:r>
              <w:t xml:space="preserve">Confirm DFAT’s role </w:t>
            </w:r>
            <w:r w:rsidR="00FD2F99">
              <w:t>in providing</w:t>
            </w:r>
            <w:r>
              <w:t xml:space="preserve"> high level oversight of strategic direction and risk management </w:t>
            </w:r>
            <w:r w:rsidR="00FD2F99">
              <w:t>in accordance with Australian development program objectives</w:t>
            </w:r>
            <w:r w:rsidR="003C1A18">
              <w:t xml:space="preserve"> and requirements</w:t>
            </w:r>
            <w:r>
              <w:t>.</w:t>
            </w:r>
          </w:p>
          <w:p w14:paraId="12AB5785" w14:textId="1C84A596" w:rsidR="00E025A2" w:rsidRDefault="00E025A2" w:rsidP="00E90979">
            <w:pPr>
              <w:pStyle w:val="ListParagraph"/>
              <w:numPr>
                <w:ilvl w:val="0"/>
                <w:numId w:val="1"/>
              </w:numPr>
              <w:ind w:left="315" w:hanging="283"/>
            </w:pPr>
            <w:r>
              <w:t xml:space="preserve">Confirm DCCEEW’s role as the Australian Government implementation partner for providing strategic direction and technical advice to </w:t>
            </w:r>
            <w:r w:rsidR="003A302A">
              <w:t>the Secretariat of the Pacific Regional Environment Programme (</w:t>
            </w:r>
            <w:r>
              <w:t>SPREP</w:t>
            </w:r>
            <w:r w:rsidR="003A302A">
              <w:t>)</w:t>
            </w:r>
            <w:r>
              <w:t>, including decision-making for POLP activities</w:t>
            </w:r>
            <w:r w:rsidR="00E90979">
              <w:t>.</w:t>
            </w:r>
          </w:p>
        </w:tc>
        <w:tc>
          <w:tcPr>
            <w:tcW w:w="1292" w:type="dxa"/>
            <w:shd w:val="clear" w:color="auto" w:fill="DAE9F7" w:themeFill="text2" w:themeFillTint="1A"/>
          </w:tcPr>
          <w:p w14:paraId="7016076C" w14:textId="3F5BCD7D" w:rsidR="00E025A2" w:rsidRDefault="005323BF" w:rsidP="005A4D42">
            <w:r>
              <w:t>June 2025</w:t>
            </w:r>
          </w:p>
        </w:tc>
      </w:tr>
      <w:tr w:rsidR="000E7528" w14:paraId="65CB317A" w14:textId="0EEEE51E" w:rsidTr="7137A468">
        <w:tc>
          <w:tcPr>
            <w:tcW w:w="3520" w:type="dxa"/>
            <w:shd w:val="clear" w:color="auto" w:fill="F2F2F2" w:themeFill="background1" w:themeFillShade="F2"/>
          </w:tcPr>
          <w:p w14:paraId="77565D58" w14:textId="77777777" w:rsidR="009A400E" w:rsidRDefault="009A400E" w:rsidP="007A2AC4">
            <w:pPr>
              <w:pStyle w:val="ListParagraph"/>
              <w:numPr>
                <w:ilvl w:val="0"/>
                <w:numId w:val="3"/>
              </w:numPr>
              <w:ind w:left="452" w:hanging="425"/>
            </w:pPr>
            <w:r w:rsidRPr="00A265EC">
              <w:t xml:space="preserve">Update the </w:t>
            </w:r>
            <w:r w:rsidRPr="002C74E7">
              <w:t>governance structure and roles to reflect oversight</w:t>
            </w:r>
            <w:r w:rsidRPr="00A265EC">
              <w:t xml:space="preserve"> </w:t>
            </w:r>
            <w:r>
              <w:t xml:space="preserve">of </w:t>
            </w:r>
            <w:r w:rsidRPr="00A265EC">
              <w:t>the POLP PIM funding, DFAT’s current resourcing at the POLP Officer level and the Project Advisory Group’s role</w:t>
            </w:r>
          </w:p>
          <w:p w14:paraId="5FBF1D21" w14:textId="6DA1E836" w:rsidR="00E025A2" w:rsidRDefault="00E025A2" w:rsidP="009A400E">
            <w:pPr>
              <w:pStyle w:val="ListParagraph"/>
              <w:ind w:left="311"/>
            </w:pPr>
          </w:p>
        </w:tc>
        <w:tc>
          <w:tcPr>
            <w:tcW w:w="1207" w:type="dxa"/>
            <w:shd w:val="clear" w:color="auto" w:fill="D9F2D0" w:themeFill="accent6" w:themeFillTint="33"/>
          </w:tcPr>
          <w:p w14:paraId="4272AA8D" w14:textId="59C907FB" w:rsidR="00E025A2" w:rsidRPr="00A265EC" w:rsidRDefault="00F84B69" w:rsidP="00AE3D5D">
            <w:pPr>
              <w:spacing w:before="60"/>
            </w:pPr>
            <w:r>
              <w:t>Agree in part</w:t>
            </w:r>
          </w:p>
        </w:tc>
        <w:tc>
          <w:tcPr>
            <w:tcW w:w="3490" w:type="dxa"/>
            <w:shd w:val="clear" w:color="auto" w:fill="A5C9EB" w:themeFill="text2" w:themeFillTint="40"/>
          </w:tcPr>
          <w:p w14:paraId="4CA48D11" w14:textId="35ED0345" w:rsidR="007E36BD" w:rsidRDefault="007E36BD" w:rsidP="00AE3D5D">
            <w:r>
              <w:t xml:space="preserve">DFAT have an agreement with SPREP for </w:t>
            </w:r>
            <w:r w:rsidR="00A13477">
              <w:t xml:space="preserve">employment of the POLP Project Implementation Manager. </w:t>
            </w:r>
          </w:p>
          <w:p w14:paraId="74355380" w14:textId="77777777" w:rsidR="00A13477" w:rsidRDefault="00A13477" w:rsidP="00AE3D5D"/>
          <w:p w14:paraId="10D366D1" w14:textId="0677B603" w:rsidR="00C45A1E" w:rsidRDefault="00A13477" w:rsidP="00AE3D5D">
            <w:r>
              <w:t>Th</w:t>
            </w:r>
            <w:r w:rsidR="001E5AB2">
              <w:t>e</w:t>
            </w:r>
            <w:r>
              <w:t xml:space="preserve"> project</w:t>
            </w:r>
            <w:r w:rsidR="00993AA7">
              <w:t>’s governance structure requires updating to</w:t>
            </w:r>
            <w:r w:rsidR="00C45A1E">
              <w:t>:</w:t>
            </w:r>
          </w:p>
          <w:p w14:paraId="7C6A2E9E" w14:textId="7D39D587" w:rsidR="00C45A1E" w:rsidRDefault="00481DDA" w:rsidP="00C45A1E">
            <w:pPr>
              <w:pStyle w:val="ListParagraph"/>
              <w:numPr>
                <w:ilvl w:val="0"/>
                <w:numId w:val="1"/>
              </w:numPr>
              <w:ind w:left="318" w:hanging="284"/>
              <w:contextualSpacing w:val="0"/>
            </w:pPr>
            <w:r>
              <w:t xml:space="preserve">Reflect </w:t>
            </w:r>
            <w:r w:rsidR="0079030B">
              <w:t>the reprioritisation of resource allocation</w:t>
            </w:r>
            <w:r w:rsidR="00764C96">
              <w:t xml:space="preserve"> </w:t>
            </w:r>
            <w:proofErr w:type="gramStart"/>
            <w:r w:rsidR="00764C96">
              <w:t>in light of</w:t>
            </w:r>
            <w:proofErr w:type="gramEnd"/>
            <w:r w:rsidR="00764C96">
              <w:t xml:space="preserve"> DCCEEW resourcing</w:t>
            </w:r>
            <w:r w:rsidR="00C35D61">
              <w:t>.</w:t>
            </w:r>
          </w:p>
          <w:p w14:paraId="4224897C" w14:textId="4EA0CF11" w:rsidR="00E025A2" w:rsidRPr="00F16620" w:rsidRDefault="00481DDA" w:rsidP="00481DDA">
            <w:pPr>
              <w:pStyle w:val="ListParagraph"/>
              <w:numPr>
                <w:ilvl w:val="0"/>
                <w:numId w:val="1"/>
              </w:numPr>
              <w:ind w:left="318" w:hanging="284"/>
              <w:contextualSpacing w:val="0"/>
            </w:pPr>
            <w:r>
              <w:t>Remove the Project Advisory Group and update sources of expert a</w:t>
            </w:r>
            <w:r w:rsidR="00E025A2" w:rsidRPr="00F16620">
              <w:t xml:space="preserve">dvice </w:t>
            </w:r>
            <w:r>
              <w:t>for</w:t>
            </w:r>
            <w:r w:rsidR="00E025A2" w:rsidRPr="00F16620">
              <w:t xml:space="preserve"> technical matters</w:t>
            </w:r>
            <w:r>
              <w:t xml:space="preserve"> and </w:t>
            </w:r>
            <w:r w:rsidR="00E025A2" w:rsidRPr="00F16620">
              <w:t>quality review</w:t>
            </w:r>
            <w:r>
              <w:t>.</w:t>
            </w:r>
          </w:p>
        </w:tc>
        <w:tc>
          <w:tcPr>
            <w:tcW w:w="4439" w:type="dxa"/>
            <w:shd w:val="clear" w:color="auto" w:fill="A5C9EB" w:themeFill="text2" w:themeFillTint="40"/>
          </w:tcPr>
          <w:p w14:paraId="2801CB0B" w14:textId="4CF20E4E" w:rsidR="00AB34B3" w:rsidRDefault="002C049D" w:rsidP="00AE3D5D">
            <w:r>
              <w:t xml:space="preserve">DCCEEW and DFAT will update the </w:t>
            </w:r>
            <w:r w:rsidR="003C47D5">
              <w:t>project</w:t>
            </w:r>
            <w:r w:rsidR="00626DB2">
              <w:t>’s</w:t>
            </w:r>
            <w:r w:rsidR="003C47D5">
              <w:t xml:space="preserve"> governance structure to reflect </w:t>
            </w:r>
            <w:r w:rsidR="00626DB2">
              <w:t xml:space="preserve">DFAT’s </w:t>
            </w:r>
            <w:r w:rsidR="003C47D5">
              <w:t>oversight of PIM funding and resourcing at officer level</w:t>
            </w:r>
            <w:r w:rsidR="00C35D61">
              <w:t xml:space="preserve"> </w:t>
            </w:r>
            <w:proofErr w:type="gramStart"/>
            <w:r w:rsidR="00C35D61">
              <w:t>in light of</w:t>
            </w:r>
            <w:proofErr w:type="gramEnd"/>
            <w:r w:rsidR="00C35D61">
              <w:t xml:space="preserve"> DCCEEW resourcing</w:t>
            </w:r>
            <w:r w:rsidR="00AB34B3">
              <w:t>.</w:t>
            </w:r>
          </w:p>
          <w:p w14:paraId="45C95DFA" w14:textId="77777777" w:rsidR="00AB34B3" w:rsidRDefault="00AB34B3" w:rsidP="00AE3D5D"/>
          <w:p w14:paraId="7A78730C" w14:textId="67D732EB" w:rsidR="00E025A2" w:rsidRDefault="00E025A2" w:rsidP="00AE3D5D">
            <w:r>
              <w:t>A</w:t>
            </w:r>
            <w:r w:rsidR="00CB13DA">
              <w:t xml:space="preserve"> Project</w:t>
            </w:r>
            <w:r>
              <w:t xml:space="preserve"> Advisory Group was not established at the beginning of project and would be an additional </w:t>
            </w:r>
            <w:r w:rsidR="00770F3F">
              <w:t>impost</w:t>
            </w:r>
            <w:r>
              <w:t xml:space="preserve"> on the workload of the POLP </w:t>
            </w:r>
            <w:r w:rsidRPr="00B47EBC">
              <w:t>Project Management Unit (PMU)</w:t>
            </w:r>
            <w:r>
              <w:t xml:space="preserve"> at a time when all PMU resources are needed to progress national implementation priorities.</w:t>
            </w:r>
          </w:p>
          <w:p w14:paraId="79E28B51" w14:textId="77777777" w:rsidR="00E025A2" w:rsidRDefault="00E025A2" w:rsidP="00AE3D5D"/>
          <w:p w14:paraId="03079B4A" w14:textId="77777777" w:rsidR="00E025A2" w:rsidRDefault="00E025A2" w:rsidP="00AE3D5D">
            <w:r>
              <w:t xml:space="preserve">The Australian Government considers that independent, expert advice should be </w:t>
            </w:r>
            <w:r>
              <w:lastRenderedPageBreak/>
              <w:t>sought on as needs basis. E.g., expertise may be required for MERL, GEDSI and compliance and enforcement activities.</w:t>
            </w:r>
          </w:p>
          <w:p w14:paraId="55DD18E8" w14:textId="77777777" w:rsidR="00E025A2" w:rsidRDefault="00E025A2" w:rsidP="00AE3D5D"/>
          <w:p w14:paraId="1E23FDC5" w14:textId="4837EAC9" w:rsidR="00E025A2" w:rsidRDefault="00E025A2" w:rsidP="00C2684F">
            <w:pPr>
              <w:spacing w:after="120"/>
            </w:pPr>
            <w:r>
              <w:t xml:space="preserve">A regular donor roundtable would be useful for coordination of waste and pollution projects (refer to Rec 7). </w:t>
            </w:r>
          </w:p>
        </w:tc>
        <w:tc>
          <w:tcPr>
            <w:tcW w:w="1292" w:type="dxa"/>
            <w:shd w:val="clear" w:color="auto" w:fill="A5C9EB" w:themeFill="text2" w:themeFillTint="40"/>
          </w:tcPr>
          <w:p w14:paraId="7DD86EE9" w14:textId="691C2F08" w:rsidR="00E025A2" w:rsidRDefault="0079030B" w:rsidP="005A4D42">
            <w:r>
              <w:lastRenderedPageBreak/>
              <w:t>August 2025</w:t>
            </w:r>
          </w:p>
        </w:tc>
      </w:tr>
      <w:tr w:rsidR="007064DD" w14:paraId="06382DD4" w14:textId="3D126BC7" w:rsidTr="7137A468">
        <w:tc>
          <w:tcPr>
            <w:tcW w:w="3520" w:type="dxa"/>
            <w:shd w:val="clear" w:color="auto" w:fill="F2F2F2" w:themeFill="background1" w:themeFillShade="F2"/>
          </w:tcPr>
          <w:p w14:paraId="11EE43B3" w14:textId="77777777" w:rsidR="00815E10" w:rsidRDefault="00815E10" w:rsidP="007A2AC4">
            <w:pPr>
              <w:pStyle w:val="ListParagraph"/>
              <w:numPr>
                <w:ilvl w:val="0"/>
                <w:numId w:val="3"/>
              </w:numPr>
              <w:ind w:left="452" w:hanging="425"/>
            </w:pPr>
            <w:r w:rsidRPr="00A265EC">
              <w:t xml:space="preserve">Ensure that there are clear guidelines on the allocation </w:t>
            </w:r>
            <w:r w:rsidRPr="00D1193D">
              <w:t>of PMU resources for SPREP WMPC events</w:t>
            </w:r>
            <w:r w:rsidRPr="00A265EC">
              <w:t xml:space="preserve"> and activities that benefit POLP’s implementation</w:t>
            </w:r>
          </w:p>
          <w:p w14:paraId="3F35F707" w14:textId="4995C689" w:rsidR="00815E10" w:rsidRDefault="00815E10" w:rsidP="00815E10"/>
        </w:tc>
        <w:tc>
          <w:tcPr>
            <w:tcW w:w="1207" w:type="dxa"/>
            <w:shd w:val="clear" w:color="auto" w:fill="C1F0C7" w:themeFill="accent3" w:themeFillTint="33"/>
          </w:tcPr>
          <w:p w14:paraId="7380302C" w14:textId="3E15172E" w:rsidR="00815E10" w:rsidRPr="00A265EC" w:rsidRDefault="00815E10" w:rsidP="00815E10">
            <w:pPr>
              <w:spacing w:before="60"/>
            </w:pPr>
            <w:r>
              <w:t>Agree</w:t>
            </w:r>
          </w:p>
        </w:tc>
        <w:tc>
          <w:tcPr>
            <w:tcW w:w="3490" w:type="dxa"/>
            <w:shd w:val="clear" w:color="auto" w:fill="DAE9F7" w:themeFill="text2" w:themeFillTint="1A"/>
          </w:tcPr>
          <w:p w14:paraId="1A2AD4B2" w14:textId="4E1DF33B" w:rsidR="00815E10" w:rsidRPr="008C1171" w:rsidRDefault="008C1171" w:rsidP="00815E10">
            <w:r w:rsidRPr="008C1171">
              <w:t>The</w:t>
            </w:r>
            <w:r>
              <w:t xml:space="preserve"> mid-term review identified that there</w:t>
            </w:r>
            <w:r w:rsidRPr="008C1171">
              <w:t xml:space="preserve"> is a</w:t>
            </w:r>
            <w:r w:rsidR="00815E10" w:rsidRPr="008C1171">
              <w:t xml:space="preserve"> risk that POLP’s focus and resources can be drawn into other SPREP programs at a level that may diminish POLP’s focus and outcomes</w:t>
            </w:r>
            <w:r>
              <w:t>.</w:t>
            </w:r>
          </w:p>
          <w:p w14:paraId="782E63E9" w14:textId="77777777" w:rsidR="00815E10" w:rsidRPr="0028169C" w:rsidRDefault="00815E10" w:rsidP="00815E10">
            <w:pPr>
              <w:rPr>
                <w:i/>
                <w:iCs/>
              </w:rPr>
            </w:pPr>
          </w:p>
        </w:tc>
        <w:tc>
          <w:tcPr>
            <w:tcW w:w="4439" w:type="dxa"/>
            <w:shd w:val="clear" w:color="auto" w:fill="DAE9F7" w:themeFill="text2" w:themeFillTint="1A"/>
          </w:tcPr>
          <w:p w14:paraId="051F7AA4" w14:textId="77777777" w:rsidR="007121BD" w:rsidRDefault="007121BD" w:rsidP="007121BD">
            <w:pPr>
              <w:rPr>
                <w:lang w:val="en-US"/>
              </w:rPr>
            </w:pPr>
            <w:r>
              <w:rPr>
                <w:lang w:val="en-US"/>
              </w:rPr>
              <w:t xml:space="preserve">Project partners agree that </w:t>
            </w:r>
            <w:r w:rsidRPr="001A5E82">
              <w:rPr>
                <w:lang w:val="en-US"/>
              </w:rPr>
              <w:t xml:space="preserve">POLP </w:t>
            </w:r>
            <w:r>
              <w:rPr>
                <w:lang w:val="en-US"/>
              </w:rPr>
              <w:t>will</w:t>
            </w:r>
            <w:r w:rsidRPr="001A5E82">
              <w:rPr>
                <w:lang w:val="en-US"/>
              </w:rPr>
              <w:t xml:space="preserve"> </w:t>
            </w:r>
            <w:r>
              <w:rPr>
                <w:lang w:val="en-US"/>
              </w:rPr>
              <w:t>prioritise</w:t>
            </w:r>
            <w:r w:rsidRPr="001A5E82">
              <w:rPr>
                <w:lang w:val="en-US"/>
              </w:rPr>
              <w:t xml:space="preserve"> implementation </w:t>
            </w:r>
            <w:r>
              <w:rPr>
                <w:lang w:val="en-US"/>
              </w:rPr>
              <w:t xml:space="preserve">of national activities </w:t>
            </w:r>
            <w:r w:rsidRPr="001A5E82">
              <w:rPr>
                <w:lang w:val="en-US"/>
              </w:rPr>
              <w:t xml:space="preserve">for the </w:t>
            </w:r>
            <w:r>
              <w:rPr>
                <w:lang w:val="en-US"/>
              </w:rPr>
              <w:t>remainder of the project</w:t>
            </w:r>
            <w:r w:rsidRPr="001A5E82">
              <w:rPr>
                <w:lang w:val="en-US"/>
              </w:rPr>
              <w:t>.</w:t>
            </w:r>
          </w:p>
          <w:p w14:paraId="0767E7B4" w14:textId="77777777" w:rsidR="007121BD" w:rsidRDefault="007121BD" w:rsidP="00815E10">
            <w:pPr>
              <w:rPr>
                <w:lang w:val="en-US"/>
              </w:rPr>
            </w:pPr>
          </w:p>
          <w:p w14:paraId="3EC533D0" w14:textId="100092D5" w:rsidR="007121BD" w:rsidRDefault="00B43E53" w:rsidP="00815E10">
            <w:pPr>
              <w:rPr>
                <w:lang w:val="en-US"/>
              </w:rPr>
            </w:pPr>
            <w:r>
              <w:rPr>
                <w:lang w:val="en-US"/>
              </w:rPr>
              <w:t>Expenditure on</w:t>
            </w:r>
            <w:r w:rsidR="00815E10" w:rsidRPr="00CA60F2">
              <w:rPr>
                <w:lang w:val="en-US"/>
              </w:rPr>
              <w:t xml:space="preserve"> </w:t>
            </w:r>
            <w:r w:rsidR="00815E10" w:rsidRPr="00D1193D">
              <w:t>events</w:t>
            </w:r>
            <w:r w:rsidR="00815E10" w:rsidRPr="00A265EC">
              <w:t xml:space="preserve"> and </w:t>
            </w:r>
            <w:r w:rsidR="00815E10">
              <w:t xml:space="preserve">regional </w:t>
            </w:r>
            <w:r w:rsidR="00815E10" w:rsidRPr="00A265EC">
              <w:t>activities</w:t>
            </w:r>
            <w:r w:rsidR="00815E10">
              <w:t xml:space="preserve"> </w:t>
            </w:r>
            <w:r w:rsidR="00815E10">
              <w:rPr>
                <w:lang w:val="en-US"/>
              </w:rPr>
              <w:t>will</w:t>
            </w:r>
            <w:r w:rsidR="00815E10" w:rsidRPr="001A5E82">
              <w:rPr>
                <w:lang w:val="en-US"/>
              </w:rPr>
              <w:t xml:space="preserve"> be </w:t>
            </w:r>
            <w:r>
              <w:rPr>
                <w:lang w:val="en-US"/>
              </w:rPr>
              <w:t xml:space="preserve">carefully </w:t>
            </w:r>
            <w:r w:rsidR="00815E10">
              <w:rPr>
                <w:lang w:val="en-US"/>
              </w:rPr>
              <w:t>considered</w:t>
            </w:r>
            <w:r w:rsidR="00815E10" w:rsidRPr="001A5E82">
              <w:rPr>
                <w:lang w:val="en-US"/>
              </w:rPr>
              <w:t xml:space="preserve"> </w:t>
            </w:r>
            <w:r>
              <w:rPr>
                <w:lang w:val="en-US"/>
              </w:rPr>
              <w:t xml:space="preserve">by DCCEEW in </w:t>
            </w:r>
            <w:r w:rsidR="00815E10">
              <w:rPr>
                <w:lang w:val="en-US"/>
              </w:rPr>
              <w:t xml:space="preserve">approval </w:t>
            </w:r>
            <w:r w:rsidR="004A054C">
              <w:rPr>
                <w:lang w:val="en-US"/>
              </w:rPr>
              <w:t xml:space="preserve">of </w:t>
            </w:r>
            <w:r w:rsidR="00454954">
              <w:rPr>
                <w:lang w:val="en-US"/>
              </w:rPr>
              <w:t xml:space="preserve">POLP </w:t>
            </w:r>
            <w:r w:rsidR="004A054C">
              <w:rPr>
                <w:lang w:val="en-US"/>
              </w:rPr>
              <w:t xml:space="preserve">annual work plans and </w:t>
            </w:r>
            <w:r w:rsidR="00815E10">
              <w:rPr>
                <w:lang w:val="en-US"/>
              </w:rPr>
              <w:t xml:space="preserve">budgets. </w:t>
            </w:r>
          </w:p>
          <w:p w14:paraId="56959E0C" w14:textId="77777777" w:rsidR="0071022A" w:rsidRPr="0071022A" w:rsidRDefault="0071022A" w:rsidP="0071022A">
            <w:pPr>
              <w:rPr>
                <w:lang w:val="en-US"/>
              </w:rPr>
            </w:pPr>
          </w:p>
          <w:p w14:paraId="39626FDF" w14:textId="3D5DAB05" w:rsidR="00815E10" w:rsidRDefault="00454954" w:rsidP="0071022A">
            <w:pPr>
              <w:rPr>
                <w:lang w:val="en-US"/>
              </w:rPr>
            </w:pPr>
            <w:r>
              <w:rPr>
                <w:lang w:val="en-US"/>
              </w:rPr>
              <w:t>E</w:t>
            </w:r>
            <w:r w:rsidR="00815E10" w:rsidRPr="0071022A">
              <w:rPr>
                <w:lang w:val="en-US"/>
              </w:rPr>
              <w:t xml:space="preserve">vents </w:t>
            </w:r>
            <w:r w:rsidR="007F71CF">
              <w:rPr>
                <w:lang w:val="en-US"/>
              </w:rPr>
              <w:t>that</w:t>
            </w:r>
            <w:r w:rsidR="00815E10" w:rsidRPr="0071022A">
              <w:rPr>
                <w:lang w:val="en-US"/>
              </w:rPr>
              <w:t xml:space="preserve"> are not included in the approved </w:t>
            </w:r>
            <w:r w:rsidR="007F71CF">
              <w:rPr>
                <w:lang w:val="en-US"/>
              </w:rPr>
              <w:t>a</w:t>
            </w:r>
            <w:r w:rsidR="00815E10" w:rsidRPr="0071022A">
              <w:rPr>
                <w:lang w:val="en-US"/>
              </w:rPr>
              <w:t xml:space="preserve">nnual </w:t>
            </w:r>
            <w:r w:rsidR="007F71CF">
              <w:rPr>
                <w:lang w:val="en-US"/>
              </w:rPr>
              <w:t>w</w:t>
            </w:r>
            <w:r w:rsidR="00815E10" w:rsidRPr="0071022A">
              <w:rPr>
                <w:lang w:val="en-US"/>
              </w:rPr>
              <w:t>ork</w:t>
            </w:r>
            <w:r w:rsidR="007F71CF">
              <w:rPr>
                <w:lang w:val="en-US"/>
              </w:rPr>
              <w:t xml:space="preserve"> </w:t>
            </w:r>
            <w:r w:rsidR="00815E10" w:rsidRPr="0071022A">
              <w:rPr>
                <w:lang w:val="en-US"/>
              </w:rPr>
              <w:t xml:space="preserve">plan and </w:t>
            </w:r>
            <w:r w:rsidR="007F71CF">
              <w:rPr>
                <w:lang w:val="en-US"/>
              </w:rPr>
              <w:t>b</w:t>
            </w:r>
            <w:r w:rsidR="00815E10" w:rsidRPr="0071022A">
              <w:rPr>
                <w:lang w:val="en-US"/>
              </w:rPr>
              <w:t>udget</w:t>
            </w:r>
            <w:r w:rsidR="007F71CF">
              <w:rPr>
                <w:lang w:val="en-US"/>
              </w:rPr>
              <w:t xml:space="preserve">, </w:t>
            </w:r>
            <w:r w:rsidR="00815E10" w:rsidRPr="0071022A">
              <w:rPr>
                <w:lang w:val="en-US"/>
              </w:rPr>
              <w:t xml:space="preserve">or exceed </w:t>
            </w:r>
            <w:r w:rsidR="007F71CF">
              <w:rPr>
                <w:lang w:val="en-US"/>
              </w:rPr>
              <w:t>a</w:t>
            </w:r>
            <w:r w:rsidR="00815E10" w:rsidRPr="0071022A">
              <w:rPr>
                <w:lang w:val="en-US"/>
              </w:rPr>
              <w:t xml:space="preserve"> 10% variance</w:t>
            </w:r>
            <w:r w:rsidR="007F71CF">
              <w:rPr>
                <w:lang w:val="en-US"/>
              </w:rPr>
              <w:t xml:space="preserve"> allowance</w:t>
            </w:r>
            <w:r w:rsidR="00815E10" w:rsidRPr="0071022A">
              <w:rPr>
                <w:lang w:val="en-US"/>
              </w:rPr>
              <w:t xml:space="preserve">, will be </w:t>
            </w:r>
            <w:r w:rsidR="007C0E27">
              <w:rPr>
                <w:lang w:val="en-US"/>
              </w:rPr>
              <w:t xml:space="preserve">further </w:t>
            </w:r>
            <w:r w:rsidR="00815E10" w:rsidRPr="0071022A">
              <w:rPr>
                <w:lang w:val="en-US"/>
              </w:rPr>
              <w:t xml:space="preserve">considered by DCCEEW. </w:t>
            </w:r>
          </w:p>
          <w:p w14:paraId="5A4C221D" w14:textId="77777777" w:rsidR="007F71CF" w:rsidRPr="0071022A" w:rsidRDefault="007F71CF" w:rsidP="0071022A">
            <w:pPr>
              <w:rPr>
                <w:lang w:val="en-US"/>
              </w:rPr>
            </w:pPr>
          </w:p>
          <w:p w14:paraId="43DCBC7F" w14:textId="3280D5D2" w:rsidR="00815E10" w:rsidRPr="004276B1" w:rsidRDefault="00815E10" w:rsidP="004717A4">
            <w:pPr>
              <w:spacing w:after="120"/>
              <w:rPr>
                <w:lang w:val="en-US"/>
              </w:rPr>
            </w:pPr>
            <w:r w:rsidRPr="0071022A">
              <w:rPr>
                <w:lang w:val="en-US"/>
              </w:rPr>
              <w:t xml:space="preserve">Variances to the approved AWPB </w:t>
            </w:r>
            <w:r w:rsidR="0029050A">
              <w:rPr>
                <w:lang w:val="en-US"/>
              </w:rPr>
              <w:t>will</w:t>
            </w:r>
            <w:r w:rsidRPr="0071022A">
              <w:rPr>
                <w:lang w:val="en-US"/>
              </w:rPr>
              <w:t xml:space="preserve"> not require DFAT review</w:t>
            </w:r>
            <w:r w:rsidR="00B43E53">
              <w:rPr>
                <w:lang w:val="en-US"/>
              </w:rPr>
              <w:t xml:space="preserve"> and </w:t>
            </w:r>
            <w:r w:rsidRPr="0071022A">
              <w:rPr>
                <w:lang w:val="en-US"/>
              </w:rPr>
              <w:t xml:space="preserve">approval unless DCCEEW </w:t>
            </w:r>
            <w:proofErr w:type="gramStart"/>
            <w:r w:rsidRPr="0071022A">
              <w:rPr>
                <w:lang w:val="en-US"/>
              </w:rPr>
              <w:t>consider</w:t>
            </w:r>
            <w:proofErr w:type="gramEnd"/>
            <w:r w:rsidRPr="0071022A">
              <w:rPr>
                <w:lang w:val="en-US"/>
              </w:rPr>
              <w:t xml:space="preserve"> they pose a risk that needs to be elevated.</w:t>
            </w:r>
          </w:p>
        </w:tc>
        <w:tc>
          <w:tcPr>
            <w:tcW w:w="1292" w:type="dxa"/>
            <w:shd w:val="clear" w:color="auto" w:fill="DAE9F7" w:themeFill="text2" w:themeFillTint="1A"/>
          </w:tcPr>
          <w:p w14:paraId="06BD7EC6" w14:textId="144125DF" w:rsidR="00815E10" w:rsidRDefault="00B43E53" w:rsidP="005A4D42">
            <w:r>
              <w:t>Ongoing</w:t>
            </w:r>
          </w:p>
        </w:tc>
      </w:tr>
      <w:tr w:rsidR="007064DD" w14:paraId="7A7980CE" w14:textId="3169D1CF" w:rsidTr="7137A468">
        <w:tc>
          <w:tcPr>
            <w:tcW w:w="3520" w:type="dxa"/>
            <w:shd w:val="clear" w:color="auto" w:fill="F2F2F2" w:themeFill="background1" w:themeFillShade="F2"/>
          </w:tcPr>
          <w:p w14:paraId="3442E1C0" w14:textId="2A6D79BE" w:rsidR="00E025A2" w:rsidRDefault="00D1193D" w:rsidP="007A2AC4">
            <w:pPr>
              <w:pStyle w:val="ListParagraph"/>
              <w:numPr>
                <w:ilvl w:val="0"/>
                <w:numId w:val="3"/>
              </w:numPr>
              <w:ind w:left="452" w:hanging="425"/>
            </w:pPr>
            <w:r w:rsidRPr="00A265EC">
              <w:t xml:space="preserve">Ensure that the approach to </w:t>
            </w:r>
            <w:r w:rsidRPr="00D1193D">
              <w:t>pilot country implementation</w:t>
            </w:r>
            <w:r w:rsidRPr="00A265EC">
              <w:t xml:space="preserve"> includes appropriate processes, guidance and support to accommodate national governance </w:t>
            </w:r>
            <w:r w:rsidRPr="00A265EC">
              <w:lastRenderedPageBreak/>
              <w:t>arrangements (and limitations), including requirements and expectations for governance and reporting</w:t>
            </w:r>
          </w:p>
        </w:tc>
        <w:tc>
          <w:tcPr>
            <w:tcW w:w="1207" w:type="dxa"/>
            <w:shd w:val="clear" w:color="auto" w:fill="C1F0C7" w:themeFill="accent3" w:themeFillTint="33"/>
          </w:tcPr>
          <w:p w14:paraId="031E9F59" w14:textId="6FA54E9B" w:rsidR="00E025A2" w:rsidRPr="00A265EC" w:rsidRDefault="00D65690" w:rsidP="00AE3D5D">
            <w:pPr>
              <w:spacing w:before="60"/>
            </w:pPr>
            <w:r>
              <w:lastRenderedPageBreak/>
              <w:t>Agree</w:t>
            </w:r>
          </w:p>
        </w:tc>
        <w:tc>
          <w:tcPr>
            <w:tcW w:w="3490" w:type="dxa"/>
            <w:shd w:val="clear" w:color="auto" w:fill="A5C9EB" w:themeFill="text2" w:themeFillTint="40"/>
          </w:tcPr>
          <w:p w14:paraId="6DAFBF0F" w14:textId="606D0C21" w:rsidR="00E025A2" w:rsidRPr="001E5AB2" w:rsidRDefault="00B663DA" w:rsidP="00AE3D5D">
            <w:r>
              <w:t xml:space="preserve">The mid-term review identified that </w:t>
            </w:r>
            <w:r w:rsidR="00E025A2" w:rsidRPr="001E5AB2">
              <w:t>POLP’s guidance about national governance arrangements and processes for pilot PICs could be strengthened and formalised</w:t>
            </w:r>
            <w:r w:rsidR="00427832">
              <w:t>.</w:t>
            </w:r>
          </w:p>
          <w:p w14:paraId="0A4197B7" w14:textId="77777777" w:rsidR="00E025A2" w:rsidRDefault="00E025A2" w:rsidP="00AE3D5D">
            <w:pPr>
              <w:rPr>
                <w:i/>
                <w:iCs/>
              </w:rPr>
            </w:pPr>
          </w:p>
          <w:p w14:paraId="11E608D5" w14:textId="77777777" w:rsidR="00E025A2" w:rsidRPr="00583214" w:rsidRDefault="00E025A2" w:rsidP="00831504"/>
        </w:tc>
        <w:tc>
          <w:tcPr>
            <w:tcW w:w="4439" w:type="dxa"/>
            <w:shd w:val="clear" w:color="auto" w:fill="A5C9EB" w:themeFill="text2" w:themeFillTint="40"/>
          </w:tcPr>
          <w:p w14:paraId="06A5C8E5" w14:textId="723AD783" w:rsidR="001D3E9F" w:rsidRDefault="00A84BC5" w:rsidP="00707C47">
            <w:r w:rsidRPr="00707C47">
              <w:rPr>
                <w:lang w:val="en-US"/>
              </w:rPr>
              <w:lastRenderedPageBreak/>
              <w:t>DCCEEW</w:t>
            </w:r>
            <w:r>
              <w:t xml:space="preserve"> will work with the</w:t>
            </w:r>
            <w:r w:rsidRPr="00A84BC5">
              <w:t xml:space="preserve"> POLP PMU </w:t>
            </w:r>
            <w:r>
              <w:t xml:space="preserve">to </w:t>
            </w:r>
            <w:r w:rsidR="0073010F">
              <w:t>provide</w:t>
            </w:r>
            <w:r w:rsidR="00914213">
              <w:t xml:space="preserve"> guidance to </w:t>
            </w:r>
            <w:proofErr w:type="gramStart"/>
            <w:r w:rsidR="00914213">
              <w:t>Pacific island</w:t>
            </w:r>
            <w:proofErr w:type="gramEnd"/>
            <w:r w:rsidR="00914213">
              <w:t xml:space="preserve"> </w:t>
            </w:r>
            <w:r w:rsidR="00921F7D">
              <w:t>ministries</w:t>
            </w:r>
            <w:r w:rsidR="004A2F44">
              <w:t xml:space="preserve"> and</w:t>
            </w:r>
            <w:r w:rsidR="00921F7D">
              <w:t xml:space="preserve"> National Project Officers </w:t>
            </w:r>
            <w:r w:rsidR="0073010F">
              <w:t xml:space="preserve">about </w:t>
            </w:r>
            <w:r w:rsidR="00F020F4">
              <w:t xml:space="preserve">processes for engagement in </w:t>
            </w:r>
            <w:r w:rsidR="004A2F44">
              <w:t>POLP</w:t>
            </w:r>
            <w:r w:rsidR="00F020F4">
              <w:t xml:space="preserve"> activities.</w:t>
            </w:r>
          </w:p>
          <w:p w14:paraId="09F9C411" w14:textId="528870CD" w:rsidR="00A84BC5" w:rsidRDefault="00B6027B" w:rsidP="00AE3D5D">
            <w:pPr>
              <w:spacing w:before="60"/>
            </w:pPr>
            <w:r>
              <w:lastRenderedPageBreak/>
              <w:t>Reporting templates have been provided to participating ministries and National Project Officers</w:t>
            </w:r>
            <w:r w:rsidR="00614DEF">
              <w:t xml:space="preserve"> to support governance and reporting requirements. </w:t>
            </w:r>
          </w:p>
          <w:p w14:paraId="5BF8FFC8" w14:textId="23D6FEB2" w:rsidR="00E025A2" w:rsidRDefault="00614DEF" w:rsidP="001669B7">
            <w:pPr>
              <w:spacing w:before="60" w:after="120"/>
            </w:pPr>
            <w:r>
              <w:t xml:space="preserve">Additional support will be provided through MERL </w:t>
            </w:r>
            <w:r w:rsidR="00A01508">
              <w:t xml:space="preserve">guidance for </w:t>
            </w:r>
            <w:r w:rsidR="00733543">
              <w:t xml:space="preserve">implementation and reporting on </w:t>
            </w:r>
            <w:r w:rsidR="00A01508">
              <w:t>national-level activities.</w:t>
            </w:r>
          </w:p>
        </w:tc>
        <w:tc>
          <w:tcPr>
            <w:tcW w:w="1292" w:type="dxa"/>
            <w:shd w:val="clear" w:color="auto" w:fill="A5C9EB" w:themeFill="text2" w:themeFillTint="40"/>
          </w:tcPr>
          <w:p w14:paraId="43A2C3A5" w14:textId="46B9DB2D" w:rsidR="00E025A2" w:rsidRDefault="0095650E" w:rsidP="005A4D42">
            <w:r>
              <w:lastRenderedPageBreak/>
              <w:t>Ongoing</w:t>
            </w:r>
          </w:p>
        </w:tc>
      </w:tr>
      <w:tr w:rsidR="00FB724D" w14:paraId="5643CF2A" w14:textId="0A9DF117" w:rsidTr="7137A468">
        <w:tc>
          <w:tcPr>
            <w:tcW w:w="3520" w:type="dxa"/>
            <w:shd w:val="clear" w:color="auto" w:fill="F2F2F2" w:themeFill="background1" w:themeFillShade="F2"/>
          </w:tcPr>
          <w:p w14:paraId="224F6748" w14:textId="23F136E2" w:rsidR="00643EAE" w:rsidRDefault="00643EAE" w:rsidP="00643EAE">
            <w:pPr>
              <w:pStyle w:val="ListParagraph"/>
              <w:numPr>
                <w:ilvl w:val="0"/>
                <w:numId w:val="3"/>
              </w:numPr>
              <w:ind w:left="452" w:hanging="425"/>
            </w:pPr>
            <w:r w:rsidRPr="00A265EC">
              <w:t xml:space="preserve">Ensure that requirements and expectations for </w:t>
            </w:r>
            <w:r w:rsidRPr="001F31A4">
              <w:t>PIC data collection and reporting are formalised, and consider a common MEL platform for collecting and reporting</w:t>
            </w:r>
            <w:r w:rsidRPr="00A265EC">
              <w:t xml:space="preserve"> PIC MEL data</w:t>
            </w:r>
          </w:p>
        </w:tc>
        <w:tc>
          <w:tcPr>
            <w:tcW w:w="1207" w:type="dxa"/>
            <w:shd w:val="clear" w:color="auto" w:fill="D9F2D0" w:themeFill="accent6" w:themeFillTint="33"/>
          </w:tcPr>
          <w:p w14:paraId="37BCEB26" w14:textId="1E0EA6F7" w:rsidR="00643EAE" w:rsidRPr="00A265EC" w:rsidRDefault="00643EAE" w:rsidP="00643EAE">
            <w:pPr>
              <w:spacing w:before="60"/>
            </w:pPr>
            <w:r>
              <w:t>Agree in part</w:t>
            </w:r>
          </w:p>
        </w:tc>
        <w:tc>
          <w:tcPr>
            <w:tcW w:w="3490" w:type="dxa"/>
            <w:shd w:val="clear" w:color="auto" w:fill="DAE9F7" w:themeFill="text2" w:themeFillTint="1A"/>
          </w:tcPr>
          <w:p w14:paraId="2FFFE057" w14:textId="5590E187" w:rsidR="00643EAE" w:rsidRPr="00643EAE" w:rsidRDefault="00643EAE" w:rsidP="7137A468">
            <w:pPr>
              <w:rPr>
                <w:i/>
                <w:iCs/>
              </w:rPr>
            </w:pPr>
            <w:r>
              <w:t>The mid-term review identified that</w:t>
            </w:r>
            <w:r w:rsidR="000E7528">
              <w:t xml:space="preserve"> while the</w:t>
            </w:r>
            <w:r w:rsidR="00186E9A">
              <w:t xml:space="preserve"> project’s approach to monitoring, evaluation and learning (MEL) is underpinned by a comprehensive and detailed </w:t>
            </w:r>
            <w:r w:rsidR="00FB724D">
              <w:t xml:space="preserve">MEL framework, </w:t>
            </w:r>
            <w:r w:rsidR="00EA3CB2">
              <w:t xml:space="preserve">data collection, monitoring and reporting is resource intensive and </w:t>
            </w:r>
            <w:r w:rsidR="009F7155">
              <w:t>reliant</w:t>
            </w:r>
            <w:r w:rsidR="00C20BA4">
              <w:t xml:space="preserve"> on the</w:t>
            </w:r>
            <w:r w:rsidR="005B2400">
              <w:t xml:space="preserve"> timeliness, utility and</w:t>
            </w:r>
            <w:r w:rsidR="00C20BA4">
              <w:t xml:space="preserve"> quality of data and reports </w:t>
            </w:r>
            <w:r w:rsidR="005B2400">
              <w:t>shared between all POLP partners</w:t>
            </w:r>
            <w:r w:rsidR="003978DD">
              <w:t>. The review also noted</w:t>
            </w:r>
            <w:r w:rsidR="0032509B">
              <w:t xml:space="preserve"> </w:t>
            </w:r>
            <w:r w:rsidR="0013230A">
              <w:t xml:space="preserve">the collection and reporting </w:t>
            </w:r>
            <w:r w:rsidR="0032509B">
              <w:t xml:space="preserve">of MEL data in </w:t>
            </w:r>
            <w:proofErr w:type="gramStart"/>
            <w:r w:rsidR="0032509B">
              <w:t>Pacific island</w:t>
            </w:r>
            <w:proofErr w:type="gramEnd"/>
            <w:r w:rsidR="0032509B">
              <w:t xml:space="preserve"> countries is </w:t>
            </w:r>
            <w:r w:rsidR="00944B04">
              <w:t>adapted to local contexts</w:t>
            </w:r>
            <w:r w:rsidR="00101BA0">
              <w:t xml:space="preserve"> and capacity</w:t>
            </w:r>
            <w:r w:rsidR="1C6F54CA">
              <w:t xml:space="preserve">. But there is likely value in </w:t>
            </w:r>
            <w:r>
              <w:t>standardisation of local data collection</w:t>
            </w:r>
            <w:r w:rsidR="00733EE5">
              <w:t xml:space="preserve">, </w:t>
            </w:r>
            <w:r>
              <w:t>reporting requirements and tools.</w:t>
            </w:r>
          </w:p>
        </w:tc>
        <w:tc>
          <w:tcPr>
            <w:tcW w:w="4439" w:type="dxa"/>
            <w:shd w:val="clear" w:color="auto" w:fill="DAE9F7" w:themeFill="text2" w:themeFillTint="1A"/>
          </w:tcPr>
          <w:p w14:paraId="7A89E66D" w14:textId="53BEC277" w:rsidR="00F72954" w:rsidRDefault="004A5D42" w:rsidP="0042477A">
            <w:pPr>
              <w:spacing w:after="120"/>
            </w:pPr>
            <w:r>
              <w:t xml:space="preserve">DCCEEW will work with the POLP PMU </w:t>
            </w:r>
            <w:r w:rsidR="0066679A">
              <w:t xml:space="preserve">to </w:t>
            </w:r>
            <w:r w:rsidR="00AC50DE">
              <w:t>provide</w:t>
            </w:r>
            <w:r w:rsidR="0066679A">
              <w:t xml:space="preserve"> a</w:t>
            </w:r>
            <w:r w:rsidR="00581920">
              <w:t>dditional</w:t>
            </w:r>
            <w:r w:rsidR="00C44837">
              <w:t xml:space="preserve"> expert</w:t>
            </w:r>
            <w:r w:rsidR="0066679A">
              <w:t xml:space="preserve"> MEL</w:t>
            </w:r>
            <w:r w:rsidR="00581920">
              <w:t xml:space="preserve"> support </w:t>
            </w:r>
            <w:r w:rsidR="00980297">
              <w:t xml:space="preserve">to </w:t>
            </w:r>
            <w:r w:rsidR="000E76FF">
              <w:t xml:space="preserve">strengthen monitoring, evaluation and reporting </w:t>
            </w:r>
            <w:r w:rsidR="00F64A16">
              <w:t xml:space="preserve">of POLP activities </w:t>
            </w:r>
            <w:r w:rsidR="00B22215">
              <w:t xml:space="preserve">in cooperation with participating </w:t>
            </w:r>
            <w:proofErr w:type="gramStart"/>
            <w:r w:rsidR="00B22215">
              <w:t>Pacific island</w:t>
            </w:r>
            <w:proofErr w:type="gramEnd"/>
            <w:r w:rsidR="00B22215">
              <w:t xml:space="preserve"> countries</w:t>
            </w:r>
            <w:r w:rsidR="00045F61">
              <w:t xml:space="preserve">. </w:t>
            </w:r>
          </w:p>
          <w:p w14:paraId="291B4BE4" w14:textId="19005935" w:rsidR="00BC7FE1" w:rsidRDefault="00045F61" w:rsidP="0042477A">
            <w:pPr>
              <w:spacing w:after="120"/>
            </w:pPr>
            <w:r>
              <w:t>C</w:t>
            </w:r>
            <w:r w:rsidR="00210E5E">
              <w:t xml:space="preserve">oastal monitoring activities to be delivered in 2025-26 in partnership with the </w:t>
            </w:r>
            <w:r w:rsidR="003E5E65">
              <w:t xml:space="preserve">CSIRO </w:t>
            </w:r>
            <w:r w:rsidR="00210E5E">
              <w:t xml:space="preserve">will </w:t>
            </w:r>
            <w:r w:rsidR="00DA4453">
              <w:t>provide</w:t>
            </w:r>
            <w:r w:rsidR="003E5E65">
              <w:t xml:space="preserve"> </w:t>
            </w:r>
            <w:r w:rsidR="00DA4453">
              <w:t xml:space="preserve">a </w:t>
            </w:r>
            <w:r w:rsidR="003E5E65">
              <w:t xml:space="preserve">standardised </w:t>
            </w:r>
            <w:r w:rsidR="00FA7373">
              <w:t>survey</w:t>
            </w:r>
            <w:r w:rsidR="007064DD">
              <w:t xml:space="preserve"> </w:t>
            </w:r>
            <w:r w:rsidR="00DA4453">
              <w:t>methodology</w:t>
            </w:r>
            <w:r w:rsidR="00785FC9">
              <w:t xml:space="preserve"> </w:t>
            </w:r>
            <w:r w:rsidR="00E71057">
              <w:t xml:space="preserve">for the region </w:t>
            </w:r>
            <w:r w:rsidR="00785FC9">
              <w:t xml:space="preserve">and help build the capacity of </w:t>
            </w:r>
            <w:proofErr w:type="gramStart"/>
            <w:r w:rsidR="0028494F">
              <w:t>Pacific island</w:t>
            </w:r>
            <w:proofErr w:type="gramEnd"/>
            <w:r w:rsidR="0028494F">
              <w:t xml:space="preserve"> countries and </w:t>
            </w:r>
            <w:r w:rsidR="00785FC9">
              <w:t>N</w:t>
            </w:r>
            <w:r w:rsidR="00C81FF3">
              <w:t xml:space="preserve">ational Project Officers </w:t>
            </w:r>
            <w:r w:rsidR="00F61A84">
              <w:t>(NPOs)</w:t>
            </w:r>
            <w:r w:rsidR="00E71057">
              <w:t xml:space="preserve"> to </w:t>
            </w:r>
            <w:r w:rsidR="0065561F">
              <w:t xml:space="preserve">monitor, </w:t>
            </w:r>
            <w:r w:rsidR="00D47A91">
              <w:t xml:space="preserve">evaluate and learn from </w:t>
            </w:r>
            <w:r w:rsidR="0065561F">
              <w:t xml:space="preserve">the </w:t>
            </w:r>
            <w:r w:rsidR="00D47A91">
              <w:t>implementation</w:t>
            </w:r>
            <w:r w:rsidR="007B38B2">
              <w:t xml:space="preserve"> of </w:t>
            </w:r>
            <w:r w:rsidR="002E2B09">
              <w:t xml:space="preserve">on-ground </w:t>
            </w:r>
            <w:r w:rsidR="005F1936">
              <w:t>activities and</w:t>
            </w:r>
            <w:r w:rsidR="00BC7FE1">
              <w:t xml:space="preserve"> </w:t>
            </w:r>
            <w:r w:rsidR="007A4977">
              <w:t xml:space="preserve">build MERL capability for </w:t>
            </w:r>
            <w:r w:rsidR="006D022C">
              <w:t>delivery</w:t>
            </w:r>
            <w:r w:rsidR="007A4977">
              <w:t xml:space="preserve"> and reporting on o</w:t>
            </w:r>
            <w:r w:rsidR="0065561F">
              <w:t>th</w:t>
            </w:r>
            <w:r w:rsidR="007A4977">
              <w:t xml:space="preserve">er </w:t>
            </w:r>
            <w:r w:rsidR="007D3AA2">
              <w:t xml:space="preserve">national-level POLP </w:t>
            </w:r>
            <w:r w:rsidR="007A4977">
              <w:t>activities.</w:t>
            </w:r>
          </w:p>
          <w:p w14:paraId="270A6EA7" w14:textId="5B591C45" w:rsidR="003E5E65" w:rsidRPr="004813D2" w:rsidRDefault="003E5E65" w:rsidP="0042477A">
            <w:pPr>
              <w:spacing w:after="120"/>
            </w:pPr>
          </w:p>
        </w:tc>
        <w:tc>
          <w:tcPr>
            <w:tcW w:w="1292" w:type="dxa"/>
            <w:shd w:val="clear" w:color="auto" w:fill="DAE9F7" w:themeFill="text2" w:themeFillTint="1A"/>
          </w:tcPr>
          <w:p w14:paraId="6836AF88" w14:textId="0E7A6F7E" w:rsidR="00643EAE" w:rsidRPr="00D95AD3" w:rsidRDefault="004162CD" w:rsidP="00643EAE">
            <w:r>
              <w:t>Ongoing</w:t>
            </w:r>
          </w:p>
        </w:tc>
      </w:tr>
      <w:tr w:rsidR="000E7528" w14:paraId="4FC6F34B" w14:textId="6B6658D6" w:rsidTr="7137A468">
        <w:tc>
          <w:tcPr>
            <w:tcW w:w="3520" w:type="dxa"/>
            <w:shd w:val="clear" w:color="auto" w:fill="F2F2F2" w:themeFill="background1" w:themeFillShade="F2"/>
          </w:tcPr>
          <w:p w14:paraId="026F5794" w14:textId="716AE8D9" w:rsidR="00E025A2" w:rsidRDefault="00955529" w:rsidP="00342AB3">
            <w:pPr>
              <w:pStyle w:val="ListParagraph"/>
              <w:numPr>
                <w:ilvl w:val="0"/>
                <w:numId w:val="3"/>
              </w:numPr>
              <w:spacing w:after="120"/>
              <w:ind w:left="453" w:hanging="425"/>
              <w:contextualSpacing w:val="0"/>
            </w:pPr>
            <w:r w:rsidRPr="00E67A74">
              <w:t xml:space="preserve">Consider </w:t>
            </w:r>
            <w:r w:rsidRPr="00955529">
              <w:t xml:space="preserve">additional MEL expertise / support to strengthen the approach to MEL, including streamlining, aggregation of MEL results for </w:t>
            </w:r>
            <w:r w:rsidRPr="00955529">
              <w:lastRenderedPageBreak/>
              <w:t>similar activities in PICs, strengthening the measurement of GEDSI outcomes, improving the</w:t>
            </w:r>
            <w:r w:rsidRPr="00E67A74">
              <w:t xml:space="preserve"> depth and quality of reports and focusing on long–term outcomes and impacts</w:t>
            </w:r>
          </w:p>
        </w:tc>
        <w:tc>
          <w:tcPr>
            <w:tcW w:w="1207" w:type="dxa"/>
            <w:shd w:val="clear" w:color="auto" w:fill="C1F0C7" w:themeFill="accent3" w:themeFillTint="33"/>
          </w:tcPr>
          <w:p w14:paraId="7FA30CF6" w14:textId="6BD88890" w:rsidR="00E025A2" w:rsidRPr="00E67A74" w:rsidRDefault="00263156" w:rsidP="00AE3D5D">
            <w:pPr>
              <w:spacing w:before="60"/>
            </w:pPr>
            <w:r>
              <w:lastRenderedPageBreak/>
              <w:t>Agree</w:t>
            </w:r>
          </w:p>
        </w:tc>
        <w:tc>
          <w:tcPr>
            <w:tcW w:w="3490" w:type="dxa"/>
            <w:shd w:val="clear" w:color="auto" w:fill="A5C9EB" w:themeFill="text2" w:themeFillTint="40"/>
          </w:tcPr>
          <w:p w14:paraId="10B261AA" w14:textId="14A1B44F" w:rsidR="00E025A2" w:rsidRPr="005F0746" w:rsidRDefault="00FA5853" w:rsidP="00AE3D5D">
            <w:r>
              <w:t>As</w:t>
            </w:r>
            <w:r w:rsidR="00E025A2" w:rsidRPr="005F0746">
              <w:t xml:space="preserve"> POLP’s implementation progresses, </w:t>
            </w:r>
            <w:r w:rsidR="00AE6088">
              <w:t>monitoring and evaluation</w:t>
            </w:r>
            <w:r w:rsidR="00E025A2" w:rsidRPr="005F0746">
              <w:t xml:space="preserve"> will become more demanding and complex</w:t>
            </w:r>
            <w:r>
              <w:t>. A</w:t>
            </w:r>
            <w:r w:rsidR="00AE6088">
              <w:t xml:space="preserve">dditional </w:t>
            </w:r>
            <w:r w:rsidR="005E57BF">
              <w:t xml:space="preserve">MEL </w:t>
            </w:r>
            <w:r w:rsidR="00AE6088">
              <w:t xml:space="preserve">expertise could </w:t>
            </w:r>
            <w:r w:rsidR="00AE6088">
              <w:lastRenderedPageBreak/>
              <w:t xml:space="preserve">support </w:t>
            </w:r>
            <w:r w:rsidR="00950C86">
              <w:t xml:space="preserve">aggregation </w:t>
            </w:r>
            <w:r w:rsidR="00457E94">
              <w:t xml:space="preserve">and reporting on </w:t>
            </w:r>
            <w:r w:rsidR="00950C86">
              <w:t>results</w:t>
            </w:r>
            <w:r w:rsidR="00457E94">
              <w:t>.</w:t>
            </w:r>
          </w:p>
          <w:p w14:paraId="265982D9" w14:textId="77777777" w:rsidR="00E025A2" w:rsidRPr="00732D13" w:rsidRDefault="00E025A2" w:rsidP="00AE3D5D"/>
        </w:tc>
        <w:tc>
          <w:tcPr>
            <w:tcW w:w="4439" w:type="dxa"/>
            <w:shd w:val="clear" w:color="auto" w:fill="A5C9EB" w:themeFill="text2" w:themeFillTint="40"/>
          </w:tcPr>
          <w:p w14:paraId="21EA203C" w14:textId="6E6D96F9" w:rsidR="00AF2BE0" w:rsidRDefault="00B65737" w:rsidP="00707C47">
            <w:pPr>
              <w:rPr>
                <w:lang w:val="en-US"/>
              </w:rPr>
            </w:pPr>
            <w:r>
              <w:lastRenderedPageBreak/>
              <w:t xml:space="preserve">DCCEEW will work with the POLP PMU to source </w:t>
            </w:r>
            <w:r w:rsidR="00DD0773">
              <w:t xml:space="preserve">additional </w:t>
            </w:r>
            <w:r>
              <w:t xml:space="preserve">monitoring, evaluation, reporting and learning </w:t>
            </w:r>
            <w:r w:rsidR="00DD0773">
              <w:t>support</w:t>
            </w:r>
            <w:r w:rsidR="009D3D9B">
              <w:t xml:space="preserve"> for project implementation</w:t>
            </w:r>
            <w:r w:rsidR="007F47EA">
              <w:t>, balancing this against efforts to deliver program outputs</w:t>
            </w:r>
            <w:r w:rsidR="00DD0773">
              <w:t xml:space="preserve">, including </w:t>
            </w:r>
            <w:r w:rsidR="00DD0773">
              <w:lastRenderedPageBreak/>
              <w:t xml:space="preserve">exploring </w:t>
            </w:r>
            <w:r w:rsidR="00E025A2" w:rsidRPr="00DD0773">
              <w:rPr>
                <w:lang w:val="en-US"/>
              </w:rPr>
              <w:t>fee for service expertise to review activity plans and support analysis/learnings in reporting.</w:t>
            </w:r>
          </w:p>
          <w:p w14:paraId="5F5B61E2" w14:textId="55B7E981" w:rsidR="00E025A2" w:rsidRDefault="00E025A2" w:rsidP="00AE3D5D">
            <w:pPr>
              <w:spacing w:after="120"/>
            </w:pPr>
          </w:p>
        </w:tc>
        <w:tc>
          <w:tcPr>
            <w:tcW w:w="1292" w:type="dxa"/>
            <w:shd w:val="clear" w:color="auto" w:fill="A5C9EB" w:themeFill="text2" w:themeFillTint="40"/>
          </w:tcPr>
          <w:p w14:paraId="506AFD5B" w14:textId="5F8F1333" w:rsidR="00E025A2" w:rsidRPr="002C7CEE" w:rsidRDefault="00CA6924" w:rsidP="005A4D42">
            <w:r>
              <w:lastRenderedPageBreak/>
              <w:t>June 2025</w:t>
            </w:r>
          </w:p>
        </w:tc>
      </w:tr>
      <w:tr w:rsidR="00244078" w14:paraId="0F4C634B" w14:textId="6E94F154" w:rsidTr="7137A468">
        <w:tc>
          <w:tcPr>
            <w:tcW w:w="3520" w:type="dxa"/>
            <w:shd w:val="clear" w:color="auto" w:fill="F2F2F2" w:themeFill="background1" w:themeFillShade="F2"/>
          </w:tcPr>
          <w:p w14:paraId="7A94A5CA" w14:textId="77777777" w:rsidR="00FE2813" w:rsidRDefault="00FE2813" w:rsidP="007A2AC4">
            <w:pPr>
              <w:pStyle w:val="ListParagraph"/>
              <w:numPr>
                <w:ilvl w:val="0"/>
                <w:numId w:val="3"/>
              </w:numPr>
              <w:ind w:left="452" w:hanging="425"/>
            </w:pPr>
            <w:r w:rsidRPr="00A265EC">
              <w:t xml:space="preserve">Consider establishing a more formal mechanism for </w:t>
            </w:r>
            <w:r w:rsidRPr="00BD6784">
              <w:t>coordination of donor activities</w:t>
            </w:r>
            <w:r w:rsidRPr="00A265EC">
              <w:t xml:space="preserve"> through existing SP</w:t>
            </w:r>
            <w:r>
              <w:t>R</w:t>
            </w:r>
            <w:r w:rsidRPr="00A265EC">
              <w:t xml:space="preserve">EP structures or using the reactivated technical </w:t>
            </w:r>
            <w:r>
              <w:t>Project A</w:t>
            </w:r>
            <w:r w:rsidRPr="00A265EC">
              <w:t xml:space="preserve">dvisory </w:t>
            </w:r>
            <w:r>
              <w:t>G</w:t>
            </w:r>
            <w:r w:rsidRPr="00A265EC">
              <w:t>roup with representation from other donor and development partners</w:t>
            </w:r>
            <w:r>
              <w:t xml:space="preserve"> </w:t>
            </w:r>
          </w:p>
          <w:p w14:paraId="3A8067D9" w14:textId="0CA03EC4" w:rsidR="00E025A2" w:rsidRDefault="00E025A2" w:rsidP="00AE3D5D"/>
        </w:tc>
        <w:tc>
          <w:tcPr>
            <w:tcW w:w="1207" w:type="dxa"/>
            <w:shd w:val="clear" w:color="auto" w:fill="D9F2D0" w:themeFill="accent6" w:themeFillTint="33"/>
          </w:tcPr>
          <w:p w14:paraId="07540FD3" w14:textId="3142537D" w:rsidR="00E025A2" w:rsidRPr="00A265EC" w:rsidRDefault="00F84B69" w:rsidP="00AE3D5D">
            <w:r>
              <w:t>Agree in part</w:t>
            </w:r>
          </w:p>
        </w:tc>
        <w:tc>
          <w:tcPr>
            <w:tcW w:w="3490" w:type="dxa"/>
            <w:shd w:val="clear" w:color="auto" w:fill="DAE9F7" w:themeFill="text2" w:themeFillTint="1A"/>
          </w:tcPr>
          <w:p w14:paraId="68FFC7DD" w14:textId="75CA3A3F" w:rsidR="00E025A2" w:rsidRPr="00457E94" w:rsidRDefault="00732D13" w:rsidP="00AE3D5D">
            <w:r>
              <w:t>P</w:t>
            </w:r>
            <w:r w:rsidR="002A1A6E">
              <w:t xml:space="preserve">roject </w:t>
            </w:r>
            <w:r w:rsidR="00E025A2" w:rsidRPr="00457E94">
              <w:t xml:space="preserve">coordination </w:t>
            </w:r>
            <w:r>
              <w:t>could</w:t>
            </w:r>
            <w:r w:rsidR="00E025A2" w:rsidRPr="00457E94">
              <w:t xml:space="preserve"> be formalised through mechanisms such as regular donor and development partner meetings</w:t>
            </w:r>
            <w:r w:rsidR="00D65246">
              <w:t xml:space="preserve"> and </w:t>
            </w:r>
            <w:r w:rsidR="00E025A2" w:rsidRPr="00457E94">
              <w:t xml:space="preserve">opportunities to build on existing SPREP resources and mechanism for structured coordination. </w:t>
            </w:r>
          </w:p>
        </w:tc>
        <w:tc>
          <w:tcPr>
            <w:tcW w:w="4439" w:type="dxa"/>
            <w:shd w:val="clear" w:color="auto" w:fill="DAE9F7" w:themeFill="text2" w:themeFillTint="1A"/>
          </w:tcPr>
          <w:p w14:paraId="3EC3ED80" w14:textId="39CBF4E4" w:rsidR="001971E1" w:rsidRDefault="001971E1" w:rsidP="001971E1">
            <w:pPr>
              <w:spacing w:after="120"/>
            </w:pPr>
            <w:r>
              <w:t>The donor roundtable at the 4</w:t>
            </w:r>
            <w:r w:rsidRPr="0034089E">
              <w:rPr>
                <w:vertAlign w:val="superscript"/>
              </w:rPr>
              <w:t>th</w:t>
            </w:r>
            <w:r>
              <w:t xml:space="preserve"> Clean Pacific Roundtable </w:t>
            </w:r>
            <w:r w:rsidR="00A56313">
              <w:t xml:space="preserve">hosted by SPREP </w:t>
            </w:r>
            <w:r>
              <w:t>was a useful meeting to share information about existing and proposed donor activities</w:t>
            </w:r>
            <w:r w:rsidR="00A56313">
              <w:t xml:space="preserve"> to address waste and pollution in the region</w:t>
            </w:r>
            <w:r>
              <w:t>.</w:t>
            </w:r>
          </w:p>
          <w:p w14:paraId="5B7AC109" w14:textId="30E09FF8" w:rsidR="00E025A2" w:rsidRDefault="00284DB4" w:rsidP="00A50E9D">
            <w:pPr>
              <w:spacing w:after="120"/>
            </w:pPr>
            <w:r>
              <w:t xml:space="preserve">DCCEEW will work with SPREP to </w:t>
            </w:r>
            <w:r w:rsidR="00A07E79">
              <w:t xml:space="preserve">facilitate more regular </w:t>
            </w:r>
            <w:r w:rsidR="00C17FAC">
              <w:t xml:space="preserve">virtual </w:t>
            </w:r>
            <w:r w:rsidR="001971E1">
              <w:t>donor meetings</w:t>
            </w:r>
            <w:r w:rsidR="00942139">
              <w:t xml:space="preserve"> for improved coordination </w:t>
            </w:r>
            <w:r w:rsidR="00256F24">
              <w:t>with</w:t>
            </w:r>
            <w:r w:rsidR="00942139">
              <w:t xml:space="preserve"> </w:t>
            </w:r>
            <w:r w:rsidR="00256F24">
              <w:t xml:space="preserve">SPREP </w:t>
            </w:r>
            <w:r w:rsidR="00942139">
              <w:t>donor partners</w:t>
            </w:r>
            <w:r w:rsidR="00252C89">
              <w:t xml:space="preserve"> on </w:t>
            </w:r>
            <w:r w:rsidR="00A50E9D">
              <w:t xml:space="preserve">waste and pollution </w:t>
            </w:r>
            <w:r w:rsidR="00252C89">
              <w:t>development projects</w:t>
            </w:r>
            <w:r w:rsidR="001971E1">
              <w:t>.</w:t>
            </w:r>
          </w:p>
        </w:tc>
        <w:tc>
          <w:tcPr>
            <w:tcW w:w="1292" w:type="dxa"/>
            <w:shd w:val="clear" w:color="auto" w:fill="DAE9F7" w:themeFill="text2" w:themeFillTint="1A"/>
          </w:tcPr>
          <w:p w14:paraId="62FB1481" w14:textId="79633FF5" w:rsidR="00E025A2" w:rsidRDefault="007064DD" w:rsidP="005A4D42">
            <w:r>
              <w:t>Ongoing</w:t>
            </w:r>
          </w:p>
        </w:tc>
      </w:tr>
      <w:tr w:rsidR="000E7528" w14:paraId="6A5A9386" w14:textId="4721C41C" w:rsidTr="7137A468">
        <w:tc>
          <w:tcPr>
            <w:tcW w:w="3520" w:type="dxa"/>
            <w:shd w:val="clear" w:color="auto" w:fill="F2F2F2" w:themeFill="background1" w:themeFillShade="F2"/>
          </w:tcPr>
          <w:p w14:paraId="7F551092" w14:textId="3154DF44" w:rsidR="00CA789A" w:rsidRDefault="00CA789A" w:rsidP="007A2AC4">
            <w:pPr>
              <w:pStyle w:val="ListParagraph"/>
              <w:numPr>
                <w:ilvl w:val="0"/>
                <w:numId w:val="3"/>
              </w:numPr>
              <w:ind w:left="452" w:hanging="425"/>
            </w:pPr>
            <w:r w:rsidRPr="00A265EC">
              <w:t xml:space="preserve">Continue </w:t>
            </w:r>
            <w:r w:rsidRPr="00CA789A">
              <w:t>to accelerate national implementation through a priority focus on</w:t>
            </w:r>
            <w:r w:rsidRPr="00A265EC">
              <w:t xml:space="preserve"> finalising LOAs and consider </w:t>
            </w:r>
            <w:r w:rsidRPr="005C6D80">
              <w:t>enhancing the PMU’s technical capacity</w:t>
            </w:r>
            <w:r w:rsidRPr="00A265EC">
              <w:t xml:space="preserve"> to provide on–grou</w:t>
            </w:r>
            <w:r>
              <w:t>nd</w:t>
            </w:r>
            <w:r w:rsidRPr="00A265EC">
              <w:t xml:space="preserve"> support until NPOs are established</w:t>
            </w:r>
          </w:p>
          <w:p w14:paraId="64A4E00E" w14:textId="7D69B309" w:rsidR="00E025A2" w:rsidRDefault="00E025A2" w:rsidP="00AE3D5D"/>
        </w:tc>
        <w:tc>
          <w:tcPr>
            <w:tcW w:w="1207" w:type="dxa"/>
            <w:shd w:val="clear" w:color="auto" w:fill="C1F0C7" w:themeFill="accent3" w:themeFillTint="33"/>
          </w:tcPr>
          <w:p w14:paraId="75B76A93" w14:textId="6AD624F7" w:rsidR="00E025A2" w:rsidRPr="00A265EC" w:rsidRDefault="00263156" w:rsidP="00AE3D5D">
            <w:r>
              <w:t>A</w:t>
            </w:r>
            <w:r w:rsidR="00136959">
              <w:t>gree</w:t>
            </w:r>
          </w:p>
        </w:tc>
        <w:tc>
          <w:tcPr>
            <w:tcW w:w="3490" w:type="dxa"/>
            <w:shd w:val="clear" w:color="auto" w:fill="A5C9EB" w:themeFill="text2" w:themeFillTint="40"/>
          </w:tcPr>
          <w:p w14:paraId="16BF0BCC" w14:textId="2B6BE02E" w:rsidR="00E025A2" w:rsidRPr="001F4BDA" w:rsidRDefault="00252C89" w:rsidP="009A1FBF">
            <w:pPr>
              <w:spacing w:after="120"/>
            </w:pPr>
            <w:r w:rsidRPr="001F4BDA">
              <w:t xml:space="preserve">The mid-term review </w:t>
            </w:r>
            <w:r w:rsidR="001F4BDA" w:rsidRPr="001F4BDA">
              <w:t>identified that</w:t>
            </w:r>
            <w:r w:rsidR="00E025A2" w:rsidRPr="001F4BDA">
              <w:t xml:space="preserve"> delays in recruiting </w:t>
            </w:r>
            <w:r w:rsidR="001800A1">
              <w:t>Nationa</w:t>
            </w:r>
            <w:r w:rsidR="003E61BF">
              <w:t>l</w:t>
            </w:r>
            <w:r w:rsidR="001800A1">
              <w:t xml:space="preserve"> Project Officers (</w:t>
            </w:r>
            <w:r w:rsidR="00E025A2" w:rsidRPr="001F4BDA">
              <w:t>NPOs</w:t>
            </w:r>
            <w:r w:rsidR="001800A1">
              <w:t>)</w:t>
            </w:r>
            <w:r w:rsidR="00E025A2" w:rsidRPr="001F4BDA">
              <w:t xml:space="preserve"> will have a significant impact on implementation progress, and there may be a need to boost the PMU’s technical capacity to provide on–ground assistance until NPOs are established.</w:t>
            </w:r>
          </w:p>
        </w:tc>
        <w:tc>
          <w:tcPr>
            <w:tcW w:w="4439" w:type="dxa"/>
            <w:shd w:val="clear" w:color="auto" w:fill="A5C9EB" w:themeFill="text2" w:themeFillTint="40"/>
          </w:tcPr>
          <w:p w14:paraId="3E9A7186" w14:textId="77777777" w:rsidR="004A1A6D" w:rsidRDefault="004A1A6D" w:rsidP="00252C89">
            <w:pPr>
              <w:spacing w:after="120"/>
            </w:pPr>
            <w:r>
              <w:t xml:space="preserve">The PMU has the technical capacity to support PICs in implementation of national </w:t>
            </w:r>
            <w:proofErr w:type="gramStart"/>
            <w:r>
              <w:t>activities,</w:t>
            </w:r>
            <w:proofErr w:type="gramEnd"/>
            <w:r>
              <w:t xml:space="preserve"> however it is resource intensive and requires travel. </w:t>
            </w:r>
          </w:p>
          <w:p w14:paraId="3A343F0B" w14:textId="30178893" w:rsidR="00E025A2" w:rsidRDefault="00C801BD" w:rsidP="00252C89">
            <w:pPr>
              <w:spacing w:after="120"/>
            </w:pPr>
            <w:r>
              <w:t>Australia approved recruitment of an ad</w:t>
            </w:r>
            <w:r w:rsidR="004A1A6D">
              <w:t>ministrat</w:t>
            </w:r>
            <w:r w:rsidR="00BE14ED">
              <w:t xml:space="preserve">ive </w:t>
            </w:r>
            <w:r>
              <w:t xml:space="preserve">support officer </w:t>
            </w:r>
            <w:r w:rsidR="0012412C">
              <w:t xml:space="preserve">for the PMU, </w:t>
            </w:r>
            <w:r w:rsidR="005B4B76">
              <w:t xml:space="preserve">with an appointment being made </w:t>
            </w:r>
            <w:proofErr w:type="gramStart"/>
            <w:r w:rsidR="005B4B76">
              <w:t xml:space="preserve">in </w:t>
            </w:r>
            <w:r w:rsidR="0012412C">
              <w:t xml:space="preserve"> </w:t>
            </w:r>
            <w:r w:rsidR="00B4328E">
              <w:t>July</w:t>
            </w:r>
            <w:proofErr w:type="gramEnd"/>
            <w:r w:rsidR="0012412C">
              <w:t xml:space="preserve"> 2024. </w:t>
            </w:r>
          </w:p>
          <w:p w14:paraId="591088BD" w14:textId="372075E9" w:rsidR="00E025A2" w:rsidRDefault="00D722DD" w:rsidP="00AE3D5D">
            <w:pPr>
              <w:spacing w:after="120"/>
            </w:pPr>
            <w:r>
              <w:t xml:space="preserve">DCCEEW </w:t>
            </w:r>
            <w:r w:rsidR="005E6817">
              <w:t>is</w:t>
            </w:r>
            <w:r>
              <w:t xml:space="preserve"> work</w:t>
            </w:r>
            <w:r w:rsidR="005E6817">
              <w:t>ing</w:t>
            </w:r>
            <w:r w:rsidRPr="001B6320">
              <w:t xml:space="preserve"> </w:t>
            </w:r>
            <w:r>
              <w:t xml:space="preserve">with the POLP PMU </w:t>
            </w:r>
            <w:r w:rsidR="00125AD1">
              <w:t>to support</w:t>
            </w:r>
            <w:r>
              <w:t xml:space="preserve"> </w:t>
            </w:r>
            <w:r w:rsidR="00CA1E4B">
              <w:t xml:space="preserve">NPO </w:t>
            </w:r>
            <w:r w:rsidR="005C6AFF">
              <w:t>induction</w:t>
            </w:r>
            <w:r w:rsidR="005E6817">
              <w:t xml:space="preserve"> processes</w:t>
            </w:r>
            <w:r w:rsidR="00CA1E4B">
              <w:t xml:space="preserve"> and </w:t>
            </w:r>
            <w:r w:rsidR="005C6AFF">
              <w:t>finalisation</w:t>
            </w:r>
            <w:r w:rsidR="00125AD1">
              <w:t xml:space="preserve"> of</w:t>
            </w:r>
            <w:r w:rsidR="005C6AFF">
              <w:t xml:space="preserve"> </w:t>
            </w:r>
            <w:r>
              <w:t>national implementation plans, which are being developed</w:t>
            </w:r>
            <w:r w:rsidR="00125AD1">
              <w:t xml:space="preserve"> by NPOs</w:t>
            </w:r>
            <w:r>
              <w:t xml:space="preserve"> </w:t>
            </w:r>
            <w:r>
              <w:lastRenderedPageBreak/>
              <w:t xml:space="preserve">in cooperation with </w:t>
            </w:r>
            <w:r w:rsidR="00125AD1">
              <w:t>the POLP PMU</w:t>
            </w:r>
            <w:r w:rsidR="00F9738B">
              <w:t xml:space="preserve"> for delivery of national-level activities</w:t>
            </w:r>
            <w:r>
              <w:t>.</w:t>
            </w:r>
          </w:p>
        </w:tc>
        <w:tc>
          <w:tcPr>
            <w:tcW w:w="1292" w:type="dxa"/>
            <w:shd w:val="clear" w:color="auto" w:fill="A5C9EB" w:themeFill="text2" w:themeFillTint="40"/>
          </w:tcPr>
          <w:p w14:paraId="756D4241" w14:textId="53C492C6" w:rsidR="00E025A2" w:rsidRDefault="00C222A3" w:rsidP="00252C89">
            <w:pPr>
              <w:spacing w:after="120"/>
            </w:pPr>
            <w:r>
              <w:lastRenderedPageBreak/>
              <w:t xml:space="preserve">Ongoing </w:t>
            </w:r>
          </w:p>
        </w:tc>
      </w:tr>
      <w:tr w:rsidR="007064DD" w14:paraId="65C55A68" w14:textId="44BC39D1" w:rsidTr="7137A468">
        <w:tc>
          <w:tcPr>
            <w:tcW w:w="3520" w:type="dxa"/>
            <w:shd w:val="clear" w:color="auto" w:fill="F2F2F2" w:themeFill="background1" w:themeFillShade="F2"/>
          </w:tcPr>
          <w:p w14:paraId="2AE1F10E" w14:textId="7B17D4FE" w:rsidR="005A26F5" w:rsidRPr="001B6320" w:rsidRDefault="005A26F5" w:rsidP="007A2AC4">
            <w:pPr>
              <w:pStyle w:val="ListParagraph"/>
              <w:numPr>
                <w:ilvl w:val="0"/>
                <w:numId w:val="3"/>
              </w:numPr>
              <w:ind w:left="452" w:hanging="425"/>
            </w:pPr>
            <w:r w:rsidRPr="001B6320">
              <w:t xml:space="preserve">Ensure implementation in remaining PICs includes realistic timeframes, and </w:t>
            </w:r>
            <w:r w:rsidRPr="003D3192">
              <w:t>support and capacity building</w:t>
            </w:r>
            <w:r w:rsidRPr="001B6320">
              <w:t xml:space="preserve"> to address the challenges in national implementation</w:t>
            </w:r>
          </w:p>
          <w:p w14:paraId="2FDA7152" w14:textId="38E97523" w:rsidR="00E025A2" w:rsidRDefault="00E025A2" w:rsidP="00AE3D5D"/>
        </w:tc>
        <w:tc>
          <w:tcPr>
            <w:tcW w:w="1207" w:type="dxa"/>
            <w:shd w:val="clear" w:color="auto" w:fill="C1F0C7" w:themeFill="accent3" w:themeFillTint="33"/>
          </w:tcPr>
          <w:p w14:paraId="64FE05D9" w14:textId="2C4EFBB1" w:rsidR="00E025A2" w:rsidRPr="001B6320" w:rsidRDefault="003D3192" w:rsidP="00AE3D5D">
            <w:r>
              <w:t>Agree</w:t>
            </w:r>
          </w:p>
        </w:tc>
        <w:tc>
          <w:tcPr>
            <w:tcW w:w="3490" w:type="dxa"/>
            <w:shd w:val="clear" w:color="auto" w:fill="DAE9F7" w:themeFill="text2" w:themeFillTint="1A"/>
          </w:tcPr>
          <w:p w14:paraId="1034C12E" w14:textId="6ACBE8A3" w:rsidR="00E025A2" w:rsidRPr="001B6320" w:rsidRDefault="00E025A2" w:rsidP="009A1FBF">
            <w:pPr>
              <w:spacing w:after="120"/>
            </w:pPr>
            <w:r w:rsidRPr="00981B9A">
              <w:t>P</w:t>
            </w:r>
            <w:r w:rsidR="00981B9A">
              <w:t>acific island countrie</w:t>
            </w:r>
            <w:r w:rsidRPr="00981B9A">
              <w:t>s face several challenges in implementation</w:t>
            </w:r>
            <w:r w:rsidR="00981B9A">
              <w:t>,</w:t>
            </w:r>
            <w:r w:rsidRPr="00981B9A">
              <w:t xml:space="preserve"> including processes and capacity constraints in national governments, logistical challenges, other competing priorities, availability of local expertise and specialist facilities and delays in recruiting NPOs.</w:t>
            </w:r>
          </w:p>
        </w:tc>
        <w:tc>
          <w:tcPr>
            <w:tcW w:w="4439" w:type="dxa"/>
            <w:shd w:val="clear" w:color="auto" w:fill="DAE9F7" w:themeFill="text2" w:themeFillTint="1A"/>
          </w:tcPr>
          <w:p w14:paraId="13816326" w14:textId="262E0BA4" w:rsidR="00E025A2" w:rsidRPr="001B6320" w:rsidRDefault="00D722DD" w:rsidP="00AE3D5D">
            <w:pPr>
              <w:spacing w:after="120"/>
            </w:pPr>
            <w:r>
              <w:t xml:space="preserve">Australia’s preference is for the POLP PMU to focus on supporting national implementation in countries with NPOs in place, however, other countries will </w:t>
            </w:r>
            <w:r w:rsidR="00831982">
              <w:t xml:space="preserve">also </w:t>
            </w:r>
            <w:r>
              <w:t>be supported if activities can be delivered in cooperation with National Focal Points and other partners</w:t>
            </w:r>
            <w:r w:rsidR="00D30374">
              <w:t xml:space="preserve"> to support capacity</w:t>
            </w:r>
            <w:r>
              <w:t>.</w:t>
            </w:r>
          </w:p>
        </w:tc>
        <w:tc>
          <w:tcPr>
            <w:tcW w:w="1292" w:type="dxa"/>
            <w:shd w:val="clear" w:color="auto" w:fill="DAE9F7" w:themeFill="text2" w:themeFillTint="1A"/>
          </w:tcPr>
          <w:p w14:paraId="0402E32B" w14:textId="09D6F062" w:rsidR="00E025A2" w:rsidRPr="001B6320" w:rsidRDefault="00D04A8E" w:rsidP="00BA4A4C">
            <w:pPr>
              <w:spacing w:after="120"/>
            </w:pPr>
            <w:r>
              <w:t>Ongoing</w:t>
            </w:r>
          </w:p>
        </w:tc>
      </w:tr>
      <w:tr w:rsidR="00244078" w14:paraId="7994D8BE" w14:textId="04EAC5FF" w:rsidTr="7137A468">
        <w:tc>
          <w:tcPr>
            <w:tcW w:w="3520" w:type="dxa"/>
            <w:shd w:val="clear" w:color="auto" w:fill="F2F2F2" w:themeFill="background1" w:themeFillShade="F2"/>
          </w:tcPr>
          <w:p w14:paraId="5C3DDB2B" w14:textId="77777777" w:rsidR="003D3192" w:rsidRDefault="003D3192" w:rsidP="007A2AC4">
            <w:pPr>
              <w:pStyle w:val="ListParagraph"/>
              <w:numPr>
                <w:ilvl w:val="0"/>
                <w:numId w:val="3"/>
              </w:numPr>
              <w:ind w:left="452" w:hanging="425"/>
            </w:pPr>
            <w:r w:rsidRPr="00A265EC">
              <w:t xml:space="preserve">Consider establishing a </w:t>
            </w:r>
            <w:r w:rsidRPr="003D3192">
              <w:t>regional committee or ‘community of practice’ for PICs</w:t>
            </w:r>
            <w:r w:rsidRPr="00A265EC">
              <w:t>, with formal channels and processes for communication, information dissemination and collaboration</w:t>
            </w:r>
          </w:p>
          <w:p w14:paraId="5F2A2B0F" w14:textId="2E5F9BD9" w:rsidR="00E025A2" w:rsidRDefault="00E025A2" w:rsidP="003D3192">
            <w:pPr>
              <w:ind w:left="27"/>
            </w:pPr>
          </w:p>
        </w:tc>
        <w:tc>
          <w:tcPr>
            <w:tcW w:w="1207" w:type="dxa"/>
            <w:shd w:val="clear" w:color="auto" w:fill="D9F2D0" w:themeFill="accent6" w:themeFillTint="33"/>
          </w:tcPr>
          <w:p w14:paraId="51E0296F" w14:textId="12BB54D0" w:rsidR="00E025A2" w:rsidRPr="00A265EC" w:rsidRDefault="00F84B69" w:rsidP="00AE3D5D">
            <w:r>
              <w:t>Agree in part</w:t>
            </w:r>
          </w:p>
        </w:tc>
        <w:tc>
          <w:tcPr>
            <w:tcW w:w="3490" w:type="dxa"/>
            <w:shd w:val="clear" w:color="auto" w:fill="A5C9EB" w:themeFill="text2" w:themeFillTint="40"/>
          </w:tcPr>
          <w:p w14:paraId="65E09554" w14:textId="4A5D8324" w:rsidR="00E025A2" w:rsidRPr="00D30374" w:rsidRDefault="007D610C" w:rsidP="00AE3D5D">
            <w:r>
              <w:t xml:space="preserve">This </w:t>
            </w:r>
            <w:r w:rsidR="00FE1EC1">
              <w:t>would enable</w:t>
            </w:r>
            <w:r>
              <w:t xml:space="preserve"> </w:t>
            </w:r>
            <w:proofErr w:type="gramStart"/>
            <w:r w:rsidR="00181174">
              <w:t>Pacific island</w:t>
            </w:r>
            <w:proofErr w:type="gramEnd"/>
            <w:r w:rsidR="00181174">
              <w:t xml:space="preserve"> country </w:t>
            </w:r>
            <w:r w:rsidR="00E025A2" w:rsidRPr="00D30374">
              <w:t>experience</w:t>
            </w:r>
            <w:r w:rsidR="00181174">
              <w:t>s</w:t>
            </w:r>
            <w:r w:rsidR="00E025A2" w:rsidRPr="00D30374">
              <w:t xml:space="preserve"> </w:t>
            </w:r>
            <w:r w:rsidR="00181174">
              <w:t>to share knowledge about the development of</w:t>
            </w:r>
            <w:r w:rsidR="00E025A2" w:rsidRPr="00D30374">
              <w:t xml:space="preserve"> national activities that are relevant and responsive to local needs, priorities and capacities can be leveraged.</w:t>
            </w:r>
          </w:p>
          <w:p w14:paraId="73CD9ADE" w14:textId="77777777" w:rsidR="00E025A2" w:rsidRDefault="00E025A2" w:rsidP="00AE3D5D"/>
        </w:tc>
        <w:tc>
          <w:tcPr>
            <w:tcW w:w="4439" w:type="dxa"/>
            <w:shd w:val="clear" w:color="auto" w:fill="A5C9EB" w:themeFill="text2" w:themeFillTint="40"/>
          </w:tcPr>
          <w:p w14:paraId="339DC248" w14:textId="65F0132C" w:rsidR="00165960" w:rsidRDefault="009973ED" w:rsidP="00A63E63">
            <w:pPr>
              <w:spacing w:after="120"/>
            </w:pPr>
            <w:r>
              <w:t>Noting the potential for</w:t>
            </w:r>
            <w:r w:rsidR="006035E3">
              <w:t xml:space="preserve"> communities of practice </w:t>
            </w:r>
            <w:r>
              <w:t>to</w:t>
            </w:r>
            <w:r w:rsidR="006035E3">
              <w:t xml:space="preserve"> be an additional impost on the limited resources and capacity of </w:t>
            </w:r>
            <w:proofErr w:type="gramStart"/>
            <w:r w:rsidR="006035E3">
              <w:t>Pacific island</w:t>
            </w:r>
            <w:proofErr w:type="gramEnd"/>
            <w:r w:rsidR="006035E3">
              <w:t xml:space="preserve"> governments</w:t>
            </w:r>
            <w:r w:rsidR="00507AE2">
              <w:t xml:space="preserve">, the </w:t>
            </w:r>
            <w:r w:rsidR="006035E3">
              <w:t xml:space="preserve">PMU will </w:t>
            </w:r>
            <w:r w:rsidR="00866E2B">
              <w:t xml:space="preserve">develop a community of practice </w:t>
            </w:r>
            <w:r w:rsidR="00267978">
              <w:t>for</w:t>
            </w:r>
            <w:r w:rsidR="00866E2B">
              <w:t xml:space="preserve"> NPOs</w:t>
            </w:r>
            <w:r w:rsidR="00507AE2">
              <w:t xml:space="preserve">. This will help </w:t>
            </w:r>
            <w:r w:rsidR="00CF3602">
              <w:t xml:space="preserve">NPOs </w:t>
            </w:r>
            <w:r w:rsidR="00507AE2">
              <w:t>t</w:t>
            </w:r>
            <w:r w:rsidR="00866E2B">
              <w:t xml:space="preserve">o </w:t>
            </w:r>
            <w:r w:rsidR="00092363">
              <w:t xml:space="preserve">share experiences about the development and implementation of national activities </w:t>
            </w:r>
            <w:r w:rsidR="006B105D">
              <w:t>in their countries</w:t>
            </w:r>
            <w:r w:rsidR="00E851DC">
              <w:t xml:space="preserve">, </w:t>
            </w:r>
            <w:r w:rsidR="00092363">
              <w:t xml:space="preserve">build capacity </w:t>
            </w:r>
            <w:r w:rsidR="00E851DC">
              <w:t xml:space="preserve">and respond to the priorities of the </w:t>
            </w:r>
            <w:r w:rsidR="00536854">
              <w:t>countries</w:t>
            </w:r>
            <w:r w:rsidR="006B105D">
              <w:t xml:space="preserve"> that </w:t>
            </w:r>
            <w:r w:rsidR="005565A4">
              <w:t xml:space="preserve">NPOs are </w:t>
            </w:r>
            <w:r w:rsidR="006B105D">
              <w:t xml:space="preserve">working </w:t>
            </w:r>
            <w:r w:rsidR="00536854">
              <w:t>in</w:t>
            </w:r>
            <w:r w:rsidR="006B105D">
              <w:t xml:space="preserve"> to deliver POLP </w:t>
            </w:r>
            <w:r w:rsidR="00A63E63">
              <w:t>activities.</w:t>
            </w:r>
          </w:p>
          <w:p w14:paraId="679FD3FF" w14:textId="751432D7" w:rsidR="00E025A2" w:rsidRDefault="00411523" w:rsidP="00A63E63">
            <w:pPr>
              <w:spacing w:after="120"/>
            </w:pPr>
            <w:r>
              <w:t xml:space="preserve">The POLP PMU is also developing a plastics webpage for SPREP’s website </w:t>
            </w:r>
            <w:r w:rsidR="00B934F8">
              <w:t>to</w:t>
            </w:r>
            <w:r>
              <w:t xml:space="preserve"> </w:t>
            </w:r>
            <w:r w:rsidR="00B934F8">
              <w:t>share</w:t>
            </w:r>
            <w:r>
              <w:t xml:space="preserve"> information </w:t>
            </w:r>
            <w:r w:rsidR="00FB3A79">
              <w:t xml:space="preserve">and seek feedback </w:t>
            </w:r>
            <w:r>
              <w:t xml:space="preserve">about </w:t>
            </w:r>
            <w:r w:rsidR="00B934F8">
              <w:t xml:space="preserve">regional </w:t>
            </w:r>
            <w:r w:rsidR="00FB3A79">
              <w:t>actions to address</w:t>
            </w:r>
            <w:r>
              <w:t xml:space="preserve"> plastic pollution</w:t>
            </w:r>
            <w:r w:rsidR="00B934F8">
              <w:t>.</w:t>
            </w:r>
          </w:p>
        </w:tc>
        <w:tc>
          <w:tcPr>
            <w:tcW w:w="1292" w:type="dxa"/>
            <w:shd w:val="clear" w:color="auto" w:fill="A5C9EB" w:themeFill="text2" w:themeFillTint="40"/>
          </w:tcPr>
          <w:p w14:paraId="3DBA7678" w14:textId="5D2C0222" w:rsidR="00E025A2" w:rsidRDefault="00B57618" w:rsidP="006E2A10">
            <w:r>
              <w:br/>
              <w:t>Ongoing</w:t>
            </w:r>
          </w:p>
        </w:tc>
      </w:tr>
      <w:tr w:rsidR="00427832" w14:paraId="56B8FB8E" w14:textId="77777777" w:rsidTr="7137A468">
        <w:tc>
          <w:tcPr>
            <w:tcW w:w="3520" w:type="dxa"/>
            <w:shd w:val="clear" w:color="auto" w:fill="F2F2F2" w:themeFill="background1" w:themeFillShade="F2"/>
          </w:tcPr>
          <w:p w14:paraId="226C99ED" w14:textId="2AD8351E" w:rsidR="00A7307C" w:rsidRPr="00A265EC" w:rsidRDefault="00E2015B" w:rsidP="007A2AC4">
            <w:pPr>
              <w:pStyle w:val="ListParagraph"/>
              <w:numPr>
                <w:ilvl w:val="0"/>
                <w:numId w:val="3"/>
              </w:numPr>
              <w:ind w:left="452" w:hanging="425"/>
            </w:pPr>
            <w:r w:rsidRPr="00A265EC">
              <w:t xml:space="preserve">Utilise specialist </w:t>
            </w:r>
            <w:r w:rsidRPr="00E2015B">
              <w:t>GEDSI expertise</w:t>
            </w:r>
            <w:r w:rsidRPr="00A265EC">
              <w:t xml:space="preserve"> to strengthen POLP’s approach to GEDSI in </w:t>
            </w:r>
            <w:r w:rsidRPr="00A265EC">
              <w:lastRenderedPageBreak/>
              <w:t xml:space="preserve">implementing </w:t>
            </w:r>
            <w:r>
              <w:t>activities, collecting disaggregated data</w:t>
            </w:r>
            <w:r w:rsidRPr="00A265EC">
              <w:t xml:space="preserve"> and measuring results</w:t>
            </w:r>
          </w:p>
        </w:tc>
        <w:tc>
          <w:tcPr>
            <w:tcW w:w="1207" w:type="dxa"/>
            <w:shd w:val="clear" w:color="auto" w:fill="C1F0C7" w:themeFill="accent3" w:themeFillTint="33"/>
          </w:tcPr>
          <w:p w14:paraId="3B59EF44" w14:textId="49468A6C" w:rsidR="00A7307C" w:rsidRPr="00A265EC" w:rsidRDefault="00981E27" w:rsidP="00AE3D5D">
            <w:r>
              <w:lastRenderedPageBreak/>
              <w:t>Agree</w:t>
            </w:r>
          </w:p>
        </w:tc>
        <w:tc>
          <w:tcPr>
            <w:tcW w:w="3490" w:type="dxa"/>
            <w:shd w:val="clear" w:color="auto" w:fill="DAE9F7" w:themeFill="text2" w:themeFillTint="1A"/>
          </w:tcPr>
          <w:p w14:paraId="043CD933" w14:textId="0E18FFB3" w:rsidR="00A7307C" w:rsidRDefault="003B11EB" w:rsidP="00AE3D5D">
            <w:r>
              <w:t>The mid-term review found that a</w:t>
            </w:r>
            <w:r w:rsidR="00981E27" w:rsidRPr="00E42B29">
              <w:t xml:space="preserve">ccess to specialist GEDSI expertise is needed to strengthen </w:t>
            </w:r>
            <w:r w:rsidR="00981E27" w:rsidRPr="00E42B29">
              <w:lastRenderedPageBreak/>
              <w:t>POLP’s approach to GEDSI programming and reporting</w:t>
            </w:r>
            <w:r>
              <w:t>.</w:t>
            </w:r>
          </w:p>
        </w:tc>
        <w:tc>
          <w:tcPr>
            <w:tcW w:w="4439" w:type="dxa"/>
            <w:shd w:val="clear" w:color="auto" w:fill="DAE9F7" w:themeFill="text2" w:themeFillTint="1A"/>
          </w:tcPr>
          <w:p w14:paraId="2D6536AC" w14:textId="6F9BE50C" w:rsidR="00A7307C" w:rsidRDefault="00E271D5" w:rsidP="007A0BFD">
            <w:pPr>
              <w:spacing w:after="120"/>
            </w:pPr>
            <w:r>
              <w:lastRenderedPageBreak/>
              <w:t xml:space="preserve">SPREP </w:t>
            </w:r>
            <w:r w:rsidR="00D37448">
              <w:t>have a new Gender Adviser and are f</w:t>
            </w:r>
            <w:r w:rsidR="007D3B8C">
              <w:t>inalising their GEDSI policy</w:t>
            </w:r>
            <w:r w:rsidR="00D37448">
              <w:t xml:space="preserve">. </w:t>
            </w:r>
            <w:r w:rsidR="00562C8C">
              <w:t xml:space="preserve">The Gender Adviser will </w:t>
            </w:r>
            <w:r w:rsidR="007A0BFD" w:rsidRPr="00E64802">
              <w:t xml:space="preserve">support a ‘people-centred’ </w:t>
            </w:r>
            <w:r w:rsidR="007A0BFD" w:rsidRPr="00E64802">
              <w:lastRenderedPageBreak/>
              <w:t xml:space="preserve">approach to country-level activity planning </w:t>
            </w:r>
            <w:r w:rsidR="001C2849">
              <w:t xml:space="preserve">for the POLP </w:t>
            </w:r>
            <w:r w:rsidR="007A0BFD" w:rsidRPr="00E64802">
              <w:t>through provision of advice and assistance to the POLP PMU and NPOs.</w:t>
            </w:r>
            <w:r w:rsidR="007A0BFD">
              <w:t xml:space="preserve"> </w:t>
            </w:r>
          </w:p>
        </w:tc>
        <w:tc>
          <w:tcPr>
            <w:tcW w:w="1292" w:type="dxa"/>
            <w:shd w:val="clear" w:color="auto" w:fill="DAE9F7" w:themeFill="text2" w:themeFillTint="1A"/>
          </w:tcPr>
          <w:p w14:paraId="1EEF205B" w14:textId="4D33148B" w:rsidR="00A7307C" w:rsidRDefault="00B57618" w:rsidP="00B57618">
            <w:r>
              <w:lastRenderedPageBreak/>
              <w:t>Ongoing</w:t>
            </w:r>
          </w:p>
        </w:tc>
      </w:tr>
      <w:tr w:rsidR="00427832" w14:paraId="66CF3729" w14:textId="77777777" w:rsidTr="7137A468">
        <w:tc>
          <w:tcPr>
            <w:tcW w:w="3520" w:type="dxa"/>
            <w:shd w:val="clear" w:color="auto" w:fill="F2F2F2" w:themeFill="background1" w:themeFillShade="F2"/>
          </w:tcPr>
          <w:p w14:paraId="67D95F20" w14:textId="77777777" w:rsidR="00DB7E34" w:rsidRDefault="00DB7E34" w:rsidP="007A2AC4">
            <w:pPr>
              <w:pStyle w:val="ListParagraph"/>
              <w:numPr>
                <w:ilvl w:val="0"/>
                <w:numId w:val="3"/>
              </w:numPr>
              <w:ind w:left="452" w:hanging="425"/>
            </w:pPr>
            <w:r w:rsidRPr="00A265EC">
              <w:t xml:space="preserve">Ensure the focus on </w:t>
            </w:r>
            <w:r w:rsidRPr="00DB7E34">
              <w:t>national–level implementation</w:t>
            </w:r>
            <w:r w:rsidRPr="00A265EC">
              <w:t xml:space="preserve"> addresses </w:t>
            </w:r>
            <w:r>
              <w:t xml:space="preserve">the key directions for </w:t>
            </w:r>
            <w:r w:rsidRPr="00A42203">
              <w:t>sustainability</w:t>
            </w:r>
            <w:r>
              <w:t xml:space="preserve"> that are identified in this report</w:t>
            </w:r>
          </w:p>
          <w:p w14:paraId="5F3D7045" w14:textId="77777777" w:rsidR="00A7307C" w:rsidRPr="00A265EC" w:rsidRDefault="00A7307C" w:rsidP="00DB7E34">
            <w:pPr>
              <w:pStyle w:val="ListParagraph"/>
              <w:ind w:left="311"/>
            </w:pPr>
          </w:p>
        </w:tc>
        <w:tc>
          <w:tcPr>
            <w:tcW w:w="1207" w:type="dxa"/>
            <w:shd w:val="clear" w:color="auto" w:fill="C1F0C7" w:themeFill="accent3" w:themeFillTint="33"/>
          </w:tcPr>
          <w:p w14:paraId="5308FFB4" w14:textId="06B2A8E6" w:rsidR="00A7307C" w:rsidRPr="00A265EC" w:rsidRDefault="006133D6" w:rsidP="00AE3D5D">
            <w:r>
              <w:t>Agree</w:t>
            </w:r>
          </w:p>
        </w:tc>
        <w:tc>
          <w:tcPr>
            <w:tcW w:w="3490" w:type="dxa"/>
            <w:shd w:val="clear" w:color="auto" w:fill="A5C9EB" w:themeFill="text2" w:themeFillTint="40"/>
          </w:tcPr>
          <w:p w14:paraId="6A2E992C" w14:textId="4B2091D0" w:rsidR="002255D6" w:rsidRPr="00AB5F49" w:rsidRDefault="00AB5F49" w:rsidP="002255D6">
            <w:r w:rsidRPr="00AB5F49">
              <w:t>T</w:t>
            </w:r>
            <w:r w:rsidR="002255D6" w:rsidRPr="00AB5F49">
              <w:t xml:space="preserve">he </w:t>
            </w:r>
            <w:r w:rsidR="00275160">
              <w:t xml:space="preserve">mid-term review </w:t>
            </w:r>
            <w:r w:rsidR="006E6E19">
              <w:t xml:space="preserve">identified the following focus areas for </w:t>
            </w:r>
            <w:r w:rsidR="002255D6" w:rsidRPr="00AB5F49">
              <w:t xml:space="preserve">national–level implementation to support </w:t>
            </w:r>
            <w:r w:rsidR="006E6E19">
              <w:t xml:space="preserve">the project’s </w:t>
            </w:r>
            <w:r w:rsidR="002255D6" w:rsidRPr="00AB5F49">
              <w:t xml:space="preserve">sustainability: </w:t>
            </w:r>
          </w:p>
          <w:p w14:paraId="18B70B19" w14:textId="77777777" w:rsidR="002255D6" w:rsidRPr="00AB5F49" w:rsidRDefault="002255D6" w:rsidP="008C3A58">
            <w:pPr>
              <w:pStyle w:val="ListBullet1"/>
              <w:numPr>
                <w:ilvl w:val="0"/>
                <w:numId w:val="5"/>
              </w:numPr>
              <w:ind w:left="396" w:hanging="284"/>
              <w:rPr>
                <w:sz w:val="22"/>
                <w:szCs w:val="22"/>
              </w:rPr>
            </w:pPr>
            <w:r w:rsidRPr="00AB5F49">
              <w:rPr>
                <w:sz w:val="22"/>
                <w:szCs w:val="22"/>
              </w:rPr>
              <w:t>supporting new or improved SUP regulations, and related compliance and enforcement mechanisms</w:t>
            </w:r>
          </w:p>
          <w:p w14:paraId="413176F4" w14:textId="77777777" w:rsidR="002255D6" w:rsidRPr="00AB5F49" w:rsidRDefault="002255D6" w:rsidP="008C3A58">
            <w:pPr>
              <w:pStyle w:val="ListBullet1"/>
              <w:numPr>
                <w:ilvl w:val="0"/>
                <w:numId w:val="5"/>
              </w:numPr>
              <w:ind w:left="396" w:hanging="284"/>
              <w:rPr>
                <w:sz w:val="22"/>
                <w:szCs w:val="22"/>
              </w:rPr>
            </w:pPr>
            <w:r w:rsidRPr="00AB5F49">
              <w:rPr>
                <w:sz w:val="22"/>
                <w:szCs w:val="22"/>
              </w:rPr>
              <w:t>supporting the development of standards and certification arrangements</w:t>
            </w:r>
          </w:p>
          <w:p w14:paraId="21AD4350" w14:textId="77777777" w:rsidR="002255D6" w:rsidRPr="00AB5F49" w:rsidRDefault="002255D6" w:rsidP="008C3A58">
            <w:pPr>
              <w:pStyle w:val="ListBullet1"/>
              <w:numPr>
                <w:ilvl w:val="0"/>
                <w:numId w:val="5"/>
              </w:numPr>
              <w:ind w:left="396" w:hanging="284"/>
              <w:rPr>
                <w:sz w:val="22"/>
                <w:szCs w:val="22"/>
              </w:rPr>
            </w:pPr>
            <w:r w:rsidRPr="00AB5F49">
              <w:rPr>
                <w:sz w:val="22"/>
                <w:szCs w:val="22"/>
              </w:rPr>
              <w:t>engaging with local communities, including rural and remote communities</w:t>
            </w:r>
          </w:p>
          <w:p w14:paraId="0EFC1148" w14:textId="77777777" w:rsidR="002255D6" w:rsidRPr="00AB5F49" w:rsidRDefault="002255D6" w:rsidP="008C3A58">
            <w:pPr>
              <w:pStyle w:val="ListBullet1"/>
              <w:numPr>
                <w:ilvl w:val="0"/>
                <w:numId w:val="5"/>
              </w:numPr>
              <w:ind w:left="396" w:hanging="284"/>
              <w:rPr>
                <w:sz w:val="22"/>
                <w:szCs w:val="22"/>
              </w:rPr>
            </w:pPr>
            <w:r w:rsidRPr="00AB5F49">
              <w:rPr>
                <w:sz w:val="22"/>
                <w:szCs w:val="22"/>
              </w:rPr>
              <w:t>supporting local producers to overcome competitive disadvantages to sustainable alternatives compared to mass–produced and cheaper imports (for example through tariffs and import restrictions)</w:t>
            </w:r>
          </w:p>
          <w:p w14:paraId="772FB9FD" w14:textId="77777777" w:rsidR="002255D6" w:rsidRPr="00AB5F49" w:rsidRDefault="002255D6" w:rsidP="008C3A58">
            <w:pPr>
              <w:pStyle w:val="ListBullet1"/>
              <w:numPr>
                <w:ilvl w:val="0"/>
                <w:numId w:val="5"/>
              </w:numPr>
              <w:ind w:left="396" w:hanging="284"/>
              <w:rPr>
                <w:sz w:val="22"/>
                <w:szCs w:val="22"/>
              </w:rPr>
            </w:pPr>
            <w:r w:rsidRPr="00AB5F49">
              <w:rPr>
                <w:sz w:val="22"/>
                <w:szCs w:val="22"/>
              </w:rPr>
              <w:t>education and awareness activities</w:t>
            </w:r>
          </w:p>
          <w:p w14:paraId="1B4677CE" w14:textId="7CFF2002" w:rsidR="00A7307C" w:rsidRPr="00AB5F49" w:rsidRDefault="002255D6" w:rsidP="002255D6">
            <w:pPr>
              <w:pStyle w:val="ListBullet1"/>
              <w:numPr>
                <w:ilvl w:val="0"/>
                <w:numId w:val="5"/>
              </w:numPr>
              <w:ind w:left="396" w:hanging="284"/>
              <w:rPr>
                <w:sz w:val="22"/>
                <w:szCs w:val="22"/>
              </w:rPr>
            </w:pPr>
            <w:r w:rsidRPr="00AB5F49">
              <w:rPr>
                <w:sz w:val="22"/>
                <w:szCs w:val="22"/>
              </w:rPr>
              <w:t xml:space="preserve">capacity building required to support sustainability, such as strengthening national governance arrangements, developing local expertise, </w:t>
            </w:r>
            <w:r w:rsidRPr="00AB5F49">
              <w:rPr>
                <w:sz w:val="22"/>
                <w:szCs w:val="22"/>
              </w:rPr>
              <w:lastRenderedPageBreak/>
              <w:t>simplifying compliance arrangements and knowledge and skills transfer to local authorities and communities.</w:t>
            </w:r>
          </w:p>
        </w:tc>
        <w:tc>
          <w:tcPr>
            <w:tcW w:w="4439" w:type="dxa"/>
            <w:shd w:val="clear" w:color="auto" w:fill="A5C9EB" w:themeFill="text2" w:themeFillTint="40"/>
          </w:tcPr>
          <w:p w14:paraId="796EE463" w14:textId="4B5D37DB" w:rsidR="00A7307C" w:rsidRDefault="005F074F" w:rsidP="00151262">
            <w:r>
              <w:lastRenderedPageBreak/>
              <w:t xml:space="preserve">Australia agrees with the </w:t>
            </w:r>
            <w:r w:rsidR="00815D00">
              <w:t xml:space="preserve">focus areas to </w:t>
            </w:r>
            <w:r w:rsidR="0038234C">
              <w:t>address</w:t>
            </w:r>
            <w:r w:rsidR="00815D00">
              <w:t xml:space="preserve"> projec</w:t>
            </w:r>
            <w:r w:rsidR="00B81AC8">
              <w:t>t s</w:t>
            </w:r>
            <w:r w:rsidR="00815D00">
              <w:t xml:space="preserve">ustainability and will continue to work with </w:t>
            </w:r>
            <w:r w:rsidR="00B81AC8">
              <w:t xml:space="preserve">the POLP PMU </w:t>
            </w:r>
            <w:r w:rsidR="007F675F">
              <w:t>to support development and implementation of activities</w:t>
            </w:r>
            <w:r w:rsidR="00743585">
              <w:t xml:space="preserve"> for SUP legislative bans, standards and certification processes to reduce SUP</w:t>
            </w:r>
            <w:r w:rsidR="00C47F66">
              <w:t xml:space="preserve">s in the Pacific tourism sector, </w:t>
            </w:r>
            <w:r w:rsidR="008832E1">
              <w:t xml:space="preserve">and </w:t>
            </w:r>
            <w:r w:rsidR="00C47F66">
              <w:t xml:space="preserve">build regional awareness and capacity to reduce </w:t>
            </w:r>
            <w:r w:rsidR="008832E1">
              <w:t xml:space="preserve">and replace SUPs with sustainable </w:t>
            </w:r>
            <w:r w:rsidR="00237724">
              <w:t>substitutes</w:t>
            </w:r>
            <w:r w:rsidR="00A10427">
              <w:t>, among other activities in cooperation with Pacific island governments and communities.</w:t>
            </w:r>
          </w:p>
        </w:tc>
        <w:tc>
          <w:tcPr>
            <w:tcW w:w="1292" w:type="dxa"/>
            <w:shd w:val="clear" w:color="auto" w:fill="A5C9EB" w:themeFill="text2" w:themeFillTint="40"/>
          </w:tcPr>
          <w:p w14:paraId="2E3C9FE7" w14:textId="3F402ABD" w:rsidR="00A7307C" w:rsidRDefault="003973C2" w:rsidP="00B57618">
            <w:r>
              <w:t>Ongoing</w:t>
            </w:r>
          </w:p>
        </w:tc>
      </w:tr>
      <w:tr w:rsidR="00427832" w14:paraId="6B69A7F9" w14:textId="77777777" w:rsidTr="7137A468">
        <w:tc>
          <w:tcPr>
            <w:tcW w:w="3520" w:type="dxa"/>
            <w:shd w:val="clear" w:color="auto" w:fill="F2F2F2" w:themeFill="background1" w:themeFillShade="F2"/>
          </w:tcPr>
          <w:p w14:paraId="1B0BB00B" w14:textId="7FCD74F9" w:rsidR="00A7307C" w:rsidRPr="00A265EC" w:rsidRDefault="006133D6" w:rsidP="006133D6">
            <w:pPr>
              <w:pStyle w:val="ListParagraph"/>
              <w:numPr>
                <w:ilvl w:val="0"/>
                <w:numId w:val="3"/>
              </w:numPr>
              <w:ind w:left="452" w:hanging="425"/>
            </w:pPr>
            <w:r w:rsidRPr="006133D6">
              <w:t>For the future delivery of POLP, consider locating POLP’s focus as an integrated component of SPREP’s WMPC program</w:t>
            </w:r>
          </w:p>
        </w:tc>
        <w:tc>
          <w:tcPr>
            <w:tcW w:w="1207" w:type="dxa"/>
            <w:shd w:val="clear" w:color="auto" w:fill="C1F0C7" w:themeFill="accent3" w:themeFillTint="33"/>
          </w:tcPr>
          <w:p w14:paraId="2A6D44E7" w14:textId="57297246" w:rsidR="00A7307C" w:rsidRPr="00A265EC" w:rsidRDefault="006133D6" w:rsidP="00AE3D5D">
            <w:r>
              <w:t>Agree</w:t>
            </w:r>
          </w:p>
        </w:tc>
        <w:tc>
          <w:tcPr>
            <w:tcW w:w="3490" w:type="dxa"/>
            <w:shd w:val="clear" w:color="auto" w:fill="DAE9F7" w:themeFill="text2" w:themeFillTint="1A"/>
          </w:tcPr>
          <w:p w14:paraId="3CF92085" w14:textId="49550F96" w:rsidR="00A7307C" w:rsidRDefault="00692FC3" w:rsidP="00C54614">
            <w:pPr>
              <w:spacing w:after="120"/>
            </w:pPr>
            <w:r w:rsidRPr="00FB2FF4">
              <w:t>The Australian Government is currently reviewing the SPREP funding support mechanism under the Partnership Arrangement and considering moving to a more programmatic approach. For the next phase of POLP, and as the project matures, it may be more advantageous to deliver POLP as part of an integrated WPMC program. In this case, POLP’s funding arrangements, the respective roles and responsibilities of DFAT, DCCEEW and SPREP, and the associated governance structure, will need to be reviewed</w:t>
            </w:r>
            <w:r w:rsidR="00681BB6">
              <w:t>, discussed</w:t>
            </w:r>
            <w:r w:rsidRPr="00FB2FF4">
              <w:t xml:space="preserve"> and revised.</w:t>
            </w:r>
          </w:p>
        </w:tc>
        <w:tc>
          <w:tcPr>
            <w:tcW w:w="4439" w:type="dxa"/>
            <w:shd w:val="clear" w:color="auto" w:fill="DAE9F7" w:themeFill="text2" w:themeFillTint="1A"/>
          </w:tcPr>
          <w:p w14:paraId="3C61568C" w14:textId="5DF5450D" w:rsidR="00A7307C" w:rsidRDefault="00C54614" w:rsidP="00985990">
            <w:pPr>
              <w:spacing w:after="120"/>
            </w:pPr>
            <w:r>
              <w:t xml:space="preserve">Australia will </w:t>
            </w:r>
            <w:r w:rsidR="00985990">
              <w:t xml:space="preserve">consider this recommendation with respect to the findings of the mid-term review </w:t>
            </w:r>
            <w:r w:rsidR="002A7CD5">
              <w:t xml:space="preserve">of the Australia-SPREP Partnership Arrangement and </w:t>
            </w:r>
            <w:r w:rsidR="001C7C90">
              <w:t>discuss</w:t>
            </w:r>
            <w:r w:rsidR="00D46CA1">
              <w:t xml:space="preserve"> with SPREP</w:t>
            </w:r>
            <w:r w:rsidR="001C7C90">
              <w:t xml:space="preserve"> </w:t>
            </w:r>
            <w:r w:rsidR="000954FA">
              <w:t xml:space="preserve">POLP </w:t>
            </w:r>
            <w:r w:rsidR="0040674D">
              <w:t>arrangements as required to meet broader policy and development objectives</w:t>
            </w:r>
            <w:r w:rsidR="002A7CD5">
              <w:t>.</w:t>
            </w:r>
          </w:p>
        </w:tc>
        <w:tc>
          <w:tcPr>
            <w:tcW w:w="1292" w:type="dxa"/>
            <w:shd w:val="clear" w:color="auto" w:fill="DAE9F7" w:themeFill="text2" w:themeFillTint="1A"/>
          </w:tcPr>
          <w:p w14:paraId="7D421697" w14:textId="7EB341D6" w:rsidR="00A7307C" w:rsidRDefault="005946BB" w:rsidP="00B57618">
            <w:r>
              <w:br/>
              <w:t>December 2025</w:t>
            </w:r>
          </w:p>
        </w:tc>
      </w:tr>
    </w:tbl>
    <w:p w14:paraId="5E4BDB92" w14:textId="77777777" w:rsidR="00535E7B" w:rsidRDefault="00535E7B" w:rsidP="00535E7B"/>
    <w:p w14:paraId="738537E6" w14:textId="77777777" w:rsidR="004B5AFA" w:rsidRPr="007A798E" w:rsidRDefault="004B5AFA">
      <w:pPr>
        <w:rPr>
          <w:color w:val="153D63" w:themeColor="text2" w:themeTint="E6"/>
          <w:lang w:val="en-US"/>
        </w:rPr>
      </w:pPr>
    </w:p>
    <w:sectPr w:rsidR="004B5AFA" w:rsidRPr="007A798E" w:rsidSect="005E7D69">
      <w:pgSz w:w="16838" w:h="11906" w:orient="landscape"/>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7ACA" w14:textId="77777777" w:rsidR="00910AC1" w:rsidRDefault="00910AC1" w:rsidP="00710B55">
      <w:pPr>
        <w:spacing w:after="0" w:line="240" w:lineRule="auto"/>
      </w:pPr>
      <w:r>
        <w:separator/>
      </w:r>
    </w:p>
  </w:endnote>
  <w:endnote w:type="continuationSeparator" w:id="0">
    <w:p w14:paraId="566EB0E1" w14:textId="77777777" w:rsidR="00910AC1" w:rsidRDefault="00910AC1" w:rsidP="00710B55">
      <w:pPr>
        <w:spacing w:after="0" w:line="240" w:lineRule="auto"/>
      </w:pPr>
      <w:r>
        <w:continuationSeparator/>
      </w:r>
    </w:p>
  </w:endnote>
  <w:endnote w:type="continuationNotice" w:id="1">
    <w:p w14:paraId="4AADCDF4" w14:textId="77777777" w:rsidR="00910AC1" w:rsidRDefault="00910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B56B" w14:textId="2007A633" w:rsidR="00710B55" w:rsidRDefault="00710B55">
    <w:pPr>
      <w:pStyle w:val="Footer"/>
    </w:pPr>
    <w:r>
      <w:rPr>
        <w:noProof/>
      </w:rPr>
      <mc:AlternateContent>
        <mc:Choice Requires="wps">
          <w:drawing>
            <wp:anchor distT="0" distB="0" distL="0" distR="0" simplePos="0" relativeHeight="251658244" behindDoc="0" locked="0" layoutInCell="1" allowOverlap="1" wp14:anchorId="607FC6EF" wp14:editId="23A22F8D">
              <wp:simplePos x="635" y="635"/>
              <wp:positionH relativeFrom="page">
                <wp:align>center</wp:align>
              </wp:positionH>
              <wp:positionV relativeFrom="page">
                <wp:align>bottom</wp:align>
              </wp:positionV>
              <wp:extent cx="551815" cy="391160"/>
              <wp:effectExtent l="0" t="0" r="635" b="0"/>
              <wp:wrapNone/>
              <wp:docPr id="2073601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B182CD" w14:textId="46F3C63E"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FC6EF"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AB182CD" w14:textId="46F3C63E"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403098"/>
      <w:docPartObj>
        <w:docPartGallery w:val="Page Numbers (Bottom of Page)"/>
        <w:docPartUnique/>
      </w:docPartObj>
    </w:sdtPr>
    <w:sdtEndPr>
      <w:rPr>
        <w:noProof/>
      </w:rPr>
    </w:sdtEndPr>
    <w:sdtContent>
      <w:p w14:paraId="71015E5C" w14:textId="6D18E6D2" w:rsidR="0022123D" w:rsidRDefault="002212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8F078" w14:textId="7FFBC7E1" w:rsidR="00710B55" w:rsidRDefault="00710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C548" w14:textId="4D198B85" w:rsidR="00710B55" w:rsidRDefault="00710B55">
    <w:pPr>
      <w:pStyle w:val="Footer"/>
    </w:pPr>
    <w:r>
      <w:rPr>
        <w:noProof/>
      </w:rPr>
      <mc:AlternateContent>
        <mc:Choice Requires="wps">
          <w:drawing>
            <wp:anchor distT="0" distB="0" distL="0" distR="0" simplePos="0" relativeHeight="251658243" behindDoc="0" locked="0" layoutInCell="1" allowOverlap="1" wp14:anchorId="680A407C" wp14:editId="01514071">
              <wp:simplePos x="635" y="635"/>
              <wp:positionH relativeFrom="page">
                <wp:align>center</wp:align>
              </wp:positionH>
              <wp:positionV relativeFrom="page">
                <wp:align>bottom</wp:align>
              </wp:positionV>
              <wp:extent cx="551815" cy="391160"/>
              <wp:effectExtent l="0" t="0" r="635" b="0"/>
              <wp:wrapNone/>
              <wp:docPr id="8282539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67FD56" w14:textId="1E6E9E84"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A407C"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4667FD56" w14:textId="1E6E9E84"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69D2" w14:textId="77777777" w:rsidR="00910AC1" w:rsidRDefault="00910AC1" w:rsidP="00710B55">
      <w:pPr>
        <w:spacing w:after="0" w:line="240" w:lineRule="auto"/>
      </w:pPr>
      <w:r>
        <w:separator/>
      </w:r>
    </w:p>
  </w:footnote>
  <w:footnote w:type="continuationSeparator" w:id="0">
    <w:p w14:paraId="42C70A0A" w14:textId="77777777" w:rsidR="00910AC1" w:rsidRDefault="00910AC1" w:rsidP="00710B55">
      <w:pPr>
        <w:spacing w:after="0" w:line="240" w:lineRule="auto"/>
      </w:pPr>
      <w:r>
        <w:continuationSeparator/>
      </w:r>
    </w:p>
  </w:footnote>
  <w:footnote w:type="continuationNotice" w:id="1">
    <w:p w14:paraId="69BDC566" w14:textId="77777777" w:rsidR="00910AC1" w:rsidRDefault="00910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EBE8" w14:textId="308F8CBD" w:rsidR="00710B55" w:rsidRDefault="00710B55">
    <w:pPr>
      <w:pStyle w:val="Header"/>
    </w:pPr>
    <w:r>
      <w:rPr>
        <w:noProof/>
      </w:rPr>
      <mc:AlternateContent>
        <mc:Choice Requires="wps">
          <w:drawing>
            <wp:anchor distT="0" distB="0" distL="0" distR="0" simplePos="0" relativeHeight="251658241" behindDoc="0" locked="0" layoutInCell="1" allowOverlap="1" wp14:anchorId="0E17098D" wp14:editId="31F9054C">
              <wp:simplePos x="635" y="635"/>
              <wp:positionH relativeFrom="page">
                <wp:align>center</wp:align>
              </wp:positionH>
              <wp:positionV relativeFrom="page">
                <wp:align>top</wp:align>
              </wp:positionV>
              <wp:extent cx="551815" cy="391160"/>
              <wp:effectExtent l="0" t="0" r="635" b="8890"/>
              <wp:wrapNone/>
              <wp:docPr id="955857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F0C8F0" w14:textId="1259865E"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17098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AF0C8F0" w14:textId="1259865E"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BF4B" w14:textId="5A363A36" w:rsidR="00710B55" w:rsidRDefault="00710B55">
    <w:pPr>
      <w:pStyle w:val="Header"/>
    </w:pPr>
    <w:r>
      <w:rPr>
        <w:noProof/>
      </w:rPr>
      <mc:AlternateContent>
        <mc:Choice Requires="wps">
          <w:drawing>
            <wp:anchor distT="0" distB="0" distL="0" distR="0" simplePos="0" relativeHeight="251658242" behindDoc="0" locked="0" layoutInCell="1" allowOverlap="1" wp14:anchorId="6D63FF68" wp14:editId="1593FE7F">
              <wp:simplePos x="914400" y="453542"/>
              <wp:positionH relativeFrom="page">
                <wp:align>center</wp:align>
              </wp:positionH>
              <wp:positionV relativeFrom="page">
                <wp:align>top</wp:align>
              </wp:positionV>
              <wp:extent cx="551815" cy="391160"/>
              <wp:effectExtent l="0" t="0" r="635" b="8890"/>
              <wp:wrapNone/>
              <wp:docPr id="4297868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2AC9F0" w14:textId="6791C64A"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3FF68"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F2AC9F0" w14:textId="6791C64A"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B4AE" w14:textId="50E0AE51" w:rsidR="00710B55" w:rsidRDefault="00710B55">
    <w:pPr>
      <w:pStyle w:val="Header"/>
    </w:pPr>
    <w:r>
      <w:rPr>
        <w:noProof/>
      </w:rPr>
      <mc:AlternateContent>
        <mc:Choice Requires="wps">
          <w:drawing>
            <wp:anchor distT="0" distB="0" distL="0" distR="0" simplePos="0" relativeHeight="251658240" behindDoc="0" locked="0" layoutInCell="1" allowOverlap="1" wp14:anchorId="568C2973" wp14:editId="276D0E83">
              <wp:simplePos x="635" y="635"/>
              <wp:positionH relativeFrom="page">
                <wp:align>center</wp:align>
              </wp:positionH>
              <wp:positionV relativeFrom="page">
                <wp:align>top</wp:align>
              </wp:positionV>
              <wp:extent cx="551815" cy="391160"/>
              <wp:effectExtent l="0" t="0" r="635" b="8890"/>
              <wp:wrapNone/>
              <wp:docPr id="20995943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F6515D" w14:textId="379C4FF3"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C2973"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4FF6515D" w14:textId="379C4FF3" w:rsidR="00710B55" w:rsidRPr="00710B55" w:rsidRDefault="00710B55" w:rsidP="00710B55">
                    <w:pPr>
                      <w:spacing w:after="0"/>
                      <w:rPr>
                        <w:rFonts w:ascii="Calibri" w:eastAsia="Calibri" w:hAnsi="Calibri" w:cs="Calibri"/>
                        <w:noProof/>
                        <w:color w:val="FF0000"/>
                        <w:sz w:val="24"/>
                        <w:szCs w:val="24"/>
                      </w:rPr>
                    </w:pPr>
                    <w:r w:rsidRPr="00710B5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915"/>
    <w:multiLevelType w:val="hybridMultilevel"/>
    <w:tmpl w:val="CE16A4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62074D"/>
    <w:multiLevelType w:val="hybridMultilevel"/>
    <w:tmpl w:val="9402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B24BBC"/>
    <w:multiLevelType w:val="hybridMultilevel"/>
    <w:tmpl w:val="65E2EC5C"/>
    <w:lvl w:ilvl="0" w:tplc="B400045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193BD6"/>
    <w:multiLevelType w:val="hybridMultilevel"/>
    <w:tmpl w:val="52DAD464"/>
    <w:lvl w:ilvl="0" w:tplc="90905206">
      <w:start w:val="1"/>
      <w:numFmt w:val="bullet"/>
      <w:pStyle w:val="ListBullet1"/>
      <w:lvlText w:val=""/>
      <w:lvlJc w:val="left"/>
      <w:pPr>
        <w:ind w:left="360" w:hanging="360"/>
      </w:pPr>
      <w:rPr>
        <w:rFonts w:ascii="Symbol" w:hAnsi="Symbol" w:hint="default"/>
        <w:color w:val="6DB33F"/>
        <w:sz w:val="20"/>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6FDC1027"/>
    <w:multiLevelType w:val="hybridMultilevel"/>
    <w:tmpl w:val="C8805F6C"/>
    <w:lvl w:ilvl="0" w:tplc="B400045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7269218">
    <w:abstractNumId w:val="2"/>
  </w:num>
  <w:num w:numId="2" w16cid:durableId="460273092">
    <w:abstractNumId w:val="4"/>
  </w:num>
  <w:num w:numId="3" w16cid:durableId="2080402562">
    <w:abstractNumId w:val="0"/>
  </w:num>
  <w:num w:numId="4" w16cid:durableId="1380276812">
    <w:abstractNumId w:val="3"/>
  </w:num>
  <w:num w:numId="5" w16cid:durableId="1149202046">
    <w:abstractNumId w:val="1"/>
  </w:num>
  <w:num w:numId="6" w16cid:durableId="170802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54"/>
    <w:rsid w:val="000131CC"/>
    <w:rsid w:val="00015FA3"/>
    <w:rsid w:val="00017A98"/>
    <w:rsid w:val="00027365"/>
    <w:rsid w:val="00030C3C"/>
    <w:rsid w:val="000316ED"/>
    <w:rsid w:val="00037A93"/>
    <w:rsid w:val="00045F61"/>
    <w:rsid w:val="00050A67"/>
    <w:rsid w:val="00065212"/>
    <w:rsid w:val="00066FE7"/>
    <w:rsid w:val="00076E09"/>
    <w:rsid w:val="00092363"/>
    <w:rsid w:val="0009393D"/>
    <w:rsid w:val="000954FA"/>
    <w:rsid w:val="00095FF0"/>
    <w:rsid w:val="000A0677"/>
    <w:rsid w:val="000B6CC2"/>
    <w:rsid w:val="000C3115"/>
    <w:rsid w:val="000C4CC7"/>
    <w:rsid w:val="000C7771"/>
    <w:rsid w:val="000E124E"/>
    <w:rsid w:val="000E4990"/>
    <w:rsid w:val="000E7528"/>
    <w:rsid w:val="000E76FF"/>
    <w:rsid w:val="00101BA0"/>
    <w:rsid w:val="00107A44"/>
    <w:rsid w:val="00114229"/>
    <w:rsid w:val="00120116"/>
    <w:rsid w:val="0012412C"/>
    <w:rsid w:val="00125AD1"/>
    <w:rsid w:val="0013230A"/>
    <w:rsid w:val="00136959"/>
    <w:rsid w:val="001467FD"/>
    <w:rsid w:val="00151262"/>
    <w:rsid w:val="00156CEB"/>
    <w:rsid w:val="00165960"/>
    <w:rsid w:val="001669B7"/>
    <w:rsid w:val="001800A1"/>
    <w:rsid w:val="00181174"/>
    <w:rsid w:val="00186E9A"/>
    <w:rsid w:val="00187E0A"/>
    <w:rsid w:val="001971E1"/>
    <w:rsid w:val="00197B4C"/>
    <w:rsid w:val="001A27CC"/>
    <w:rsid w:val="001B20B8"/>
    <w:rsid w:val="001C2849"/>
    <w:rsid w:val="001C453E"/>
    <w:rsid w:val="001C7C90"/>
    <w:rsid w:val="001D00C3"/>
    <w:rsid w:val="001D3E9F"/>
    <w:rsid w:val="001D734C"/>
    <w:rsid w:val="001E5AB2"/>
    <w:rsid w:val="001E6660"/>
    <w:rsid w:val="001F15AE"/>
    <w:rsid w:val="001F31A4"/>
    <w:rsid w:val="001F4BDA"/>
    <w:rsid w:val="001F771F"/>
    <w:rsid w:val="001F7A1C"/>
    <w:rsid w:val="00210E5E"/>
    <w:rsid w:val="0022123D"/>
    <w:rsid w:val="002255D6"/>
    <w:rsid w:val="00237724"/>
    <w:rsid w:val="00240B20"/>
    <w:rsid w:val="00244078"/>
    <w:rsid w:val="002447F5"/>
    <w:rsid w:val="0024718E"/>
    <w:rsid w:val="00250097"/>
    <w:rsid w:val="00252C89"/>
    <w:rsid w:val="00256BB6"/>
    <w:rsid w:val="00256F24"/>
    <w:rsid w:val="00257A0F"/>
    <w:rsid w:val="00257E85"/>
    <w:rsid w:val="00263156"/>
    <w:rsid w:val="00267978"/>
    <w:rsid w:val="00275160"/>
    <w:rsid w:val="0028494F"/>
    <w:rsid w:val="00284DB4"/>
    <w:rsid w:val="0029050A"/>
    <w:rsid w:val="002917D1"/>
    <w:rsid w:val="002A1A6E"/>
    <w:rsid w:val="002A7CD5"/>
    <w:rsid w:val="002C049D"/>
    <w:rsid w:val="002C4CC4"/>
    <w:rsid w:val="002C74E7"/>
    <w:rsid w:val="002E047B"/>
    <w:rsid w:val="002E2B09"/>
    <w:rsid w:val="00323C0A"/>
    <w:rsid w:val="00324C27"/>
    <w:rsid w:val="0032509B"/>
    <w:rsid w:val="00342AB3"/>
    <w:rsid w:val="003612DB"/>
    <w:rsid w:val="003754C1"/>
    <w:rsid w:val="003776BC"/>
    <w:rsid w:val="0038234C"/>
    <w:rsid w:val="00383954"/>
    <w:rsid w:val="00393F71"/>
    <w:rsid w:val="003973C2"/>
    <w:rsid w:val="003978DD"/>
    <w:rsid w:val="003A302A"/>
    <w:rsid w:val="003A6404"/>
    <w:rsid w:val="003B11EB"/>
    <w:rsid w:val="003B3EEA"/>
    <w:rsid w:val="003C1A18"/>
    <w:rsid w:val="003C47D5"/>
    <w:rsid w:val="003D3192"/>
    <w:rsid w:val="003D4F24"/>
    <w:rsid w:val="003D64B5"/>
    <w:rsid w:val="003D6FC3"/>
    <w:rsid w:val="003E33A5"/>
    <w:rsid w:val="003E5E65"/>
    <w:rsid w:val="003E61BF"/>
    <w:rsid w:val="003F396D"/>
    <w:rsid w:val="003F5714"/>
    <w:rsid w:val="0040674D"/>
    <w:rsid w:val="00411523"/>
    <w:rsid w:val="004162CD"/>
    <w:rsid w:val="00423078"/>
    <w:rsid w:val="0042477A"/>
    <w:rsid w:val="00427832"/>
    <w:rsid w:val="0043316D"/>
    <w:rsid w:val="00446603"/>
    <w:rsid w:val="00454954"/>
    <w:rsid w:val="00457E94"/>
    <w:rsid w:val="004640F3"/>
    <w:rsid w:val="004717A4"/>
    <w:rsid w:val="00481DDA"/>
    <w:rsid w:val="0049076D"/>
    <w:rsid w:val="004A054C"/>
    <w:rsid w:val="004A1A6D"/>
    <w:rsid w:val="004A2F44"/>
    <w:rsid w:val="004A5D42"/>
    <w:rsid w:val="004B5AFA"/>
    <w:rsid w:val="004B65BC"/>
    <w:rsid w:val="004D2CAD"/>
    <w:rsid w:val="004D5F44"/>
    <w:rsid w:val="004E3465"/>
    <w:rsid w:val="004F209F"/>
    <w:rsid w:val="004F2725"/>
    <w:rsid w:val="005026B3"/>
    <w:rsid w:val="00507AE2"/>
    <w:rsid w:val="00513F6A"/>
    <w:rsid w:val="0051530B"/>
    <w:rsid w:val="0052469A"/>
    <w:rsid w:val="005323BF"/>
    <w:rsid w:val="00535E7B"/>
    <w:rsid w:val="00536854"/>
    <w:rsid w:val="005565A4"/>
    <w:rsid w:val="00557700"/>
    <w:rsid w:val="00562C8C"/>
    <w:rsid w:val="0057424D"/>
    <w:rsid w:val="00575CAC"/>
    <w:rsid w:val="00580DC0"/>
    <w:rsid w:val="00581920"/>
    <w:rsid w:val="0058677D"/>
    <w:rsid w:val="005946BB"/>
    <w:rsid w:val="00595C91"/>
    <w:rsid w:val="005A26F5"/>
    <w:rsid w:val="005A4D42"/>
    <w:rsid w:val="005B2400"/>
    <w:rsid w:val="005B4B76"/>
    <w:rsid w:val="005C2184"/>
    <w:rsid w:val="005C6AFF"/>
    <w:rsid w:val="005D61B1"/>
    <w:rsid w:val="005E57BF"/>
    <w:rsid w:val="005E5BFE"/>
    <w:rsid w:val="005E6817"/>
    <w:rsid w:val="005E7D69"/>
    <w:rsid w:val="005F0746"/>
    <w:rsid w:val="005F074F"/>
    <w:rsid w:val="005F0B21"/>
    <w:rsid w:val="005F1936"/>
    <w:rsid w:val="006035E3"/>
    <w:rsid w:val="006133D6"/>
    <w:rsid w:val="00614C65"/>
    <w:rsid w:val="00614DEF"/>
    <w:rsid w:val="006264DB"/>
    <w:rsid w:val="00626DB2"/>
    <w:rsid w:val="00633DC6"/>
    <w:rsid w:val="00643EAE"/>
    <w:rsid w:val="006444E5"/>
    <w:rsid w:val="00645BC2"/>
    <w:rsid w:val="00646E9B"/>
    <w:rsid w:val="0065561F"/>
    <w:rsid w:val="0066679A"/>
    <w:rsid w:val="00672994"/>
    <w:rsid w:val="00675144"/>
    <w:rsid w:val="00681BB6"/>
    <w:rsid w:val="00686FD9"/>
    <w:rsid w:val="00692FC3"/>
    <w:rsid w:val="00697684"/>
    <w:rsid w:val="006B105D"/>
    <w:rsid w:val="006B496E"/>
    <w:rsid w:val="006C0C0A"/>
    <w:rsid w:val="006C2841"/>
    <w:rsid w:val="006D022C"/>
    <w:rsid w:val="006E2A10"/>
    <w:rsid w:val="006E4D26"/>
    <w:rsid w:val="006E6E19"/>
    <w:rsid w:val="006F31C1"/>
    <w:rsid w:val="006F6152"/>
    <w:rsid w:val="007064DD"/>
    <w:rsid w:val="00707C47"/>
    <w:rsid w:val="0071022A"/>
    <w:rsid w:val="00710B55"/>
    <w:rsid w:val="007121BD"/>
    <w:rsid w:val="00714F1B"/>
    <w:rsid w:val="007151C8"/>
    <w:rsid w:val="007167BD"/>
    <w:rsid w:val="00722212"/>
    <w:rsid w:val="0072370B"/>
    <w:rsid w:val="0073010F"/>
    <w:rsid w:val="00732D13"/>
    <w:rsid w:val="00733543"/>
    <w:rsid w:val="00733EE5"/>
    <w:rsid w:val="007350DF"/>
    <w:rsid w:val="00736F89"/>
    <w:rsid w:val="00743585"/>
    <w:rsid w:val="007618C7"/>
    <w:rsid w:val="00762A84"/>
    <w:rsid w:val="00764C96"/>
    <w:rsid w:val="00770F3F"/>
    <w:rsid w:val="00785FC9"/>
    <w:rsid w:val="0079030B"/>
    <w:rsid w:val="007932C7"/>
    <w:rsid w:val="007A0BFD"/>
    <w:rsid w:val="007A14EE"/>
    <w:rsid w:val="007A2AC4"/>
    <w:rsid w:val="007A4977"/>
    <w:rsid w:val="007A734B"/>
    <w:rsid w:val="007A798E"/>
    <w:rsid w:val="007B38B2"/>
    <w:rsid w:val="007B619F"/>
    <w:rsid w:val="007C0E27"/>
    <w:rsid w:val="007D3AA2"/>
    <w:rsid w:val="007D3B8C"/>
    <w:rsid w:val="007D610C"/>
    <w:rsid w:val="007D667B"/>
    <w:rsid w:val="007E36BD"/>
    <w:rsid w:val="007F199B"/>
    <w:rsid w:val="007F47EA"/>
    <w:rsid w:val="007F675F"/>
    <w:rsid w:val="007F71CF"/>
    <w:rsid w:val="00815D00"/>
    <w:rsid w:val="00815E10"/>
    <w:rsid w:val="00822D8F"/>
    <w:rsid w:val="00831504"/>
    <w:rsid w:val="00831982"/>
    <w:rsid w:val="0084099D"/>
    <w:rsid w:val="00846801"/>
    <w:rsid w:val="00860DC0"/>
    <w:rsid w:val="00862EA2"/>
    <w:rsid w:val="00866E2B"/>
    <w:rsid w:val="008832E1"/>
    <w:rsid w:val="008A3846"/>
    <w:rsid w:val="008B15E9"/>
    <w:rsid w:val="008C1171"/>
    <w:rsid w:val="008C385D"/>
    <w:rsid w:val="008C3A58"/>
    <w:rsid w:val="008F5F61"/>
    <w:rsid w:val="008F632A"/>
    <w:rsid w:val="008F7E7B"/>
    <w:rsid w:val="00902E1D"/>
    <w:rsid w:val="009073AB"/>
    <w:rsid w:val="00910AC1"/>
    <w:rsid w:val="0091270B"/>
    <w:rsid w:val="00914213"/>
    <w:rsid w:val="00921F7D"/>
    <w:rsid w:val="0093482D"/>
    <w:rsid w:val="00942139"/>
    <w:rsid w:val="0094364E"/>
    <w:rsid w:val="00944B04"/>
    <w:rsid w:val="00950C86"/>
    <w:rsid w:val="00955529"/>
    <w:rsid w:val="00955DB8"/>
    <w:rsid w:val="0095650E"/>
    <w:rsid w:val="00966A86"/>
    <w:rsid w:val="009761AA"/>
    <w:rsid w:val="0097654D"/>
    <w:rsid w:val="00980297"/>
    <w:rsid w:val="00981B9A"/>
    <w:rsid w:val="00981E27"/>
    <w:rsid w:val="0098208E"/>
    <w:rsid w:val="00985990"/>
    <w:rsid w:val="00993AA7"/>
    <w:rsid w:val="009973ED"/>
    <w:rsid w:val="009A1FBF"/>
    <w:rsid w:val="009A400E"/>
    <w:rsid w:val="009A6DD3"/>
    <w:rsid w:val="009B7E4A"/>
    <w:rsid w:val="009D3D9B"/>
    <w:rsid w:val="009D7093"/>
    <w:rsid w:val="009E214C"/>
    <w:rsid w:val="009E303B"/>
    <w:rsid w:val="009F7155"/>
    <w:rsid w:val="00A01508"/>
    <w:rsid w:val="00A01624"/>
    <w:rsid w:val="00A01BA0"/>
    <w:rsid w:val="00A04AF5"/>
    <w:rsid w:val="00A07E79"/>
    <w:rsid w:val="00A10427"/>
    <w:rsid w:val="00A1273D"/>
    <w:rsid w:val="00A13477"/>
    <w:rsid w:val="00A275A0"/>
    <w:rsid w:val="00A33EAC"/>
    <w:rsid w:val="00A44BA5"/>
    <w:rsid w:val="00A50E9D"/>
    <w:rsid w:val="00A56313"/>
    <w:rsid w:val="00A63E63"/>
    <w:rsid w:val="00A669BE"/>
    <w:rsid w:val="00A67D59"/>
    <w:rsid w:val="00A70424"/>
    <w:rsid w:val="00A70429"/>
    <w:rsid w:val="00A7307C"/>
    <w:rsid w:val="00A81548"/>
    <w:rsid w:val="00A823E8"/>
    <w:rsid w:val="00A84BC5"/>
    <w:rsid w:val="00A97F5C"/>
    <w:rsid w:val="00AA1E51"/>
    <w:rsid w:val="00AB34B3"/>
    <w:rsid w:val="00AB5F49"/>
    <w:rsid w:val="00AB736F"/>
    <w:rsid w:val="00AC3288"/>
    <w:rsid w:val="00AC50DE"/>
    <w:rsid w:val="00AD4FF4"/>
    <w:rsid w:val="00AE1F1C"/>
    <w:rsid w:val="00AE3D5D"/>
    <w:rsid w:val="00AE6088"/>
    <w:rsid w:val="00AF2BE0"/>
    <w:rsid w:val="00B004B4"/>
    <w:rsid w:val="00B029EC"/>
    <w:rsid w:val="00B13DDD"/>
    <w:rsid w:val="00B22215"/>
    <w:rsid w:val="00B41855"/>
    <w:rsid w:val="00B42015"/>
    <w:rsid w:val="00B4328E"/>
    <w:rsid w:val="00B436F9"/>
    <w:rsid w:val="00B43E53"/>
    <w:rsid w:val="00B4460D"/>
    <w:rsid w:val="00B534EF"/>
    <w:rsid w:val="00B563BE"/>
    <w:rsid w:val="00B57618"/>
    <w:rsid w:val="00B6027B"/>
    <w:rsid w:val="00B65737"/>
    <w:rsid w:val="00B663DA"/>
    <w:rsid w:val="00B70091"/>
    <w:rsid w:val="00B73383"/>
    <w:rsid w:val="00B81AC8"/>
    <w:rsid w:val="00B934F8"/>
    <w:rsid w:val="00BA4A4C"/>
    <w:rsid w:val="00BC6DA0"/>
    <w:rsid w:val="00BC7FE1"/>
    <w:rsid w:val="00BD2A61"/>
    <w:rsid w:val="00BD4D66"/>
    <w:rsid w:val="00BD6784"/>
    <w:rsid w:val="00BE14ED"/>
    <w:rsid w:val="00BE32E4"/>
    <w:rsid w:val="00BF61AC"/>
    <w:rsid w:val="00C1173D"/>
    <w:rsid w:val="00C13522"/>
    <w:rsid w:val="00C14C59"/>
    <w:rsid w:val="00C17FAC"/>
    <w:rsid w:val="00C20BA4"/>
    <w:rsid w:val="00C222A3"/>
    <w:rsid w:val="00C2684F"/>
    <w:rsid w:val="00C34EF0"/>
    <w:rsid w:val="00C353B7"/>
    <w:rsid w:val="00C35519"/>
    <w:rsid w:val="00C35D61"/>
    <w:rsid w:val="00C37168"/>
    <w:rsid w:val="00C44837"/>
    <w:rsid w:val="00C45A1E"/>
    <w:rsid w:val="00C47F66"/>
    <w:rsid w:val="00C54614"/>
    <w:rsid w:val="00C60D05"/>
    <w:rsid w:val="00C772A7"/>
    <w:rsid w:val="00C801BD"/>
    <w:rsid w:val="00C81FF3"/>
    <w:rsid w:val="00C9433A"/>
    <w:rsid w:val="00CA1E4B"/>
    <w:rsid w:val="00CA60F2"/>
    <w:rsid w:val="00CA6924"/>
    <w:rsid w:val="00CA789A"/>
    <w:rsid w:val="00CB13DA"/>
    <w:rsid w:val="00CC3441"/>
    <w:rsid w:val="00CF3602"/>
    <w:rsid w:val="00D02A8A"/>
    <w:rsid w:val="00D04A8E"/>
    <w:rsid w:val="00D1193D"/>
    <w:rsid w:val="00D24749"/>
    <w:rsid w:val="00D2570E"/>
    <w:rsid w:val="00D26B2D"/>
    <w:rsid w:val="00D30374"/>
    <w:rsid w:val="00D35325"/>
    <w:rsid w:val="00D354B8"/>
    <w:rsid w:val="00D37448"/>
    <w:rsid w:val="00D44F32"/>
    <w:rsid w:val="00D46CA1"/>
    <w:rsid w:val="00D47A91"/>
    <w:rsid w:val="00D5319F"/>
    <w:rsid w:val="00D5520D"/>
    <w:rsid w:val="00D60B39"/>
    <w:rsid w:val="00D65246"/>
    <w:rsid w:val="00D65690"/>
    <w:rsid w:val="00D71C79"/>
    <w:rsid w:val="00D722DD"/>
    <w:rsid w:val="00D7651D"/>
    <w:rsid w:val="00DA4453"/>
    <w:rsid w:val="00DB7E34"/>
    <w:rsid w:val="00DC25A0"/>
    <w:rsid w:val="00DD0773"/>
    <w:rsid w:val="00DF07FB"/>
    <w:rsid w:val="00E025A2"/>
    <w:rsid w:val="00E03F9E"/>
    <w:rsid w:val="00E2015B"/>
    <w:rsid w:val="00E20BFB"/>
    <w:rsid w:val="00E271D5"/>
    <w:rsid w:val="00E27FEA"/>
    <w:rsid w:val="00E42B29"/>
    <w:rsid w:val="00E5413C"/>
    <w:rsid w:val="00E705A5"/>
    <w:rsid w:val="00E71057"/>
    <w:rsid w:val="00E75F10"/>
    <w:rsid w:val="00E83536"/>
    <w:rsid w:val="00E851DC"/>
    <w:rsid w:val="00E90979"/>
    <w:rsid w:val="00EA3CB2"/>
    <w:rsid w:val="00EB56CB"/>
    <w:rsid w:val="00ED67A5"/>
    <w:rsid w:val="00EE6FF6"/>
    <w:rsid w:val="00EF137B"/>
    <w:rsid w:val="00F020F4"/>
    <w:rsid w:val="00F04671"/>
    <w:rsid w:val="00F0561A"/>
    <w:rsid w:val="00F16620"/>
    <w:rsid w:val="00F177A8"/>
    <w:rsid w:val="00F33B89"/>
    <w:rsid w:val="00F451D2"/>
    <w:rsid w:val="00F61A84"/>
    <w:rsid w:val="00F631A2"/>
    <w:rsid w:val="00F64A16"/>
    <w:rsid w:val="00F70DA9"/>
    <w:rsid w:val="00F71629"/>
    <w:rsid w:val="00F72556"/>
    <w:rsid w:val="00F72954"/>
    <w:rsid w:val="00F77269"/>
    <w:rsid w:val="00F83DC1"/>
    <w:rsid w:val="00F84B69"/>
    <w:rsid w:val="00F87625"/>
    <w:rsid w:val="00F9107B"/>
    <w:rsid w:val="00F9190F"/>
    <w:rsid w:val="00F9738B"/>
    <w:rsid w:val="00FA5853"/>
    <w:rsid w:val="00FA7373"/>
    <w:rsid w:val="00FB292B"/>
    <w:rsid w:val="00FB2FF4"/>
    <w:rsid w:val="00FB3A79"/>
    <w:rsid w:val="00FB4C90"/>
    <w:rsid w:val="00FB724D"/>
    <w:rsid w:val="00FB7A19"/>
    <w:rsid w:val="00FC3C86"/>
    <w:rsid w:val="00FD2F99"/>
    <w:rsid w:val="00FE1EC1"/>
    <w:rsid w:val="00FE2813"/>
    <w:rsid w:val="00FE4B63"/>
    <w:rsid w:val="16A48476"/>
    <w:rsid w:val="1C6F54CA"/>
    <w:rsid w:val="7137A4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C1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CC"/>
    <w:pPr>
      <w:spacing w:after="200"/>
      <w:outlineLvl w:val="0"/>
    </w:pPr>
    <w:rPr>
      <w:b/>
      <w:bCs/>
      <w:color w:val="215E99" w:themeColor="text2" w:themeTint="BF"/>
      <w:lang w:val="en-US"/>
    </w:rPr>
  </w:style>
  <w:style w:type="paragraph" w:styleId="Heading2">
    <w:name w:val="heading 2"/>
    <w:basedOn w:val="Normal"/>
    <w:next w:val="Normal"/>
    <w:link w:val="Heading2Char"/>
    <w:uiPriority w:val="9"/>
    <w:unhideWhenUsed/>
    <w:qFormat/>
    <w:rsid w:val="000131CC"/>
    <w:pPr>
      <w:spacing w:before="240"/>
      <w:outlineLvl w:val="1"/>
    </w:pPr>
    <w:rPr>
      <w:b/>
      <w:bCs/>
      <w:i/>
      <w:iCs/>
      <w:lang w:val="en-US"/>
    </w:rPr>
  </w:style>
  <w:style w:type="paragraph" w:styleId="Heading3">
    <w:name w:val="heading 3"/>
    <w:basedOn w:val="Normal"/>
    <w:next w:val="Normal"/>
    <w:link w:val="Heading3Char"/>
    <w:uiPriority w:val="9"/>
    <w:semiHidden/>
    <w:unhideWhenUsed/>
    <w:qFormat/>
    <w:rsid w:val="00383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CC"/>
    <w:rPr>
      <w:b/>
      <w:bCs/>
      <w:color w:val="215E99" w:themeColor="text2" w:themeTint="BF"/>
      <w:lang w:val="en-US"/>
    </w:rPr>
  </w:style>
  <w:style w:type="character" w:customStyle="1" w:styleId="Heading2Char">
    <w:name w:val="Heading 2 Char"/>
    <w:basedOn w:val="DefaultParagraphFont"/>
    <w:link w:val="Heading2"/>
    <w:uiPriority w:val="9"/>
    <w:rsid w:val="000131CC"/>
    <w:rPr>
      <w:b/>
      <w:bCs/>
      <w:i/>
      <w:iCs/>
      <w:lang w:val="en-US"/>
    </w:rPr>
  </w:style>
  <w:style w:type="character" w:customStyle="1" w:styleId="Heading3Char">
    <w:name w:val="Heading 3 Char"/>
    <w:basedOn w:val="DefaultParagraphFont"/>
    <w:link w:val="Heading3"/>
    <w:uiPriority w:val="9"/>
    <w:semiHidden/>
    <w:rsid w:val="00383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54"/>
    <w:rPr>
      <w:rFonts w:eastAsiaTheme="majorEastAsia" w:cstheme="majorBidi"/>
      <w:color w:val="272727" w:themeColor="text1" w:themeTint="D8"/>
    </w:rPr>
  </w:style>
  <w:style w:type="paragraph" w:styleId="Title">
    <w:name w:val="Title"/>
    <w:basedOn w:val="Normal"/>
    <w:next w:val="Normal"/>
    <w:link w:val="TitleChar"/>
    <w:uiPriority w:val="10"/>
    <w:qFormat/>
    <w:rsid w:val="00383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54"/>
    <w:pPr>
      <w:spacing w:before="160"/>
      <w:jc w:val="center"/>
    </w:pPr>
    <w:rPr>
      <w:i/>
      <w:iCs/>
      <w:color w:val="404040" w:themeColor="text1" w:themeTint="BF"/>
    </w:rPr>
  </w:style>
  <w:style w:type="character" w:customStyle="1" w:styleId="QuoteChar">
    <w:name w:val="Quote Char"/>
    <w:basedOn w:val="DefaultParagraphFont"/>
    <w:link w:val="Quote"/>
    <w:uiPriority w:val="29"/>
    <w:rsid w:val="00383954"/>
    <w:rPr>
      <w:i/>
      <w:iCs/>
      <w:color w:val="404040" w:themeColor="text1" w:themeTint="BF"/>
    </w:rPr>
  </w:style>
  <w:style w:type="paragraph" w:styleId="ListParagraph">
    <w:name w:val="List Paragraph"/>
    <w:aliases w:val="List Paragraph1,List Paragraph11,List Paragraph2,Bulit List -  Paragraph,Main numbered paragraph,Numbered List Paragraph,Bulleted Para,CV text,DDM Gen Text,Dot pt,F5 List Paragraph,FooterText,L,List Paragraph111,Medium Grid 1 - Accent 21"/>
    <w:basedOn w:val="Normal"/>
    <w:link w:val="ListParagraphChar"/>
    <w:uiPriority w:val="34"/>
    <w:qFormat/>
    <w:rsid w:val="00383954"/>
    <w:pPr>
      <w:ind w:left="720"/>
      <w:contextualSpacing/>
    </w:pPr>
  </w:style>
  <w:style w:type="character" w:styleId="IntenseEmphasis">
    <w:name w:val="Intense Emphasis"/>
    <w:basedOn w:val="DefaultParagraphFont"/>
    <w:uiPriority w:val="21"/>
    <w:qFormat/>
    <w:rsid w:val="00383954"/>
    <w:rPr>
      <w:i/>
      <w:iCs/>
      <w:color w:val="0F4761" w:themeColor="accent1" w:themeShade="BF"/>
    </w:rPr>
  </w:style>
  <w:style w:type="paragraph" w:styleId="IntenseQuote">
    <w:name w:val="Intense Quote"/>
    <w:basedOn w:val="Normal"/>
    <w:next w:val="Normal"/>
    <w:link w:val="IntenseQuoteChar"/>
    <w:uiPriority w:val="30"/>
    <w:qFormat/>
    <w:rsid w:val="0038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54"/>
    <w:rPr>
      <w:i/>
      <w:iCs/>
      <w:color w:val="0F4761" w:themeColor="accent1" w:themeShade="BF"/>
    </w:rPr>
  </w:style>
  <w:style w:type="character" w:styleId="IntenseReference">
    <w:name w:val="Intense Reference"/>
    <w:basedOn w:val="DefaultParagraphFont"/>
    <w:uiPriority w:val="32"/>
    <w:qFormat/>
    <w:rsid w:val="00383954"/>
    <w:rPr>
      <w:b/>
      <w:bCs/>
      <w:smallCaps/>
      <w:color w:val="0F4761" w:themeColor="accent1" w:themeShade="BF"/>
      <w:spacing w:val="5"/>
    </w:rPr>
  </w:style>
  <w:style w:type="paragraph" w:styleId="Header">
    <w:name w:val="header"/>
    <w:basedOn w:val="Normal"/>
    <w:link w:val="HeaderChar"/>
    <w:uiPriority w:val="99"/>
    <w:unhideWhenUsed/>
    <w:rsid w:val="00710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55"/>
  </w:style>
  <w:style w:type="paragraph" w:styleId="Footer">
    <w:name w:val="footer"/>
    <w:basedOn w:val="Normal"/>
    <w:link w:val="FooterChar"/>
    <w:uiPriority w:val="99"/>
    <w:unhideWhenUsed/>
    <w:rsid w:val="0071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B55"/>
  </w:style>
  <w:style w:type="character" w:customStyle="1" w:styleId="ListParagraphChar">
    <w:name w:val="List Paragraph Char"/>
    <w:aliases w:val="List Paragraph1 Char,List Paragraph11 Char,List Paragraph2 Char,Bulit List -  Paragraph Char,Main numbered paragraph Char,Numbered List Paragraph Char,Bulleted Para Char,CV text Char,DDM Gen Text Char,Dot pt Char,FooterText Char"/>
    <w:link w:val="ListParagraph"/>
    <w:uiPriority w:val="34"/>
    <w:qFormat/>
    <w:locked/>
    <w:rsid w:val="00535E7B"/>
  </w:style>
  <w:style w:type="table" w:styleId="TableGrid">
    <w:name w:val="Table Grid"/>
    <w:aliases w:val="ACCC Table,DPS Table Grid"/>
    <w:basedOn w:val="TableNormal"/>
    <w:uiPriority w:val="39"/>
    <w:rsid w:val="00535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ListParagraph"/>
    <w:qFormat/>
    <w:rsid w:val="002255D6"/>
    <w:pPr>
      <w:numPr>
        <w:numId w:val="4"/>
      </w:numPr>
      <w:suppressAutoHyphens/>
      <w:spacing w:line="240" w:lineRule="auto"/>
      <w:contextualSpacing w:val="0"/>
    </w:pPr>
    <w:rPr>
      <w:sz w:val="24"/>
      <w:szCs w:val="24"/>
      <w:lang w:eastAsia="en-GB"/>
    </w:rPr>
  </w:style>
  <w:style w:type="character" w:styleId="CommentReference">
    <w:name w:val="annotation reference"/>
    <w:basedOn w:val="DefaultParagraphFont"/>
    <w:uiPriority w:val="99"/>
    <w:semiHidden/>
    <w:unhideWhenUsed/>
    <w:rsid w:val="007618C7"/>
    <w:rPr>
      <w:sz w:val="16"/>
      <w:szCs w:val="16"/>
    </w:rPr>
  </w:style>
  <w:style w:type="paragraph" w:styleId="CommentText">
    <w:name w:val="annotation text"/>
    <w:basedOn w:val="Normal"/>
    <w:link w:val="CommentTextChar"/>
    <w:uiPriority w:val="99"/>
    <w:unhideWhenUsed/>
    <w:rsid w:val="007618C7"/>
    <w:pPr>
      <w:spacing w:line="240" w:lineRule="auto"/>
    </w:pPr>
    <w:rPr>
      <w:sz w:val="20"/>
      <w:szCs w:val="20"/>
    </w:rPr>
  </w:style>
  <w:style w:type="character" w:customStyle="1" w:styleId="CommentTextChar">
    <w:name w:val="Comment Text Char"/>
    <w:basedOn w:val="DefaultParagraphFont"/>
    <w:link w:val="CommentText"/>
    <w:uiPriority w:val="99"/>
    <w:rsid w:val="007618C7"/>
    <w:rPr>
      <w:sz w:val="20"/>
      <w:szCs w:val="20"/>
    </w:rPr>
  </w:style>
  <w:style w:type="paragraph" w:styleId="CommentSubject">
    <w:name w:val="annotation subject"/>
    <w:basedOn w:val="CommentText"/>
    <w:next w:val="CommentText"/>
    <w:link w:val="CommentSubjectChar"/>
    <w:uiPriority w:val="99"/>
    <w:semiHidden/>
    <w:unhideWhenUsed/>
    <w:rsid w:val="007618C7"/>
    <w:rPr>
      <w:b/>
      <w:bCs/>
    </w:rPr>
  </w:style>
  <w:style w:type="character" w:customStyle="1" w:styleId="CommentSubjectChar">
    <w:name w:val="Comment Subject Char"/>
    <w:basedOn w:val="CommentTextChar"/>
    <w:link w:val="CommentSubject"/>
    <w:uiPriority w:val="99"/>
    <w:semiHidden/>
    <w:rsid w:val="007618C7"/>
    <w:rPr>
      <w:b/>
      <w:bCs/>
      <w:sz w:val="20"/>
      <w:szCs w:val="20"/>
    </w:rPr>
  </w:style>
  <w:style w:type="character" w:styleId="Mention">
    <w:name w:val="Mention"/>
    <w:basedOn w:val="DefaultParagraphFont"/>
    <w:uiPriority w:val="99"/>
    <w:unhideWhenUsed/>
    <w:rsid w:val="007618C7"/>
    <w:rPr>
      <w:color w:val="2B579A"/>
      <w:shd w:val="clear" w:color="auto" w:fill="E1DFDD"/>
    </w:rPr>
  </w:style>
  <w:style w:type="paragraph" w:styleId="Revision">
    <w:name w:val="Revision"/>
    <w:hidden/>
    <w:uiPriority w:val="99"/>
    <w:semiHidden/>
    <w:rsid w:val="00E70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6ba7ff-9897-4e65-9803-3be34fd9cf5a}" enabled="1" method="Privileged" siteId="{8c3c81bc-2b3c-44af-b3f7-6f620b3910ee}" removed="0"/>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11850</Characters>
  <Application>Microsoft Office Word</Application>
  <DocSecurity>0</DocSecurity>
  <Lines>477</Lines>
  <Paragraphs>100</Paragraphs>
  <ScaleCrop>false</ScaleCrop>
  <HeadingPairs>
    <vt:vector size="2" baseType="variant">
      <vt:variant>
        <vt:lpstr>Title</vt:lpstr>
      </vt:variant>
      <vt:variant>
        <vt:i4>1</vt:i4>
      </vt:variant>
    </vt:vector>
  </HeadingPairs>
  <TitlesOfParts>
    <vt:vector size="1" baseType="lpstr">
      <vt:lpstr>2024 Independent Mid-term Review and Evaluation of the Pacific Ocean Litter Project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Independent Mid-term Review and Evaluation of the Pacific Ocean Litter Project - Management Response</dc:title>
  <dc:subject/>
  <dc:creator/>
  <cp:keywords>[SEC=OFFICIAL]</cp:keywords>
  <dc:description/>
  <cp:lastModifiedBy/>
  <cp:revision>1</cp:revision>
  <dcterms:created xsi:type="dcterms:W3CDTF">2025-12-17T00:29:00Z</dcterms:created>
  <dcterms:modified xsi:type="dcterms:W3CDTF">2025-12-17T00:29:00Z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2025-02-21T03:43:01Z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3A46BCA6873E43D89F895EA3FFAD780E</vt:lpwstr>
  </property>
  <property fmtid="{D5CDD505-2E9C-101B-9397-08002B2CF9AE}" pid="10" name="PM_ProtectiveMarkingImage_Header">
    <vt:lpwstr>C:\Program Files (x86)\Common Files\janusNET Shared\janusSEAL\Images\DocumentSlashBlue.png</vt:lpwstr>
  </property>
  <property fmtid="{D5CDD505-2E9C-101B-9397-08002B2CF9AE}" pid="11" name="PM_ProtectiveMarkingImage_Footer">
    <vt:lpwstr>C:\Program Files (x86)\Common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02853208043778A99A28865051D4E9CA</vt:lpwstr>
  </property>
  <property fmtid="{D5CDD505-2E9C-101B-9397-08002B2CF9AE}" pid="18" name="PM_Hash_Salt">
    <vt:lpwstr>F1F2D476ACEE064566FDCACEDD4CDAA8</vt:lpwstr>
  </property>
  <property fmtid="{D5CDD505-2E9C-101B-9397-08002B2CF9AE}" pid="19" name="PM_Hash_SHA1">
    <vt:lpwstr>A1C8AD1EA2FF4D648D1048E096302FEAFE6A6CE0</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v=2022.1;a=SHA256;h=16B0F3758CB0627245B6DB6859410B397D3E7522086ECE699D33373E5C257BC4</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