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4.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D19DF" w14:textId="77777777" w:rsidR="00914B6A" w:rsidRDefault="00914B6A">
      <w:bookmarkStart w:id="0" w:name="_GoBack"/>
      <w:bookmarkEnd w:id="0"/>
    </w:p>
    <w:p w14:paraId="7B8648FD" w14:textId="77777777" w:rsidR="00914B6A" w:rsidRPr="00914B6A" w:rsidRDefault="00914B6A" w:rsidP="00914B6A"/>
    <w:p w14:paraId="69AB0EF7" w14:textId="77777777" w:rsidR="00914B6A" w:rsidRPr="00914B6A" w:rsidRDefault="00914B6A" w:rsidP="00914B6A"/>
    <w:p w14:paraId="6269F9B6" w14:textId="77777777" w:rsidR="00914B6A" w:rsidRPr="00914B6A" w:rsidRDefault="00914B6A" w:rsidP="00914B6A"/>
    <w:p w14:paraId="169DAF1C" w14:textId="1582093F" w:rsidR="00914B6A" w:rsidRPr="00914B6A" w:rsidRDefault="00305E41" w:rsidP="00914B6A">
      <w:r w:rsidRPr="007E07AC">
        <w:rPr>
          <w:b/>
          <w:noProof/>
          <w:color w:val="CF5D27"/>
          <w:sz w:val="100"/>
          <w:szCs w:val="100"/>
          <w:lang w:eastAsia="en-AU"/>
        </w:rPr>
        <mc:AlternateContent>
          <mc:Choice Requires="wps">
            <w:drawing>
              <wp:anchor distT="0" distB="0" distL="114300" distR="114300" simplePos="0" relativeHeight="251661312" behindDoc="0" locked="0" layoutInCell="1" allowOverlap="0" wp14:anchorId="5F309DBB" wp14:editId="671FEACB">
                <wp:simplePos x="0" y="0"/>
                <wp:positionH relativeFrom="column">
                  <wp:posOffset>-286385</wp:posOffset>
                </wp:positionH>
                <wp:positionV relativeFrom="paragraph">
                  <wp:posOffset>534670</wp:posOffset>
                </wp:positionV>
                <wp:extent cx="6469380" cy="139700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380" cy="1397000"/>
                        </a:xfrm>
                        <a:prstGeom prst="rect">
                          <a:avLst/>
                        </a:prstGeom>
                        <a:noFill/>
                        <a:ln w="9525">
                          <a:noFill/>
                          <a:miter lim="800000"/>
                          <a:headEnd/>
                          <a:tailEnd/>
                        </a:ln>
                      </wps:spPr>
                      <wps:txbx>
                        <w:txbxContent>
                          <w:p w14:paraId="7134CE72" w14:textId="77777777" w:rsidR="002E0AD1" w:rsidRDefault="002E0AD1" w:rsidP="00767BE5">
                            <w:pPr>
                              <w:tabs>
                                <w:tab w:val="left" w:pos="6063"/>
                              </w:tabs>
                              <w:rPr>
                                <w:b/>
                                <w:color w:val="CF5D27"/>
                                <w:sz w:val="56"/>
                                <w:szCs w:val="56"/>
                              </w:rPr>
                            </w:pPr>
                            <w:r>
                              <w:rPr>
                                <w:b/>
                                <w:color w:val="CF5D27"/>
                                <w:sz w:val="56"/>
                                <w:szCs w:val="56"/>
                              </w:rPr>
                              <w:t xml:space="preserve">Independent Evaluation of the </w:t>
                            </w:r>
                          </w:p>
                          <w:p w14:paraId="11E0D01F" w14:textId="77777777" w:rsidR="002E0AD1" w:rsidRPr="00E27244" w:rsidRDefault="002E0AD1" w:rsidP="00767BE5">
                            <w:pPr>
                              <w:tabs>
                                <w:tab w:val="left" w:pos="6063"/>
                              </w:tabs>
                              <w:rPr>
                                <w:b/>
                                <w:color w:val="CF5D27"/>
                                <w:sz w:val="56"/>
                                <w:szCs w:val="56"/>
                              </w:rPr>
                            </w:pPr>
                            <w:r>
                              <w:rPr>
                                <w:b/>
                                <w:color w:val="CF5D27"/>
                                <w:sz w:val="56"/>
                                <w:szCs w:val="56"/>
                              </w:rPr>
                              <w:t>Pacific Leadership Program (PLP) Phase 3</w:t>
                            </w:r>
                          </w:p>
                          <w:p w14:paraId="789CED88" w14:textId="77777777" w:rsidR="002E0AD1" w:rsidRPr="00E27244" w:rsidRDefault="002E0AD1" w:rsidP="004B5EA6">
                            <w:pPr>
                              <w:tabs>
                                <w:tab w:val="left" w:pos="6063"/>
                              </w:tabs>
                              <w:rPr>
                                <w:b/>
                                <w:color w:val="CF5D27"/>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309DBB" id="_x0000_t202" coordsize="21600,21600" o:spt="202" path="m,l,21600r21600,l21600,xe">
                <v:stroke joinstyle="miter"/>
                <v:path gradientshapeok="t" o:connecttype="rect"/>
              </v:shapetype>
              <v:shape id="Text Box 2" o:spid="_x0000_s1026" type="#_x0000_t202" style="position:absolute;left:0;text-align:left;margin-left:-22.55pt;margin-top:42.1pt;width:509.4pt;height:1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" o:allowoverlap="f" filled="f" stroked="f">
                <v:textbox>
                  <w:txbxContent>
                    <w:p w14:paraId="7134CE72" w14:textId="77777777" w:rsidR="002E0AD1" w:rsidRDefault="002E0AD1" w:rsidP="00767BE5">
                      <w:pPr>
                        <w:tabs>
                          <w:tab w:val="left" w:pos="6063"/>
                        </w:tabs>
                        <w:rPr>
                          <w:b/>
                          <w:color w:val="CF5D27"/>
                          <w:sz w:val="56"/>
                          <w:szCs w:val="56"/>
                        </w:rPr>
                      </w:pPr>
                      <w:r>
                        <w:rPr>
                          <w:b/>
                          <w:color w:val="CF5D27"/>
                          <w:sz w:val="56"/>
                          <w:szCs w:val="56"/>
                        </w:rPr>
                        <w:t xml:space="preserve">Independent Evaluation of the </w:t>
                      </w:r>
                    </w:p>
                    <w:p w14:paraId="11E0D01F" w14:textId="77777777" w:rsidR="002E0AD1" w:rsidRPr="00E27244" w:rsidRDefault="002E0AD1" w:rsidP="00767BE5">
                      <w:pPr>
                        <w:tabs>
                          <w:tab w:val="left" w:pos="6063"/>
                        </w:tabs>
                        <w:rPr>
                          <w:b/>
                          <w:color w:val="CF5D27"/>
                          <w:sz w:val="56"/>
                          <w:szCs w:val="56"/>
                        </w:rPr>
                      </w:pPr>
                      <w:r>
                        <w:rPr>
                          <w:b/>
                          <w:color w:val="CF5D27"/>
                          <w:sz w:val="56"/>
                          <w:szCs w:val="56"/>
                        </w:rPr>
                        <w:t>Pacific Leadership Program (PLP) Phase 3</w:t>
                      </w:r>
                    </w:p>
                    <w:p w14:paraId="789CED88" w14:textId="77777777" w:rsidR="002E0AD1" w:rsidRPr="00E27244" w:rsidRDefault="002E0AD1" w:rsidP="004B5EA6">
                      <w:pPr>
                        <w:tabs>
                          <w:tab w:val="left" w:pos="6063"/>
                        </w:tabs>
                        <w:rPr>
                          <w:b/>
                          <w:color w:val="CF5D27"/>
                          <w:sz w:val="56"/>
                          <w:szCs w:val="56"/>
                        </w:rPr>
                      </w:pPr>
                    </w:p>
                  </w:txbxContent>
                </v:textbox>
                <w10:wrap type="topAndBottom"/>
              </v:shape>
            </w:pict>
          </mc:Fallback>
        </mc:AlternateContent>
      </w:r>
    </w:p>
    <w:p w14:paraId="3A537F8B" w14:textId="77777777" w:rsidR="00914B6A" w:rsidRPr="00914B6A" w:rsidRDefault="00914B6A" w:rsidP="00914B6A"/>
    <w:p w14:paraId="3050BE14" w14:textId="34E6CE38" w:rsidR="00472119" w:rsidRDefault="00305E41" w:rsidP="00713151">
      <w:pPr>
        <w:jc w:val="right"/>
      </w:pPr>
      <w:r w:rsidRPr="00CD2283">
        <w:rPr>
          <w:b/>
          <w:noProof/>
          <w:color w:val="9E4B1F"/>
          <w:sz w:val="100"/>
          <w:szCs w:val="100"/>
          <w:lang w:eastAsia="en-AU"/>
        </w:rPr>
        <mc:AlternateContent>
          <mc:Choice Requires="wps">
            <w:drawing>
              <wp:anchor distT="0" distB="0" distL="114300" distR="114300" simplePos="0" relativeHeight="251663360" behindDoc="0" locked="0" layoutInCell="1" allowOverlap="0" wp14:anchorId="4E7F621C" wp14:editId="57C5B4BD">
                <wp:simplePos x="0" y="0"/>
                <wp:positionH relativeFrom="column">
                  <wp:posOffset>-295275</wp:posOffset>
                </wp:positionH>
                <wp:positionV relativeFrom="paragraph">
                  <wp:posOffset>457835</wp:posOffset>
                </wp:positionV>
                <wp:extent cx="4537075" cy="1184275"/>
                <wp:effectExtent l="0" t="0" r="0" b="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7075" cy="1184275"/>
                        </a:xfrm>
                        <a:prstGeom prst="rect">
                          <a:avLst/>
                        </a:prstGeom>
                        <a:noFill/>
                        <a:ln w="9525">
                          <a:noFill/>
                          <a:miter lim="800000"/>
                          <a:headEnd/>
                          <a:tailEnd/>
                        </a:ln>
                      </wps:spPr>
                      <wps:txbx>
                        <w:txbxContent>
                          <w:p w14:paraId="48784B6C" w14:textId="77777777" w:rsidR="002E0AD1" w:rsidRDefault="002E0AD1" w:rsidP="007E07AC">
                            <w:pPr>
                              <w:spacing w:before="500"/>
                              <w:rPr>
                                <w:b/>
                                <w:sz w:val="40"/>
                                <w:szCs w:val="40"/>
                              </w:rPr>
                            </w:pPr>
                            <w:r>
                              <w:rPr>
                                <w:b/>
                                <w:sz w:val="40"/>
                                <w:szCs w:val="40"/>
                              </w:rPr>
                              <w:t>Final Report – 26 June 2017</w:t>
                            </w:r>
                          </w:p>
                          <w:p w14:paraId="49F23C02" w14:textId="77777777" w:rsidR="002E0AD1" w:rsidRDefault="002E0AD1" w:rsidP="007E07AC">
                            <w:pPr>
                              <w:spacing w:before="50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7F621C" id="_x0000_s1027" type="#_x0000_t202" style="position:absolute;left:0;text-align:left;margin-left:-23.25pt;margin-top:36.05pt;width:357.25pt;height:9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" o:allowoverlap="f" filled="f" stroked="f">
                <v:textbox>
                  <w:txbxContent>
                    <w:p w14:paraId="48784B6C" w14:textId="77777777" w:rsidR="002E0AD1" w:rsidRDefault="002E0AD1" w:rsidP="007E07AC">
                      <w:pPr>
                        <w:spacing w:before="500"/>
                        <w:rPr>
                          <w:b/>
                          <w:sz w:val="40"/>
                          <w:szCs w:val="40"/>
                        </w:rPr>
                      </w:pPr>
                      <w:r>
                        <w:rPr>
                          <w:b/>
                          <w:sz w:val="40"/>
                          <w:szCs w:val="40"/>
                        </w:rPr>
                        <w:t>Final Report – 26 June 2017</w:t>
                      </w:r>
                    </w:p>
                    <w:p w14:paraId="49F23C02" w14:textId="77777777" w:rsidR="002E0AD1" w:rsidRDefault="002E0AD1" w:rsidP="007E07AC">
                      <w:pPr>
                        <w:spacing w:before="500"/>
                      </w:pPr>
                    </w:p>
                  </w:txbxContent>
                </v:textbox>
                <w10:wrap type="topAndBottom"/>
              </v:shape>
            </w:pict>
          </mc:Fallback>
        </mc:AlternateContent>
      </w:r>
    </w:p>
    <w:p w14:paraId="2498E327" w14:textId="77777777" w:rsidR="00767BE5" w:rsidRDefault="00767BE5" w:rsidP="00472119"/>
    <w:p w14:paraId="184F1980" w14:textId="77777777" w:rsidR="00767BE5" w:rsidRDefault="00767BE5" w:rsidP="00472119"/>
    <w:p w14:paraId="2D91FE2C" w14:textId="77777777" w:rsidR="00767BE5" w:rsidRDefault="00767BE5" w:rsidP="00472119"/>
    <w:p w14:paraId="54D09A13" w14:textId="77777777" w:rsidR="00305E41" w:rsidRDefault="00305E41" w:rsidP="00472119"/>
    <w:p w14:paraId="61B3BEAA" w14:textId="77777777" w:rsidR="00305E41" w:rsidRDefault="00305E41" w:rsidP="00472119"/>
    <w:p w14:paraId="47A671F3" w14:textId="77777777" w:rsidR="00305E41" w:rsidRDefault="00305E41" w:rsidP="00472119"/>
    <w:p w14:paraId="576E4A39" w14:textId="77777777" w:rsidR="00305E41" w:rsidRDefault="00305E41" w:rsidP="00472119"/>
    <w:p w14:paraId="3D224978" w14:textId="77777777" w:rsidR="00305E41" w:rsidRDefault="00305E41" w:rsidP="00472119"/>
    <w:p w14:paraId="6769557C" w14:textId="77777777" w:rsidR="00D20AAF" w:rsidRDefault="00D20AAF" w:rsidP="00472119"/>
    <w:p w14:paraId="4F016E88" w14:textId="77777777" w:rsidR="00D20AAF" w:rsidRDefault="00D20AAF" w:rsidP="00472119"/>
    <w:p w14:paraId="04FA343F" w14:textId="77777777" w:rsidR="00D20AAF" w:rsidRDefault="00D20AAF" w:rsidP="00472119"/>
    <w:p w14:paraId="0DB30A64" w14:textId="77777777" w:rsidR="00D20AAF" w:rsidRDefault="00D20AAF" w:rsidP="00472119"/>
    <w:p w14:paraId="28A245F8" w14:textId="77777777" w:rsidR="00D20AAF" w:rsidRDefault="00D20AAF" w:rsidP="00472119"/>
    <w:p w14:paraId="7462F1F0" w14:textId="77777777" w:rsidR="00D20AAF" w:rsidRDefault="00D20AAF" w:rsidP="00472119"/>
    <w:p w14:paraId="12E882E5" w14:textId="77777777" w:rsidR="00D20AAF" w:rsidRDefault="00D20AAF" w:rsidP="00472119"/>
    <w:p w14:paraId="7CF244A8" w14:textId="77777777" w:rsidR="00305E41" w:rsidRDefault="00305E41" w:rsidP="00472119"/>
    <w:p w14:paraId="7540ED72" w14:textId="77777777" w:rsidR="00767BE5" w:rsidRDefault="00767BE5" w:rsidP="00767BE5">
      <w:pPr>
        <w:pStyle w:val="SDAbodytext"/>
      </w:pPr>
      <w:r>
        <w:t>----------------------------------------------------</w:t>
      </w:r>
    </w:p>
    <w:p w14:paraId="56E2178A" w14:textId="77777777" w:rsidR="00767BE5" w:rsidRDefault="000B0D92" w:rsidP="000B0D92">
      <w:pPr>
        <w:spacing w:before="120"/>
      </w:pPr>
      <w:r w:rsidRPr="00560AF2">
        <w:rPr>
          <w:rFonts w:eastAsia="Times New Roman" w:cs="Times New Roman"/>
          <w:b/>
          <w:sz w:val="20"/>
          <w:szCs w:val="20"/>
          <w:lang w:eastAsia="en-AU"/>
        </w:rPr>
        <w:t>Disclaimer</w:t>
      </w:r>
      <w:r w:rsidRPr="00560AF2">
        <w:rPr>
          <w:rFonts w:eastAsia="Times New Roman" w:cs="Times New Roman"/>
          <w:sz w:val="20"/>
          <w:szCs w:val="20"/>
          <w:lang w:eastAsia="en-AU"/>
        </w:rPr>
        <w:t xml:space="preserve">: The views contained in this report </w:t>
      </w:r>
      <w:r>
        <w:rPr>
          <w:rFonts w:eastAsia="Times New Roman" w:cs="Times New Roman"/>
          <w:sz w:val="20"/>
          <w:szCs w:val="20"/>
          <w:lang w:eastAsia="en-AU"/>
        </w:rPr>
        <w:t>are those of the evaluation</w:t>
      </w:r>
      <w:r w:rsidRPr="00560AF2">
        <w:rPr>
          <w:rFonts w:eastAsia="Times New Roman" w:cs="Times New Roman"/>
          <w:sz w:val="20"/>
          <w:szCs w:val="20"/>
          <w:lang w:eastAsia="en-AU"/>
        </w:rPr>
        <w:t xml:space="preserve"> team. These views do not necessarily represent those of the Australian Government, </w:t>
      </w:r>
      <w:r>
        <w:rPr>
          <w:rFonts w:eastAsia="Times New Roman" w:cs="Times New Roman"/>
          <w:sz w:val="20"/>
          <w:szCs w:val="20"/>
          <w:lang w:eastAsia="en-AU"/>
        </w:rPr>
        <w:t>and/or other stakeholders</w:t>
      </w:r>
      <w:r w:rsidR="000E0B3E">
        <w:rPr>
          <w:rFonts w:eastAsia="Times New Roman" w:cs="Times New Roman"/>
          <w:sz w:val="20"/>
          <w:szCs w:val="20"/>
          <w:lang w:eastAsia="en-AU"/>
        </w:rPr>
        <w:t>.</w:t>
      </w:r>
    </w:p>
    <w:p w14:paraId="3AADDCFA" w14:textId="77777777" w:rsidR="000E077C" w:rsidRPr="00472119" w:rsidRDefault="000E077C" w:rsidP="00767BE5">
      <w:pPr>
        <w:sectPr w:rsidR="000E077C" w:rsidRPr="00472119" w:rsidSect="004B7EE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p w14:paraId="3B03467A" w14:textId="77777777" w:rsidR="0042547F" w:rsidRDefault="0042547F" w:rsidP="00D20AAF">
      <w:pPr>
        <w:pStyle w:val="SDAHeading1"/>
        <w:spacing w:before="240"/>
      </w:pPr>
      <w:bookmarkStart w:id="1" w:name="_Toc486247193"/>
      <w:r>
        <w:lastRenderedPageBreak/>
        <w:t>Acknowledgements and Acronyms</w:t>
      </w:r>
      <w:bookmarkEnd w:id="1"/>
    </w:p>
    <w:p w14:paraId="07B38021" w14:textId="77777777" w:rsidR="0042547F" w:rsidRDefault="0042547F" w:rsidP="0042547F">
      <w:pPr>
        <w:pStyle w:val="SDAbodytext"/>
      </w:pPr>
      <w:r w:rsidRPr="002C0CB9">
        <w:t xml:space="preserve">This </w:t>
      </w:r>
      <w:r>
        <w:t>evaluation</w:t>
      </w:r>
      <w:r w:rsidRPr="002C0CB9">
        <w:t xml:space="preserve"> w</w:t>
      </w:r>
      <w:r>
        <w:t>as commissioned by the Suva</w:t>
      </w:r>
      <w:r w:rsidRPr="002C0CB9">
        <w:t xml:space="preserve"> Post of the Australian Government</w:t>
      </w:r>
      <w:r>
        <w:t>’s</w:t>
      </w:r>
      <w:r w:rsidRPr="002C0CB9">
        <w:t xml:space="preserve"> Department of Foreign Affairs and Trade (DFAT). Th</w:t>
      </w:r>
      <w:r>
        <w:t>e</w:t>
      </w:r>
      <w:r w:rsidRPr="002C0CB9">
        <w:t xml:space="preserve"> </w:t>
      </w:r>
      <w:r>
        <w:t>evaluation</w:t>
      </w:r>
      <w:r w:rsidRPr="002C0CB9">
        <w:t xml:space="preserve"> was conducted</w:t>
      </w:r>
      <w:r>
        <w:t>, and this report was prepared,</w:t>
      </w:r>
      <w:r w:rsidRPr="002C0CB9">
        <w:t xml:space="preserve"> by </w:t>
      </w:r>
      <w:r>
        <w:t xml:space="preserve">an independent evaluation team from </w:t>
      </w:r>
      <w:r w:rsidRPr="00E7511A">
        <w:rPr>
          <w:i/>
        </w:rPr>
        <w:t>Strategic Development Associates</w:t>
      </w:r>
      <w:r>
        <w:t>: Zoë Mander-Jones, Brenda Heather-Latu and Michael Collins.</w:t>
      </w:r>
    </w:p>
    <w:p w14:paraId="0C47223F" w14:textId="77777777" w:rsidR="0042547F" w:rsidRDefault="0042547F" w:rsidP="0042547F">
      <w:pPr>
        <w:pStyle w:val="SDAbodytext"/>
      </w:pPr>
      <w:r w:rsidRPr="002C0CB9">
        <w:t xml:space="preserve">The </w:t>
      </w:r>
      <w:r>
        <w:t xml:space="preserve">evaluation </w:t>
      </w:r>
      <w:r w:rsidRPr="002C0CB9">
        <w:t xml:space="preserve">team </w:t>
      </w:r>
      <w:r>
        <w:t>would like to sincerely thank the many people who gave their time and shared their expertise with us during the evaluation</w:t>
      </w:r>
      <w:r w:rsidR="008E3130">
        <w:t>,</w:t>
      </w:r>
      <w:r w:rsidR="00C30D9C">
        <w:t xml:space="preserve"> including</w:t>
      </w:r>
      <w:r>
        <w:t xml:space="preserve"> the many Pacific stakeholders in Fiji, Tonga, Vanuatu, </w:t>
      </w:r>
      <w:r w:rsidR="00C32C09">
        <w:t xml:space="preserve">Samoa </w:t>
      </w:r>
      <w:r>
        <w:t xml:space="preserve">and the Solomon Islands. We would also like to thank the staff of the Pacific Leadership Program and DFAT for their efforts in organising the logistics and facilitating our access to information and to people. </w:t>
      </w:r>
    </w:p>
    <w:p w14:paraId="1FF97D77" w14:textId="77777777" w:rsidR="0042547F" w:rsidRPr="007D1603" w:rsidRDefault="0042547F" w:rsidP="00D20AAF">
      <w:pPr>
        <w:spacing w:before="240"/>
        <w:rPr>
          <w:b/>
          <w:sz w:val="40"/>
          <w:szCs w:val="40"/>
        </w:rPr>
      </w:pPr>
      <w:r w:rsidRPr="007D1603">
        <w:rPr>
          <w:b/>
          <w:sz w:val="40"/>
          <w:szCs w:val="40"/>
        </w:rPr>
        <w:t>Acronyms</w:t>
      </w:r>
    </w:p>
    <w:tbl>
      <w:tblPr>
        <w:tblStyle w:val="TableGrid"/>
        <w:tblW w:w="0" w:type="auto"/>
        <w:tblLook w:val="04A0" w:firstRow="1" w:lastRow="0" w:firstColumn="1" w:lastColumn="0" w:noHBand="0" w:noVBand="1"/>
      </w:tblPr>
      <w:tblGrid>
        <w:gridCol w:w="2038"/>
        <w:gridCol w:w="6912"/>
      </w:tblGrid>
      <w:tr w:rsidR="0042547F" w14:paraId="3BD898FC" w14:textId="77777777" w:rsidTr="00D20AAF">
        <w:trPr>
          <w:trHeight w:val="110"/>
        </w:trPr>
        <w:tc>
          <w:tcPr>
            <w:tcW w:w="2038" w:type="dxa"/>
          </w:tcPr>
          <w:p w14:paraId="414F0902" w14:textId="77777777" w:rsidR="0042547F" w:rsidRPr="00D20AAF" w:rsidRDefault="00E03EF4" w:rsidP="00D20AAF">
            <w:pPr>
              <w:pStyle w:val="SDAbodytext"/>
              <w:jc w:val="center"/>
              <w:rPr>
                <w:sz w:val="20"/>
                <w:szCs w:val="20"/>
              </w:rPr>
            </w:pPr>
            <w:r w:rsidRPr="00D20AAF">
              <w:rPr>
                <w:sz w:val="20"/>
                <w:szCs w:val="20"/>
              </w:rPr>
              <w:t>ANU</w:t>
            </w:r>
          </w:p>
        </w:tc>
        <w:tc>
          <w:tcPr>
            <w:tcW w:w="6912" w:type="dxa"/>
          </w:tcPr>
          <w:p w14:paraId="10197635" w14:textId="77777777" w:rsidR="0042547F" w:rsidRPr="00D20AAF" w:rsidRDefault="00E03EF4" w:rsidP="00D20AAF">
            <w:pPr>
              <w:pStyle w:val="SDAbodytext"/>
              <w:rPr>
                <w:sz w:val="20"/>
                <w:szCs w:val="20"/>
              </w:rPr>
            </w:pPr>
            <w:r w:rsidRPr="00D20AAF">
              <w:rPr>
                <w:sz w:val="20"/>
                <w:szCs w:val="20"/>
              </w:rPr>
              <w:t>Australian National University</w:t>
            </w:r>
          </w:p>
        </w:tc>
      </w:tr>
      <w:tr w:rsidR="00085BB4" w14:paraId="7F33ED9F" w14:textId="77777777" w:rsidTr="00D20AAF">
        <w:trPr>
          <w:trHeight w:val="110"/>
        </w:trPr>
        <w:tc>
          <w:tcPr>
            <w:tcW w:w="2038" w:type="dxa"/>
          </w:tcPr>
          <w:p w14:paraId="7F71CB31" w14:textId="77777777" w:rsidR="00085BB4" w:rsidRPr="00D20AAF" w:rsidRDefault="00085BB4" w:rsidP="00D20AAF">
            <w:pPr>
              <w:pStyle w:val="SDAbodytext"/>
              <w:jc w:val="center"/>
              <w:rPr>
                <w:sz w:val="20"/>
                <w:szCs w:val="20"/>
              </w:rPr>
            </w:pPr>
            <w:r w:rsidRPr="00D20AAF">
              <w:rPr>
                <w:sz w:val="20"/>
                <w:szCs w:val="20"/>
              </w:rPr>
              <w:t>CSFT</w:t>
            </w:r>
          </w:p>
        </w:tc>
        <w:tc>
          <w:tcPr>
            <w:tcW w:w="6912" w:type="dxa"/>
          </w:tcPr>
          <w:p w14:paraId="4B8D1A3A" w14:textId="77777777" w:rsidR="00085BB4" w:rsidRPr="00D20AAF" w:rsidRDefault="00085BB4" w:rsidP="00D20AAF">
            <w:pPr>
              <w:pStyle w:val="SDAbodytext"/>
              <w:rPr>
                <w:sz w:val="20"/>
                <w:szCs w:val="20"/>
              </w:rPr>
            </w:pPr>
            <w:r w:rsidRPr="00D20AAF">
              <w:rPr>
                <w:sz w:val="20"/>
                <w:szCs w:val="20"/>
              </w:rPr>
              <w:t>Civil Society Forum of Tonga</w:t>
            </w:r>
          </w:p>
        </w:tc>
      </w:tr>
      <w:tr w:rsidR="00D84A98" w14:paraId="2F080A87" w14:textId="77777777" w:rsidTr="00D20AAF">
        <w:trPr>
          <w:trHeight w:val="110"/>
        </w:trPr>
        <w:tc>
          <w:tcPr>
            <w:tcW w:w="2038" w:type="dxa"/>
          </w:tcPr>
          <w:p w14:paraId="062FE2B4" w14:textId="77777777" w:rsidR="00D84A98" w:rsidRPr="00D20AAF" w:rsidRDefault="003E18A4" w:rsidP="00D20AAF">
            <w:pPr>
              <w:pStyle w:val="SDAbodytext"/>
              <w:jc w:val="center"/>
              <w:rPr>
                <w:sz w:val="20"/>
                <w:szCs w:val="20"/>
              </w:rPr>
            </w:pPr>
            <w:r w:rsidRPr="00D20AAF">
              <w:rPr>
                <w:sz w:val="20"/>
                <w:szCs w:val="20"/>
              </w:rPr>
              <w:t>DFAT</w:t>
            </w:r>
          </w:p>
        </w:tc>
        <w:tc>
          <w:tcPr>
            <w:tcW w:w="6912" w:type="dxa"/>
          </w:tcPr>
          <w:p w14:paraId="7618C344" w14:textId="77777777" w:rsidR="00D84A98" w:rsidRPr="00D20AAF" w:rsidRDefault="003E18A4" w:rsidP="00D20AAF">
            <w:pPr>
              <w:pStyle w:val="SDAbodytext"/>
              <w:rPr>
                <w:sz w:val="20"/>
                <w:szCs w:val="20"/>
              </w:rPr>
            </w:pPr>
            <w:r w:rsidRPr="00D20AAF">
              <w:rPr>
                <w:sz w:val="20"/>
                <w:szCs w:val="20"/>
              </w:rPr>
              <w:t xml:space="preserve">Australian </w:t>
            </w:r>
            <w:r w:rsidR="00EC78E0" w:rsidRPr="00D20AAF">
              <w:rPr>
                <w:sz w:val="20"/>
                <w:szCs w:val="20"/>
              </w:rPr>
              <w:t xml:space="preserve">Government </w:t>
            </w:r>
            <w:r w:rsidRPr="00D20AAF">
              <w:rPr>
                <w:sz w:val="20"/>
                <w:szCs w:val="20"/>
              </w:rPr>
              <w:t>Department of Foreign Affairs and Trade</w:t>
            </w:r>
          </w:p>
        </w:tc>
      </w:tr>
      <w:tr w:rsidR="00D84A98" w14:paraId="3BB66E03" w14:textId="77777777" w:rsidTr="00D20AAF">
        <w:trPr>
          <w:trHeight w:val="110"/>
        </w:trPr>
        <w:tc>
          <w:tcPr>
            <w:tcW w:w="2038" w:type="dxa"/>
          </w:tcPr>
          <w:p w14:paraId="6288BC93" w14:textId="77777777" w:rsidR="00D84A98" w:rsidRPr="00D20AAF" w:rsidRDefault="003E18A4" w:rsidP="00D20AAF">
            <w:pPr>
              <w:pStyle w:val="SDAbodytext"/>
              <w:jc w:val="center"/>
              <w:rPr>
                <w:sz w:val="20"/>
                <w:szCs w:val="20"/>
              </w:rPr>
            </w:pPr>
            <w:r w:rsidRPr="00D20AAF">
              <w:rPr>
                <w:sz w:val="20"/>
                <w:szCs w:val="20"/>
              </w:rPr>
              <w:t>DLP</w:t>
            </w:r>
          </w:p>
        </w:tc>
        <w:tc>
          <w:tcPr>
            <w:tcW w:w="6912" w:type="dxa"/>
          </w:tcPr>
          <w:p w14:paraId="32B743F2" w14:textId="77777777" w:rsidR="00D84A98" w:rsidRPr="00D20AAF" w:rsidRDefault="003E18A4" w:rsidP="00D20AAF">
            <w:pPr>
              <w:pStyle w:val="SDAbodytext"/>
              <w:rPr>
                <w:sz w:val="20"/>
                <w:szCs w:val="20"/>
              </w:rPr>
            </w:pPr>
            <w:r w:rsidRPr="00D20AAF">
              <w:rPr>
                <w:sz w:val="20"/>
                <w:szCs w:val="20"/>
              </w:rPr>
              <w:t>Developmental Leadership Program</w:t>
            </w:r>
          </w:p>
        </w:tc>
      </w:tr>
      <w:tr w:rsidR="00F81F18" w14:paraId="2A33191F" w14:textId="77777777" w:rsidTr="00D20AAF">
        <w:trPr>
          <w:trHeight w:val="110"/>
        </w:trPr>
        <w:tc>
          <w:tcPr>
            <w:tcW w:w="2038" w:type="dxa"/>
          </w:tcPr>
          <w:p w14:paraId="60A72D6C" w14:textId="77777777" w:rsidR="00F81F18" w:rsidRPr="00D20AAF" w:rsidRDefault="00F81F18" w:rsidP="00D20AAF">
            <w:pPr>
              <w:pStyle w:val="SDAbodytext"/>
              <w:jc w:val="center"/>
              <w:rPr>
                <w:sz w:val="20"/>
                <w:szCs w:val="20"/>
              </w:rPr>
            </w:pPr>
            <w:r w:rsidRPr="00D20AAF">
              <w:rPr>
                <w:sz w:val="20"/>
                <w:szCs w:val="20"/>
              </w:rPr>
              <w:t>DWA</w:t>
            </w:r>
          </w:p>
        </w:tc>
        <w:tc>
          <w:tcPr>
            <w:tcW w:w="6912" w:type="dxa"/>
          </w:tcPr>
          <w:p w14:paraId="08867B41" w14:textId="77777777" w:rsidR="00F81F18" w:rsidRPr="00D20AAF" w:rsidRDefault="00F81F18" w:rsidP="00D20AAF">
            <w:pPr>
              <w:pStyle w:val="SDAbodytext"/>
              <w:rPr>
                <w:sz w:val="20"/>
                <w:szCs w:val="20"/>
              </w:rPr>
            </w:pPr>
            <w:r w:rsidRPr="00D20AAF">
              <w:rPr>
                <w:sz w:val="20"/>
                <w:szCs w:val="20"/>
              </w:rPr>
              <w:t>Vanuatu</w:t>
            </w:r>
            <w:r w:rsidR="00845CA7" w:rsidRPr="00D20AAF">
              <w:rPr>
                <w:sz w:val="20"/>
                <w:szCs w:val="20"/>
              </w:rPr>
              <w:t>’s</w:t>
            </w:r>
            <w:r w:rsidRPr="00D20AAF">
              <w:rPr>
                <w:sz w:val="20"/>
                <w:szCs w:val="20"/>
              </w:rPr>
              <w:t xml:space="preserve"> Government Department of Women's Affairs</w:t>
            </w:r>
          </w:p>
        </w:tc>
      </w:tr>
      <w:tr w:rsidR="00D84A98" w14:paraId="6E7AB131" w14:textId="77777777" w:rsidTr="00D20AAF">
        <w:trPr>
          <w:trHeight w:val="110"/>
        </w:trPr>
        <w:tc>
          <w:tcPr>
            <w:tcW w:w="2038" w:type="dxa"/>
          </w:tcPr>
          <w:p w14:paraId="0557900F" w14:textId="77777777" w:rsidR="00D84A98" w:rsidRPr="00D20AAF" w:rsidRDefault="00C65521" w:rsidP="00D20AAF">
            <w:pPr>
              <w:pStyle w:val="SDAbodytext"/>
              <w:jc w:val="center"/>
              <w:rPr>
                <w:sz w:val="20"/>
                <w:szCs w:val="20"/>
              </w:rPr>
            </w:pPr>
            <w:r w:rsidRPr="00D20AAF">
              <w:rPr>
                <w:sz w:val="20"/>
                <w:szCs w:val="20"/>
              </w:rPr>
              <w:t>GGLC</w:t>
            </w:r>
          </w:p>
        </w:tc>
        <w:tc>
          <w:tcPr>
            <w:tcW w:w="6912" w:type="dxa"/>
          </w:tcPr>
          <w:p w14:paraId="0B3E421B" w14:textId="77777777" w:rsidR="00D84A98" w:rsidRPr="00D20AAF" w:rsidRDefault="00C65521" w:rsidP="00D20AAF">
            <w:pPr>
              <w:pStyle w:val="SDAbodytext"/>
              <w:rPr>
                <w:sz w:val="20"/>
                <w:szCs w:val="20"/>
              </w:rPr>
            </w:pPr>
            <w:r w:rsidRPr="00D20AAF">
              <w:rPr>
                <w:sz w:val="20"/>
                <w:szCs w:val="20"/>
              </w:rPr>
              <w:t>Green Growth Leaders' Coalition</w:t>
            </w:r>
          </w:p>
        </w:tc>
      </w:tr>
      <w:tr w:rsidR="00085BB4" w14:paraId="1E52CBF2" w14:textId="77777777" w:rsidTr="00D20AAF">
        <w:trPr>
          <w:trHeight w:val="110"/>
        </w:trPr>
        <w:tc>
          <w:tcPr>
            <w:tcW w:w="2038" w:type="dxa"/>
          </w:tcPr>
          <w:p w14:paraId="73EC8528" w14:textId="77777777" w:rsidR="00085BB4" w:rsidRPr="00D20AAF" w:rsidRDefault="00085BB4" w:rsidP="00D20AAF">
            <w:pPr>
              <w:pStyle w:val="SDAbodytext"/>
              <w:jc w:val="center"/>
              <w:rPr>
                <w:sz w:val="20"/>
                <w:szCs w:val="20"/>
              </w:rPr>
            </w:pPr>
            <w:r w:rsidRPr="00D20AAF">
              <w:rPr>
                <w:sz w:val="20"/>
                <w:szCs w:val="20"/>
              </w:rPr>
              <w:t>IUCN</w:t>
            </w:r>
          </w:p>
        </w:tc>
        <w:tc>
          <w:tcPr>
            <w:tcW w:w="6912" w:type="dxa"/>
          </w:tcPr>
          <w:p w14:paraId="53BD4026" w14:textId="77777777" w:rsidR="00085BB4" w:rsidRPr="00D20AAF" w:rsidRDefault="00085BB4" w:rsidP="00D20AAF">
            <w:pPr>
              <w:pStyle w:val="SDAbodytext"/>
              <w:rPr>
                <w:sz w:val="20"/>
                <w:szCs w:val="20"/>
              </w:rPr>
            </w:pPr>
            <w:r w:rsidRPr="00D20AAF">
              <w:rPr>
                <w:sz w:val="20"/>
                <w:szCs w:val="20"/>
              </w:rPr>
              <w:t>International Union for Conservation of Nature</w:t>
            </w:r>
          </w:p>
        </w:tc>
      </w:tr>
      <w:tr w:rsidR="00C65521" w14:paraId="3F145EA2" w14:textId="77777777" w:rsidTr="00D20AAF">
        <w:trPr>
          <w:trHeight w:val="110"/>
        </w:trPr>
        <w:tc>
          <w:tcPr>
            <w:tcW w:w="2038" w:type="dxa"/>
          </w:tcPr>
          <w:p w14:paraId="6966CA18" w14:textId="77777777" w:rsidR="00C65521" w:rsidRPr="00D20AAF" w:rsidRDefault="00C65521" w:rsidP="00D20AAF">
            <w:pPr>
              <w:pStyle w:val="SDAbodytext"/>
              <w:jc w:val="center"/>
              <w:rPr>
                <w:sz w:val="20"/>
                <w:szCs w:val="20"/>
              </w:rPr>
            </w:pPr>
            <w:r w:rsidRPr="00D20AAF">
              <w:rPr>
                <w:sz w:val="20"/>
                <w:szCs w:val="20"/>
              </w:rPr>
              <w:t>MSG</w:t>
            </w:r>
          </w:p>
        </w:tc>
        <w:tc>
          <w:tcPr>
            <w:tcW w:w="6912" w:type="dxa"/>
          </w:tcPr>
          <w:p w14:paraId="2763E9FD" w14:textId="77777777" w:rsidR="00C65521" w:rsidRPr="00D20AAF" w:rsidRDefault="00C65521" w:rsidP="00D20AAF">
            <w:pPr>
              <w:pStyle w:val="SDAbodytext"/>
              <w:rPr>
                <w:sz w:val="20"/>
                <w:szCs w:val="20"/>
              </w:rPr>
            </w:pPr>
            <w:r w:rsidRPr="00D20AAF">
              <w:rPr>
                <w:sz w:val="20"/>
                <w:szCs w:val="20"/>
              </w:rPr>
              <w:t>Melanesian Spearhead Group</w:t>
            </w:r>
          </w:p>
        </w:tc>
      </w:tr>
      <w:tr w:rsidR="00E03EF4" w14:paraId="1C6AFBFB" w14:textId="77777777" w:rsidTr="00D20AAF">
        <w:trPr>
          <w:trHeight w:val="110"/>
        </w:trPr>
        <w:tc>
          <w:tcPr>
            <w:tcW w:w="2038" w:type="dxa"/>
          </w:tcPr>
          <w:p w14:paraId="0B7F50E2" w14:textId="77777777" w:rsidR="00E03EF4" w:rsidRPr="00D20AAF" w:rsidRDefault="00E03EF4" w:rsidP="00D20AAF">
            <w:pPr>
              <w:pStyle w:val="SDAbodytext"/>
              <w:jc w:val="center"/>
              <w:rPr>
                <w:sz w:val="20"/>
                <w:szCs w:val="20"/>
              </w:rPr>
            </w:pPr>
            <w:r w:rsidRPr="00D20AAF">
              <w:rPr>
                <w:sz w:val="20"/>
                <w:szCs w:val="20"/>
              </w:rPr>
              <w:t>ODI</w:t>
            </w:r>
          </w:p>
        </w:tc>
        <w:tc>
          <w:tcPr>
            <w:tcW w:w="6912" w:type="dxa"/>
          </w:tcPr>
          <w:p w14:paraId="2E4EB463" w14:textId="77777777" w:rsidR="00E03EF4" w:rsidRPr="00D20AAF" w:rsidRDefault="00E03EF4" w:rsidP="00D20AAF">
            <w:pPr>
              <w:pStyle w:val="SDAbodytext"/>
              <w:rPr>
                <w:sz w:val="20"/>
                <w:szCs w:val="20"/>
              </w:rPr>
            </w:pPr>
            <w:r w:rsidRPr="00D20AAF">
              <w:rPr>
                <w:sz w:val="20"/>
                <w:szCs w:val="20"/>
              </w:rPr>
              <w:t>Overseas Development Institute</w:t>
            </w:r>
          </w:p>
        </w:tc>
      </w:tr>
      <w:tr w:rsidR="00B83960" w14:paraId="6DBBEE24" w14:textId="77777777" w:rsidTr="00D20AAF">
        <w:trPr>
          <w:trHeight w:val="110"/>
        </w:trPr>
        <w:tc>
          <w:tcPr>
            <w:tcW w:w="2038" w:type="dxa"/>
          </w:tcPr>
          <w:p w14:paraId="4F5180A2" w14:textId="77777777" w:rsidR="00B83960" w:rsidRPr="00D20AAF" w:rsidRDefault="00B83960" w:rsidP="00D20AAF">
            <w:pPr>
              <w:pStyle w:val="SDAbodytext"/>
              <w:jc w:val="center"/>
              <w:rPr>
                <w:sz w:val="20"/>
                <w:szCs w:val="20"/>
              </w:rPr>
            </w:pPr>
            <w:r w:rsidRPr="00D20AAF">
              <w:rPr>
                <w:sz w:val="20"/>
                <w:szCs w:val="20"/>
              </w:rPr>
              <w:t>PIF</w:t>
            </w:r>
          </w:p>
        </w:tc>
        <w:tc>
          <w:tcPr>
            <w:tcW w:w="6912" w:type="dxa"/>
          </w:tcPr>
          <w:p w14:paraId="04C0A664" w14:textId="77777777" w:rsidR="00B83960" w:rsidRPr="00D20AAF" w:rsidRDefault="00B83960" w:rsidP="00D20AAF">
            <w:pPr>
              <w:pStyle w:val="SDAbodytext"/>
              <w:rPr>
                <w:sz w:val="20"/>
                <w:szCs w:val="20"/>
              </w:rPr>
            </w:pPr>
            <w:r w:rsidRPr="00D20AAF">
              <w:rPr>
                <w:sz w:val="20"/>
                <w:szCs w:val="20"/>
              </w:rPr>
              <w:t>Pacific Islands Forum</w:t>
            </w:r>
          </w:p>
        </w:tc>
      </w:tr>
      <w:tr w:rsidR="002A7AA6" w14:paraId="00A1861F" w14:textId="77777777" w:rsidTr="00D20AAF">
        <w:trPr>
          <w:trHeight w:val="110"/>
        </w:trPr>
        <w:tc>
          <w:tcPr>
            <w:tcW w:w="2038" w:type="dxa"/>
          </w:tcPr>
          <w:p w14:paraId="5DABD489" w14:textId="77777777" w:rsidR="002A7AA6" w:rsidRPr="00D20AAF" w:rsidRDefault="002A7AA6" w:rsidP="00D20AAF">
            <w:pPr>
              <w:pStyle w:val="SDAbodytext"/>
              <w:jc w:val="center"/>
              <w:rPr>
                <w:sz w:val="20"/>
                <w:szCs w:val="20"/>
              </w:rPr>
            </w:pPr>
            <w:r w:rsidRPr="00D20AAF">
              <w:rPr>
                <w:sz w:val="20"/>
                <w:szCs w:val="20"/>
              </w:rPr>
              <w:t>PIPSO</w:t>
            </w:r>
          </w:p>
        </w:tc>
        <w:tc>
          <w:tcPr>
            <w:tcW w:w="6912" w:type="dxa"/>
          </w:tcPr>
          <w:p w14:paraId="2405768B" w14:textId="77777777" w:rsidR="002A7AA6" w:rsidRPr="00D20AAF" w:rsidRDefault="002A7AA6" w:rsidP="00D20AAF">
            <w:pPr>
              <w:pStyle w:val="SDAbodytext"/>
              <w:rPr>
                <w:sz w:val="20"/>
                <w:szCs w:val="20"/>
              </w:rPr>
            </w:pPr>
            <w:r w:rsidRPr="00D20AAF">
              <w:rPr>
                <w:sz w:val="20"/>
                <w:szCs w:val="20"/>
              </w:rPr>
              <w:t>Pacific Islands Private Sector Organisation</w:t>
            </w:r>
          </w:p>
        </w:tc>
      </w:tr>
      <w:tr w:rsidR="00D84A98" w14:paraId="301C33EA" w14:textId="77777777" w:rsidTr="00D20AAF">
        <w:trPr>
          <w:trHeight w:val="110"/>
        </w:trPr>
        <w:tc>
          <w:tcPr>
            <w:tcW w:w="2038" w:type="dxa"/>
          </w:tcPr>
          <w:p w14:paraId="4FA2FBA6" w14:textId="77777777" w:rsidR="00D84A98" w:rsidRPr="00D20AAF" w:rsidRDefault="00CA63CD" w:rsidP="00D20AAF">
            <w:pPr>
              <w:pStyle w:val="SDAbodytext"/>
              <w:jc w:val="center"/>
              <w:rPr>
                <w:sz w:val="20"/>
                <w:szCs w:val="20"/>
              </w:rPr>
            </w:pPr>
            <w:r w:rsidRPr="00D20AAF">
              <w:rPr>
                <w:sz w:val="20"/>
                <w:szCs w:val="20"/>
              </w:rPr>
              <w:t>PLP</w:t>
            </w:r>
          </w:p>
        </w:tc>
        <w:tc>
          <w:tcPr>
            <w:tcW w:w="6912" w:type="dxa"/>
          </w:tcPr>
          <w:p w14:paraId="3A9CE579" w14:textId="77777777" w:rsidR="00D84A98" w:rsidRPr="00D20AAF" w:rsidRDefault="00CA63CD" w:rsidP="00D20AAF">
            <w:pPr>
              <w:pStyle w:val="SDAbodytext"/>
              <w:rPr>
                <w:sz w:val="20"/>
                <w:szCs w:val="20"/>
              </w:rPr>
            </w:pPr>
            <w:r w:rsidRPr="00D20AAF">
              <w:rPr>
                <w:sz w:val="20"/>
                <w:szCs w:val="20"/>
              </w:rPr>
              <w:t>Pacific Leadership Program</w:t>
            </w:r>
          </w:p>
        </w:tc>
      </w:tr>
      <w:tr w:rsidR="00CA63CD" w14:paraId="7F2F3ED8" w14:textId="77777777" w:rsidTr="00D20AAF">
        <w:trPr>
          <w:trHeight w:val="110"/>
        </w:trPr>
        <w:tc>
          <w:tcPr>
            <w:tcW w:w="2038" w:type="dxa"/>
          </w:tcPr>
          <w:p w14:paraId="4500737F" w14:textId="77777777" w:rsidR="00CA63CD" w:rsidRPr="00D20AAF" w:rsidRDefault="00CA63CD" w:rsidP="00D20AAF">
            <w:pPr>
              <w:pStyle w:val="SDAbodytext"/>
              <w:jc w:val="center"/>
              <w:rPr>
                <w:sz w:val="20"/>
                <w:szCs w:val="20"/>
              </w:rPr>
            </w:pPr>
            <w:r w:rsidRPr="00D20AAF">
              <w:rPr>
                <w:sz w:val="20"/>
                <w:szCs w:val="20"/>
              </w:rPr>
              <w:t>PLP3</w:t>
            </w:r>
          </w:p>
        </w:tc>
        <w:tc>
          <w:tcPr>
            <w:tcW w:w="6912" w:type="dxa"/>
          </w:tcPr>
          <w:p w14:paraId="3D5BA0A9" w14:textId="77777777" w:rsidR="00CA63CD" w:rsidRPr="00D20AAF" w:rsidRDefault="00CA63CD" w:rsidP="00D20AAF">
            <w:pPr>
              <w:pStyle w:val="SDAbodytext"/>
              <w:rPr>
                <w:sz w:val="20"/>
                <w:szCs w:val="20"/>
              </w:rPr>
            </w:pPr>
            <w:r w:rsidRPr="00D20AAF">
              <w:rPr>
                <w:sz w:val="20"/>
                <w:szCs w:val="20"/>
              </w:rPr>
              <w:t xml:space="preserve">Pacific </w:t>
            </w:r>
            <w:r w:rsidR="00031C07" w:rsidRPr="00D20AAF">
              <w:rPr>
                <w:sz w:val="20"/>
                <w:szCs w:val="20"/>
              </w:rPr>
              <w:t>Leadership Program Phase 3 (July</w:t>
            </w:r>
            <w:r w:rsidRPr="00D20AAF">
              <w:rPr>
                <w:sz w:val="20"/>
                <w:szCs w:val="20"/>
              </w:rPr>
              <w:t xml:space="preserve"> 2014 – December 2017)</w:t>
            </w:r>
          </w:p>
        </w:tc>
      </w:tr>
      <w:tr w:rsidR="00C94DB9" w14:paraId="45AE3695" w14:textId="77777777" w:rsidTr="00D20AAF">
        <w:trPr>
          <w:trHeight w:val="110"/>
        </w:trPr>
        <w:tc>
          <w:tcPr>
            <w:tcW w:w="2038" w:type="dxa"/>
          </w:tcPr>
          <w:p w14:paraId="528AE14C" w14:textId="77777777" w:rsidR="00C94DB9" w:rsidRPr="00D20AAF" w:rsidRDefault="00C94DB9" w:rsidP="00D20AAF">
            <w:pPr>
              <w:pStyle w:val="SDAbodytext"/>
              <w:jc w:val="center"/>
              <w:rPr>
                <w:sz w:val="20"/>
                <w:szCs w:val="20"/>
              </w:rPr>
            </w:pPr>
            <w:r w:rsidRPr="00D20AAF">
              <w:rPr>
                <w:sz w:val="20"/>
                <w:szCs w:val="20"/>
              </w:rPr>
              <w:t>PWDSI</w:t>
            </w:r>
          </w:p>
        </w:tc>
        <w:tc>
          <w:tcPr>
            <w:tcW w:w="6912" w:type="dxa"/>
          </w:tcPr>
          <w:p w14:paraId="34F21220" w14:textId="77777777" w:rsidR="00C94DB9" w:rsidRPr="00D20AAF" w:rsidRDefault="00C94DB9" w:rsidP="00D20AAF">
            <w:pPr>
              <w:pStyle w:val="SDAbodytext"/>
              <w:rPr>
                <w:sz w:val="20"/>
                <w:szCs w:val="20"/>
              </w:rPr>
            </w:pPr>
            <w:r w:rsidRPr="00D20AAF">
              <w:rPr>
                <w:sz w:val="20"/>
                <w:szCs w:val="20"/>
              </w:rPr>
              <w:t>People With a Disability Solomon Islands</w:t>
            </w:r>
          </w:p>
        </w:tc>
      </w:tr>
      <w:tr w:rsidR="002A7AA6" w14:paraId="340FE430" w14:textId="77777777" w:rsidTr="00D20AAF">
        <w:trPr>
          <w:trHeight w:val="110"/>
        </w:trPr>
        <w:tc>
          <w:tcPr>
            <w:tcW w:w="2038" w:type="dxa"/>
          </w:tcPr>
          <w:p w14:paraId="4770CD9E" w14:textId="77777777" w:rsidR="002A7AA6" w:rsidRPr="00D20AAF" w:rsidRDefault="002C5828" w:rsidP="00D20AAF">
            <w:pPr>
              <w:pStyle w:val="SDAbodytext"/>
              <w:jc w:val="center"/>
              <w:rPr>
                <w:sz w:val="20"/>
                <w:szCs w:val="20"/>
              </w:rPr>
            </w:pPr>
            <w:r w:rsidRPr="00D20AAF">
              <w:rPr>
                <w:sz w:val="20"/>
                <w:szCs w:val="20"/>
              </w:rPr>
              <w:t>RRRT</w:t>
            </w:r>
          </w:p>
        </w:tc>
        <w:tc>
          <w:tcPr>
            <w:tcW w:w="6912" w:type="dxa"/>
          </w:tcPr>
          <w:p w14:paraId="4D8CF7EB" w14:textId="77777777" w:rsidR="002A7AA6" w:rsidRPr="00D20AAF" w:rsidRDefault="002C5828" w:rsidP="00D20AAF">
            <w:pPr>
              <w:pStyle w:val="SDAbodytext"/>
              <w:rPr>
                <w:sz w:val="20"/>
                <w:szCs w:val="20"/>
              </w:rPr>
            </w:pPr>
            <w:r w:rsidRPr="00D20AAF">
              <w:rPr>
                <w:sz w:val="20"/>
                <w:szCs w:val="20"/>
              </w:rPr>
              <w:t>Regional Rights Resource Team</w:t>
            </w:r>
          </w:p>
        </w:tc>
      </w:tr>
      <w:tr w:rsidR="002A7AA6" w14:paraId="29ECA98B" w14:textId="77777777" w:rsidTr="00D20AAF">
        <w:trPr>
          <w:trHeight w:val="110"/>
        </w:trPr>
        <w:tc>
          <w:tcPr>
            <w:tcW w:w="2038" w:type="dxa"/>
          </w:tcPr>
          <w:p w14:paraId="60B1DBE7" w14:textId="77777777" w:rsidR="002A7AA6" w:rsidRPr="00D20AAF" w:rsidRDefault="00931067" w:rsidP="00D20AAF">
            <w:pPr>
              <w:pStyle w:val="SDAbodytext"/>
              <w:jc w:val="center"/>
              <w:rPr>
                <w:sz w:val="20"/>
                <w:szCs w:val="20"/>
              </w:rPr>
            </w:pPr>
            <w:r w:rsidRPr="00D20AAF">
              <w:rPr>
                <w:sz w:val="20"/>
                <w:szCs w:val="20"/>
              </w:rPr>
              <w:t>SCCI</w:t>
            </w:r>
          </w:p>
        </w:tc>
        <w:tc>
          <w:tcPr>
            <w:tcW w:w="6912" w:type="dxa"/>
          </w:tcPr>
          <w:p w14:paraId="224E1E49" w14:textId="77777777" w:rsidR="002A7AA6" w:rsidRPr="00D20AAF" w:rsidRDefault="00931067" w:rsidP="00D20AAF">
            <w:pPr>
              <w:pStyle w:val="SDAbodytext"/>
              <w:rPr>
                <w:sz w:val="20"/>
                <w:szCs w:val="20"/>
              </w:rPr>
            </w:pPr>
            <w:r w:rsidRPr="00D20AAF">
              <w:rPr>
                <w:sz w:val="20"/>
                <w:szCs w:val="20"/>
              </w:rPr>
              <w:t>Samoa Chamber of Commerce and Industry</w:t>
            </w:r>
          </w:p>
        </w:tc>
      </w:tr>
      <w:tr w:rsidR="00425E1C" w14:paraId="11480B19" w14:textId="77777777" w:rsidTr="00D20AAF">
        <w:trPr>
          <w:trHeight w:val="110"/>
        </w:trPr>
        <w:tc>
          <w:tcPr>
            <w:tcW w:w="2038" w:type="dxa"/>
          </w:tcPr>
          <w:p w14:paraId="7730F6DC" w14:textId="77777777" w:rsidR="00425E1C" w:rsidRPr="00D20AAF" w:rsidRDefault="00425E1C" w:rsidP="00D20AAF">
            <w:pPr>
              <w:pStyle w:val="SDAbodytext"/>
              <w:jc w:val="center"/>
              <w:rPr>
                <w:sz w:val="20"/>
                <w:szCs w:val="20"/>
              </w:rPr>
            </w:pPr>
            <w:r w:rsidRPr="00D20AAF">
              <w:rPr>
                <w:sz w:val="20"/>
                <w:szCs w:val="20"/>
              </w:rPr>
              <w:t>SNLDF</w:t>
            </w:r>
          </w:p>
        </w:tc>
        <w:tc>
          <w:tcPr>
            <w:tcW w:w="6912" w:type="dxa"/>
          </w:tcPr>
          <w:p w14:paraId="2C7B4D0F" w14:textId="77777777" w:rsidR="00425E1C" w:rsidRPr="00D20AAF" w:rsidRDefault="00425E1C" w:rsidP="00D20AAF">
            <w:pPr>
              <w:pStyle w:val="SDAbodytext"/>
              <w:rPr>
                <w:sz w:val="20"/>
                <w:szCs w:val="20"/>
              </w:rPr>
            </w:pPr>
            <w:r w:rsidRPr="00D20AAF">
              <w:rPr>
                <w:sz w:val="20"/>
                <w:szCs w:val="20"/>
              </w:rPr>
              <w:t>Samoa National Leadership Development Forum</w:t>
            </w:r>
          </w:p>
        </w:tc>
      </w:tr>
      <w:tr w:rsidR="00D84A98" w14:paraId="493F5394" w14:textId="77777777" w:rsidTr="00D20AAF">
        <w:trPr>
          <w:trHeight w:val="110"/>
        </w:trPr>
        <w:tc>
          <w:tcPr>
            <w:tcW w:w="2038" w:type="dxa"/>
          </w:tcPr>
          <w:p w14:paraId="13DE7EF9" w14:textId="77777777" w:rsidR="00D84A98" w:rsidRPr="00D20AAF" w:rsidRDefault="003E18A4" w:rsidP="00D20AAF">
            <w:pPr>
              <w:pStyle w:val="SDAbodytext"/>
              <w:jc w:val="center"/>
              <w:rPr>
                <w:sz w:val="20"/>
                <w:szCs w:val="20"/>
              </w:rPr>
            </w:pPr>
            <w:r w:rsidRPr="00D20AAF">
              <w:rPr>
                <w:sz w:val="20"/>
                <w:szCs w:val="20"/>
              </w:rPr>
              <w:t>SSGM</w:t>
            </w:r>
          </w:p>
        </w:tc>
        <w:tc>
          <w:tcPr>
            <w:tcW w:w="6912" w:type="dxa"/>
          </w:tcPr>
          <w:p w14:paraId="59B9D578" w14:textId="77777777" w:rsidR="00D84A98" w:rsidRPr="00D20AAF" w:rsidRDefault="003E18A4" w:rsidP="00D20AAF">
            <w:pPr>
              <w:pStyle w:val="SDAbodytext"/>
              <w:rPr>
                <w:sz w:val="20"/>
                <w:szCs w:val="20"/>
              </w:rPr>
            </w:pPr>
            <w:r w:rsidRPr="00D20AAF">
              <w:rPr>
                <w:sz w:val="20"/>
                <w:szCs w:val="20"/>
              </w:rPr>
              <w:t xml:space="preserve">ANU State Society and Governance in Melanesia </w:t>
            </w:r>
            <w:r w:rsidR="00CA63CD" w:rsidRPr="00D20AAF">
              <w:rPr>
                <w:sz w:val="20"/>
                <w:szCs w:val="20"/>
              </w:rPr>
              <w:t>Program</w:t>
            </w:r>
          </w:p>
        </w:tc>
      </w:tr>
      <w:tr w:rsidR="00845CA7" w14:paraId="3B62E2A5" w14:textId="77777777" w:rsidTr="00D20AAF">
        <w:trPr>
          <w:trHeight w:val="110"/>
        </w:trPr>
        <w:tc>
          <w:tcPr>
            <w:tcW w:w="2038" w:type="dxa"/>
          </w:tcPr>
          <w:p w14:paraId="1D763FB1" w14:textId="77777777" w:rsidR="00845CA7" w:rsidRPr="00D20AAF" w:rsidRDefault="00845CA7" w:rsidP="00D20AAF">
            <w:pPr>
              <w:pStyle w:val="SDAbodytext"/>
              <w:jc w:val="center"/>
              <w:rPr>
                <w:sz w:val="20"/>
                <w:szCs w:val="20"/>
              </w:rPr>
            </w:pPr>
            <w:r w:rsidRPr="00D20AAF">
              <w:rPr>
                <w:sz w:val="20"/>
                <w:szCs w:val="20"/>
              </w:rPr>
              <w:t>SPC</w:t>
            </w:r>
          </w:p>
        </w:tc>
        <w:tc>
          <w:tcPr>
            <w:tcW w:w="6912" w:type="dxa"/>
          </w:tcPr>
          <w:p w14:paraId="5C76247E" w14:textId="77777777" w:rsidR="00845CA7" w:rsidRPr="00D20AAF" w:rsidRDefault="00845CA7" w:rsidP="00D20AAF">
            <w:pPr>
              <w:pStyle w:val="SDAbodytext"/>
              <w:rPr>
                <w:sz w:val="20"/>
                <w:szCs w:val="20"/>
              </w:rPr>
            </w:pPr>
            <w:r w:rsidRPr="00D20AAF">
              <w:rPr>
                <w:sz w:val="20"/>
                <w:szCs w:val="20"/>
              </w:rPr>
              <w:t>Pacific Community</w:t>
            </w:r>
          </w:p>
        </w:tc>
      </w:tr>
      <w:tr w:rsidR="008A122C" w14:paraId="716C852B" w14:textId="77777777" w:rsidTr="00D20AAF">
        <w:trPr>
          <w:trHeight w:val="110"/>
        </w:trPr>
        <w:tc>
          <w:tcPr>
            <w:tcW w:w="2038" w:type="dxa"/>
          </w:tcPr>
          <w:p w14:paraId="5B9DAADB" w14:textId="77777777" w:rsidR="008A122C" w:rsidRPr="00D20AAF" w:rsidRDefault="008A122C" w:rsidP="00D20AAF">
            <w:pPr>
              <w:pStyle w:val="SDAbodytext"/>
              <w:jc w:val="center"/>
              <w:rPr>
                <w:sz w:val="20"/>
                <w:szCs w:val="20"/>
              </w:rPr>
            </w:pPr>
            <w:r w:rsidRPr="00D20AAF">
              <w:rPr>
                <w:sz w:val="20"/>
                <w:szCs w:val="20"/>
              </w:rPr>
              <w:t>TCCI</w:t>
            </w:r>
          </w:p>
        </w:tc>
        <w:tc>
          <w:tcPr>
            <w:tcW w:w="6912" w:type="dxa"/>
          </w:tcPr>
          <w:p w14:paraId="4AB0885F" w14:textId="77777777" w:rsidR="008A122C" w:rsidRPr="00D20AAF" w:rsidRDefault="008A122C" w:rsidP="00D20AAF">
            <w:pPr>
              <w:pStyle w:val="SDAbodytext"/>
              <w:rPr>
                <w:sz w:val="20"/>
                <w:szCs w:val="20"/>
              </w:rPr>
            </w:pPr>
            <w:r w:rsidRPr="00D20AAF">
              <w:rPr>
                <w:sz w:val="20"/>
                <w:szCs w:val="20"/>
              </w:rPr>
              <w:t>Tonga Chamber of Commerce and Industries</w:t>
            </w:r>
          </w:p>
        </w:tc>
      </w:tr>
      <w:tr w:rsidR="00E25ABF" w14:paraId="585365C1" w14:textId="77777777" w:rsidTr="00D20AAF">
        <w:trPr>
          <w:trHeight w:val="110"/>
        </w:trPr>
        <w:tc>
          <w:tcPr>
            <w:tcW w:w="2038" w:type="dxa"/>
          </w:tcPr>
          <w:p w14:paraId="6B3DA899" w14:textId="77777777" w:rsidR="00E25ABF" w:rsidRPr="00D20AAF" w:rsidRDefault="00E25ABF" w:rsidP="00D20AAF">
            <w:pPr>
              <w:pStyle w:val="SDAbodytext"/>
              <w:jc w:val="center"/>
              <w:rPr>
                <w:sz w:val="20"/>
                <w:szCs w:val="20"/>
              </w:rPr>
            </w:pPr>
            <w:r w:rsidRPr="00D20AAF">
              <w:rPr>
                <w:sz w:val="20"/>
                <w:szCs w:val="20"/>
              </w:rPr>
              <w:t>TNLDF</w:t>
            </w:r>
          </w:p>
        </w:tc>
        <w:tc>
          <w:tcPr>
            <w:tcW w:w="6912" w:type="dxa"/>
          </w:tcPr>
          <w:p w14:paraId="3779D7AA" w14:textId="77777777" w:rsidR="00E25ABF" w:rsidRPr="00D20AAF" w:rsidRDefault="00E25ABF" w:rsidP="00D20AAF">
            <w:pPr>
              <w:pStyle w:val="SDAbodytext"/>
              <w:rPr>
                <w:sz w:val="20"/>
                <w:szCs w:val="20"/>
              </w:rPr>
            </w:pPr>
            <w:r w:rsidRPr="00D20AAF">
              <w:rPr>
                <w:sz w:val="20"/>
                <w:szCs w:val="20"/>
              </w:rPr>
              <w:t>Tonga National Leadership Development Forum</w:t>
            </w:r>
          </w:p>
        </w:tc>
      </w:tr>
      <w:tr w:rsidR="00D84A98" w14:paraId="0D23F4AA" w14:textId="77777777" w:rsidTr="00D20AAF">
        <w:trPr>
          <w:trHeight w:val="110"/>
        </w:trPr>
        <w:tc>
          <w:tcPr>
            <w:tcW w:w="2038" w:type="dxa"/>
          </w:tcPr>
          <w:p w14:paraId="12738484" w14:textId="77777777" w:rsidR="00D84A98" w:rsidRPr="00D20AAF" w:rsidRDefault="00E25ABF" w:rsidP="00D20AAF">
            <w:pPr>
              <w:pStyle w:val="SDAbodytext"/>
              <w:jc w:val="center"/>
              <w:rPr>
                <w:sz w:val="20"/>
                <w:szCs w:val="20"/>
              </w:rPr>
            </w:pPr>
            <w:r w:rsidRPr="00D20AAF">
              <w:rPr>
                <w:sz w:val="20"/>
                <w:szCs w:val="20"/>
              </w:rPr>
              <w:t>TNYC</w:t>
            </w:r>
          </w:p>
        </w:tc>
        <w:tc>
          <w:tcPr>
            <w:tcW w:w="6912" w:type="dxa"/>
          </w:tcPr>
          <w:p w14:paraId="74AF88E7" w14:textId="77777777" w:rsidR="00D84A98" w:rsidRPr="00D20AAF" w:rsidRDefault="00E25ABF" w:rsidP="00D20AAF">
            <w:pPr>
              <w:pStyle w:val="SDAbodytext"/>
              <w:rPr>
                <w:sz w:val="20"/>
                <w:szCs w:val="20"/>
              </w:rPr>
            </w:pPr>
            <w:r w:rsidRPr="00D20AAF">
              <w:rPr>
                <w:sz w:val="20"/>
                <w:szCs w:val="20"/>
              </w:rPr>
              <w:t>Tonga National Youth Congress</w:t>
            </w:r>
          </w:p>
        </w:tc>
      </w:tr>
      <w:tr w:rsidR="00D84A98" w14:paraId="184E66BF" w14:textId="77777777" w:rsidTr="00D20AAF">
        <w:trPr>
          <w:trHeight w:val="110"/>
        </w:trPr>
        <w:tc>
          <w:tcPr>
            <w:tcW w:w="2038" w:type="dxa"/>
          </w:tcPr>
          <w:p w14:paraId="376DE338" w14:textId="77777777" w:rsidR="00D84A98" w:rsidRPr="00D20AAF" w:rsidRDefault="00F81F18" w:rsidP="00D20AAF">
            <w:pPr>
              <w:pStyle w:val="SDAbodytext"/>
              <w:jc w:val="center"/>
              <w:rPr>
                <w:sz w:val="20"/>
                <w:szCs w:val="20"/>
              </w:rPr>
            </w:pPr>
            <w:r w:rsidRPr="00D20AAF">
              <w:rPr>
                <w:sz w:val="20"/>
                <w:szCs w:val="20"/>
              </w:rPr>
              <w:t>TSM</w:t>
            </w:r>
          </w:p>
        </w:tc>
        <w:tc>
          <w:tcPr>
            <w:tcW w:w="6912" w:type="dxa"/>
          </w:tcPr>
          <w:p w14:paraId="0DB29D6F" w14:textId="77777777" w:rsidR="00D84A98" w:rsidRPr="00D20AAF" w:rsidRDefault="00F81F18" w:rsidP="00D20AAF">
            <w:pPr>
              <w:pStyle w:val="SDAbodytext"/>
              <w:rPr>
                <w:sz w:val="20"/>
                <w:szCs w:val="20"/>
              </w:rPr>
            </w:pPr>
            <w:r w:rsidRPr="00D20AAF">
              <w:rPr>
                <w:sz w:val="20"/>
                <w:szCs w:val="20"/>
              </w:rPr>
              <w:t>Temporary Special Measures</w:t>
            </w:r>
          </w:p>
        </w:tc>
      </w:tr>
      <w:tr w:rsidR="00D84A98" w14:paraId="26557319" w14:textId="77777777" w:rsidTr="00D20AAF">
        <w:trPr>
          <w:trHeight w:val="110"/>
        </w:trPr>
        <w:tc>
          <w:tcPr>
            <w:tcW w:w="2038" w:type="dxa"/>
          </w:tcPr>
          <w:p w14:paraId="12C86270" w14:textId="77777777" w:rsidR="00D84A98" w:rsidRPr="00D20AAF" w:rsidRDefault="002C5828" w:rsidP="00D20AAF">
            <w:pPr>
              <w:pStyle w:val="SDAbodytext"/>
              <w:jc w:val="center"/>
              <w:rPr>
                <w:sz w:val="20"/>
                <w:szCs w:val="20"/>
              </w:rPr>
            </w:pPr>
            <w:r w:rsidRPr="00D20AAF">
              <w:rPr>
                <w:sz w:val="20"/>
                <w:szCs w:val="20"/>
              </w:rPr>
              <w:t>WIBDI</w:t>
            </w:r>
          </w:p>
        </w:tc>
        <w:tc>
          <w:tcPr>
            <w:tcW w:w="6912" w:type="dxa"/>
          </w:tcPr>
          <w:p w14:paraId="2C752D3E" w14:textId="77777777" w:rsidR="00D84A98" w:rsidRPr="00D20AAF" w:rsidRDefault="002C5828" w:rsidP="00D20AAF">
            <w:pPr>
              <w:pStyle w:val="SDAbodytext"/>
              <w:rPr>
                <w:sz w:val="20"/>
                <w:szCs w:val="20"/>
              </w:rPr>
            </w:pPr>
            <w:r w:rsidRPr="00D20AAF">
              <w:rPr>
                <w:sz w:val="20"/>
                <w:szCs w:val="20"/>
              </w:rPr>
              <w:t>Women in Business Development Inc.</w:t>
            </w:r>
          </w:p>
        </w:tc>
      </w:tr>
      <w:tr w:rsidR="00D84A98" w14:paraId="4B996AA3" w14:textId="77777777" w:rsidTr="00D20AAF">
        <w:trPr>
          <w:trHeight w:val="132"/>
        </w:trPr>
        <w:tc>
          <w:tcPr>
            <w:tcW w:w="2038" w:type="dxa"/>
          </w:tcPr>
          <w:p w14:paraId="372D5C2D" w14:textId="77777777" w:rsidR="00D84A98" w:rsidRPr="00D20AAF" w:rsidRDefault="00F81F18" w:rsidP="00D20AAF">
            <w:pPr>
              <w:pStyle w:val="SDAbodytext"/>
              <w:jc w:val="center"/>
              <w:rPr>
                <w:sz w:val="20"/>
                <w:szCs w:val="20"/>
              </w:rPr>
            </w:pPr>
            <w:r w:rsidRPr="00D20AAF">
              <w:rPr>
                <w:sz w:val="20"/>
                <w:szCs w:val="20"/>
              </w:rPr>
              <w:t>WISDM</w:t>
            </w:r>
          </w:p>
        </w:tc>
        <w:tc>
          <w:tcPr>
            <w:tcW w:w="6912" w:type="dxa"/>
          </w:tcPr>
          <w:p w14:paraId="6235F8DF" w14:textId="77777777" w:rsidR="00D84A98" w:rsidRPr="00D20AAF" w:rsidRDefault="00F81F18" w:rsidP="00D20AAF">
            <w:pPr>
              <w:pStyle w:val="SDAbodytext"/>
              <w:rPr>
                <w:sz w:val="20"/>
                <w:szCs w:val="20"/>
              </w:rPr>
            </w:pPr>
            <w:r w:rsidRPr="00D20AAF">
              <w:rPr>
                <w:sz w:val="20"/>
                <w:szCs w:val="20"/>
              </w:rPr>
              <w:t>Women in Shared Decision Making</w:t>
            </w:r>
          </w:p>
        </w:tc>
      </w:tr>
    </w:tbl>
    <w:p w14:paraId="579CD112" w14:textId="77777777" w:rsidR="00914B6A" w:rsidRDefault="00387FA5" w:rsidP="00D36748">
      <w:pPr>
        <w:pStyle w:val="SDAHeading1"/>
        <w:spacing w:before="240"/>
      </w:pPr>
      <w:bookmarkStart w:id="2" w:name="_Toc486247194"/>
      <w:r>
        <w:lastRenderedPageBreak/>
        <w:t>Executive</w:t>
      </w:r>
      <w:r w:rsidR="00914B6A" w:rsidRPr="001B3ECA">
        <w:t xml:space="preserve"> </w:t>
      </w:r>
      <w:r>
        <w:t>Summary</w:t>
      </w:r>
      <w:bookmarkEnd w:id="2"/>
    </w:p>
    <w:p w14:paraId="360D81EC" w14:textId="77777777" w:rsidR="00A15694" w:rsidRPr="00347F33" w:rsidRDefault="007A4D79" w:rsidP="00105CAD">
      <w:pPr>
        <w:pStyle w:val="ListParagraph"/>
        <w:numPr>
          <w:ilvl w:val="0"/>
          <w:numId w:val="64"/>
        </w:numPr>
        <w:spacing w:before="120"/>
        <w:contextualSpacing w:val="0"/>
        <w:rPr>
          <w:rFonts w:eastAsia="Calibri" w:cs="Times New Roman"/>
        </w:rPr>
      </w:pPr>
      <w:r w:rsidRPr="00347F33">
        <w:rPr>
          <w:rFonts w:eastAsia="Calibri" w:cs="Times New Roman"/>
        </w:rPr>
        <w:t>This</w:t>
      </w:r>
      <w:r w:rsidR="00A15694" w:rsidRPr="00347F33">
        <w:rPr>
          <w:rFonts w:eastAsia="Calibri" w:cs="Times New Roman"/>
        </w:rPr>
        <w:t xml:space="preserve"> report presen</w:t>
      </w:r>
      <w:r w:rsidRPr="00347F33">
        <w:rPr>
          <w:rFonts w:eastAsia="Calibri" w:cs="Times New Roman"/>
        </w:rPr>
        <w:t>ts</w:t>
      </w:r>
      <w:r w:rsidR="00A15694" w:rsidRPr="00347F33">
        <w:rPr>
          <w:rFonts w:eastAsia="Calibri" w:cs="Times New Roman"/>
        </w:rPr>
        <w:t xml:space="preserve"> the findings and recommendations from an independent evaluation of the Pacific Leadership Program Phase 3 (PLP3). </w:t>
      </w:r>
      <w:r w:rsidRPr="00347F33">
        <w:rPr>
          <w:rFonts w:eastAsia="Calibri" w:cs="Times New Roman"/>
        </w:rPr>
        <w:t>The evaluation</w:t>
      </w:r>
      <w:r w:rsidR="00181AFA" w:rsidRPr="00347F33">
        <w:rPr>
          <w:rFonts w:eastAsia="Calibri" w:cs="Times New Roman"/>
        </w:rPr>
        <w:t xml:space="preserve"> </w:t>
      </w:r>
      <w:r w:rsidRPr="00347F33">
        <w:rPr>
          <w:rFonts w:eastAsia="Calibri" w:cs="Times New Roman"/>
        </w:rPr>
        <w:t xml:space="preserve">took place from April </w:t>
      </w:r>
      <w:r w:rsidR="009D44E3" w:rsidRPr="00347F33">
        <w:rPr>
          <w:rFonts w:eastAsia="Calibri" w:cs="Times New Roman"/>
        </w:rPr>
        <w:t>to</w:t>
      </w:r>
      <w:r w:rsidRPr="00347F33">
        <w:rPr>
          <w:rFonts w:eastAsia="Calibri" w:cs="Times New Roman"/>
        </w:rPr>
        <w:t xml:space="preserve"> June 2017, </w:t>
      </w:r>
      <w:r w:rsidR="00181AFA" w:rsidRPr="00347F33">
        <w:rPr>
          <w:rFonts w:eastAsia="Calibri" w:cs="Times New Roman"/>
        </w:rPr>
        <w:t>focusing</w:t>
      </w:r>
      <w:r w:rsidR="00AC613D" w:rsidRPr="00347F33">
        <w:rPr>
          <w:rFonts w:eastAsia="Calibri" w:cs="Times New Roman"/>
        </w:rPr>
        <w:t xml:space="preserve"> its </w:t>
      </w:r>
      <w:r w:rsidRPr="00347F33">
        <w:rPr>
          <w:rFonts w:eastAsia="Calibri" w:cs="Times New Roman"/>
        </w:rPr>
        <w:t>analys</w:t>
      </w:r>
      <w:r w:rsidR="00AC613D" w:rsidRPr="00347F33">
        <w:rPr>
          <w:rFonts w:eastAsia="Calibri" w:cs="Times New Roman"/>
        </w:rPr>
        <w:t>is</w:t>
      </w:r>
      <w:r w:rsidRPr="00347F33">
        <w:rPr>
          <w:rFonts w:eastAsia="Calibri" w:cs="Times New Roman"/>
        </w:rPr>
        <w:t xml:space="preserve"> on the relevance and effectiveness of PLP3.</w:t>
      </w:r>
    </w:p>
    <w:p w14:paraId="3F3E012B" w14:textId="77777777" w:rsidR="007A4D79" w:rsidRPr="00347F33" w:rsidRDefault="007A4D79" w:rsidP="00105CAD">
      <w:pPr>
        <w:pStyle w:val="ListParagraph"/>
        <w:numPr>
          <w:ilvl w:val="0"/>
          <w:numId w:val="64"/>
        </w:numPr>
        <w:spacing w:before="120"/>
        <w:contextualSpacing w:val="0"/>
        <w:rPr>
          <w:rFonts w:eastAsia="Calibri" w:cs="Times New Roman"/>
        </w:rPr>
      </w:pPr>
      <w:r w:rsidRPr="00347F33">
        <w:rPr>
          <w:rFonts w:eastAsia="Calibri" w:cs="Times New Roman"/>
        </w:rPr>
        <w:t>The Pacific Leadership Program (PLP) was conceived as a major initiative which came out of the 2006 White Paper</w:t>
      </w:r>
      <w:r w:rsidR="00AC613D" w:rsidRPr="00347F33">
        <w:rPr>
          <w:rFonts w:eastAsia="Calibri" w:cs="Times New Roman"/>
        </w:rPr>
        <w:t>,</w:t>
      </w:r>
      <w:r w:rsidRPr="00347F33">
        <w:rPr>
          <w:rFonts w:eastAsia="Calibri" w:cs="Times New Roman"/>
        </w:rPr>
        <w:t xml:space="preserve"> </w:t>
      </w:r>
      <w:r w:rsidRPr="00105CAD">
        <w:rPr>
          <w:rFonts w:eastAsia="Calibri" w:cs="Times New Roman"/>
          <w:i/>
        </w:rPr>
        <w:t>Australian Aid: Promoting Growth and Stability</w:t>
      </w:r>
      <w:r w:rsidR="00D84A98" w:rsidRPr="00347F33">
        <w:rPr>
          <w:rFonts w:eastAsia="Calibri" w:cs="Times New Roman"/>
        </w:rPr>
        <w:t>. The p</w:t>
      </w:r>
      <w:r w:rsidRPr="00347F33">
        <w:rPr>
          <w:rFonts w:eastAsia="Calibri" w:cs="Times New Roman"/>
        </w:rPr>
        <w:t xml:space="preserve">rogram began in 2008. Phase 3 began in July 2014 and is scheduled to conclude in December 2017. </w:t>
      </w:r>
      <w:r w:rsidR="00105CAD">
        <w:rPr>
          <w:rFonts w:eastAsia="Calibri" w:cs="Times New Roman"/>
        </w:rPr>
        <w:t>While the scope of this evaluation is phase 3, the program</w:t>
      </w:r>
      <w:r w:rsidR="00D84A98" w:rsidRPr="00347F33">
        <w:rPr>
          <w:rFonts w:eastAsia="Calibri" w:cs="Times New Roman"/>
        </w:rPr>
        <w:t xml:space="preserve"> </w:t>
      </w:r>
      <w:r w:rsidR="00845CA7" w:rsidRPr="00347F33">
        <w:rPr>
          <w:rFonts w:eastAsia="Calibri" w:cs="Times New Roman"/>
        </w:rPr>
        <w:t xml:space="preserve">can </w:t>
      </w:r>
      <w:r w:rsidR="006D0B55">
        <w:rPr>
          <w:rFonts w:eastAsia="Calibri" w:cs="Times New Roman"/>
        </w:rPr>
        <w:t>best</w:t>
      </w:r>
      <w:r w:rsidR="006D0B55" w:rsidRPr="00347F33">
        <w:rPr>
          <w:rFonts w:eastAsia="Calibri" w:cs="Times New Roman"/>
        </w:rPr>
        <w:t xml:space="preserve"> </w:t>
      </w:r>
      <w:r w:rsidR="00D84A98" w:rsidRPr="00347F33">
        <w:rPr>
          <w:rFonts w:eastAsia="Calibri" w:cs="Times New Roman"/>
        </w:rPr>
        <w:t xml:space="preserve">be understood as part of a longer story.  </w:t>
      </w:r>
      <w:r w:rsidRPr="00347F33">
        <w:rPr>
          <w:rFonts w:eastAsia="Calibri" w:cs="Times New Roman"/>
        </w:rPr>
        <w:t>The budget for PLP3 is approximately AUD15 million (2014 – 2017).</w:t>
      </w:r>
      <w:r w:rsidR="00D3246B" w:rsidRPr="00347F33">
        <w:rPr>
          <w:rFonts w:eastAsia="Calibri" w:cs="Times New Roman"/>
        </w:rPr>
        <w:t xml:space="preserve">  </w:t>
      </w:r>
    </w:p>
    <w:p w14:paraId="48BF9E92" w14:textId="77777777" w:rsidR="006D0B55" w:rsidRDefault="00A15694" w:rsidP="00105CAD">
      <w:pPr>
        <w:pStyle w:val="ListParagraph"/>
        <w:numPr>
          <w:ilvl w:val="0"/>
          <w:numId w:val="64"/>
        </w:numPr>
        <w:spacing w:before="120"/>
        <w:contextualSpacing w:val="0"/>
        <w:rPr>
          <w:rFonts w:eastAsia="Calibri" w:cs="Times New Roman"/>
        </w:rPr>
      </w:pPr>
      <w:r w:rsidRPr="00347F33">
        <w:rPr>
          <w:rFonts w:eastAsia="Calibri" w:cs="Times New Roman"/>
        </w:rPr>
        <w:t xml:space="preserve">PLP3 is based on an understanding of </w:t>
      </w:r>
      <w:r w:rsidR="00577243" w:rsidRPr="00347F33">
        <w:rPr>
          <w:rFonts w:eastAsia="Calibri" w:cs="Times New Roman"/>
        </w:rPr>
        <w:t xml:space="preserve">development </w:t>
      </w:r>
      <w:r w:rsidRPr="00347F33">
        <w:rPr>
          <w:rFonts w:eastAsia="Calibri" w:cs="Times New Roman"/>
        </w:rPr>
        <w:t>which involves a donor</w:t>
      </w:r>
      <w:r w:rsidR="007A4D79" w:rsidRPr="00347F33">
        <w:rPr>
          <w:rFonts w:eastAsia="Calibri" w:cs="Times New Roman"/>
        </w:rPr>
        <w:t xml:space="preserve"> </w:t>
      </w:r>
      <w:r w:rsidRPr="00347F33">
        <w:rPr>
          <w:rFonts w:eastAsia="Calibri" w:cs="Times New Roman"/>
        </w:rPr>
        <w:t xml:space="preserve">bringing resources of various types to </w:t>
      </w:r>
      <w:r w:rsidR="00AC613D" w:rsidRPr="00347F33">
        <w:rPr>
          <w:rFonts w:eastAsia="Calibri" w:cs="Times New Roman"/>
        </w:rPr>
        <w:t>developmental leaders</w:t>
      </w:r>
      <w:r w:rsidR="007A4D79" w:rsidRPr="00347F33">
        <w:rPr>
          <w:rFonts w:eastAsia="Calibri" w:cs="Times New Roman"/>
        </w:rPr>
        <w:t xml:space="preserve"> </w:t>
      </w:r>
      <w:r w:rsidRPr="00347F33">
        <w:rPr>
          <w:rFonts w:eastAsia="Calibri" w:cs="Times New Roman"/>
        </w:rPr>
        <w:t>to support them to achieve positive social change.</w:t>
      </w:r>
      <w:r w:rsidR="00ED622C">
        <w:rPr>
          <w:rStyle w:val="FootnoteReference"/>
          <w:rFonts w:eastAsia="Calibri" w:cs="Times New Roman"/>
        </w:rPr>
        <w:footnoteReference w:id="1"/>
      </w:r>
      <w:r w:rsidR="00AC613D" w:rsidRPr="00347F33">
        <w:rPr>
          <w:rFonts w:eastAsia="Calibri" w:cs="Times New Roman"/>
        </w:rPr>
        <w:t xml:space="preserve"> Essentially, </w:t>
      </w:r>
      <w:r w:rsidRPr="00347F33">
        <w:rPr>
          <w:rFonts w:eastAsia="Calibri" w:cs="Times New Roman"/>
        </w:rPr>
        <w:t>PLP is about doing development differently</w:t>
      </w:r>
      <w:r w:rsidR="00480EC7">
        <w:rPr>
          <w:rStyle w:val="FootnoteReference"/>
          <w:rFonts w:eastAsia="Calibri" w:cs="Times New Roman"/>
        </w:rPr>
        <w:footnoteReference w:id="2"/>
      </w:r>
      <w:r w:rsidR="00AC613D" w:rsidRPr="00347F33">
        <w:rPr>
          <w:rFonts w:eastAsia="Calibri" w:cs="Times New Roman"/>
        </w:rPr>
        <w:t xml:space="preserve">, with </w:t>
      </w:r>
      <w:r w:rsidR="00E7145A" w:rsidRPr="00347F33">
        <w:rPr>
          <w:rFonts w:eastAsia="Calibri" w:cs="Times New Roman"/>
        </w:rPr>
        <w:t xml:space="preserve">an </w:t>
      </w:r>
      <w:r w:rsidR="00AC613D" w:rsidRPr="00347F33">
        <w:rPr>
          <w:rFonts w:eastAsia="Calibri" w:cs="Times New Roman"/>
        </w:rPr>
        <w:t xml:space="preserve">emphasis </w:t>
      </w:r>
      <w:r w:rsidR="00181AFA" w:rsidRPr="00347F33">
        <w:rPr>
          <w:rFonts w:eastAsia="Calibri" w:cs="Times New Roman"/>
        </w:rPr>
        <w:t xml:space="preserve">on </w:t>
      </w:r>
      <w:r w:rsidR="00834DA8" w:rsidRPr="00347F33">
        <w:rPr>
          <w:rFonts w:eastAsia="Calibri" w:cs="Times New Roman"/>
        </w:rPr>
        <w:t>providing flexible, iterative and tailored support to</w:t>
      </w:r>
      <w:r w:rsidR="00181AFA" w:rsidRPr="00347F33">
        <w:rPr>
          <w:rFonts w:eastAsia="Calibri" w:cs="Times New Roman"/>
        </w:rPr>
        <w:t xml:space="preserve"> local</w:t>
      </w:r>
      <w:r w:rsidR="00AC613D" w:rsidRPr="00347F33">
        <w:rPr>
          <w:rFonts w:eastAsia="Calibri" w:cs="Times New Roman"/>
        </w:rPr>
        <w:t xml:space="preserve"> </w:t>
      </w:r>
      <w:r w:rsidR="00E7145A" w:rsidRPr="00347F33">
        <w:rPr>
          <w:rFonts w:eastAsia="Calibri" w:cs="Times New Roman"/>
        </w:rPr>
        <w:t>leaders and coalitions</w:t>
      </w:r>
      <w:r w:rsidR="007A4D79" w:rsidRPr="00347F33">
        <w:rPr>
          <w:rFonts w:eastAsia="Calibri" w:cs="Times New Roman"/>
        </w:rPr>
        <w:t>.</w:t>
      </w:r>
      <w:r w:rsidRPr="00347F33">
        <w:rPr>
          <w:rFonts w:eastAsia="Calibri" w:cs="Times New Roman"/>
        </w:rPr>
        <w:t xml:space="preserve"> </w:t>
      </w:r>
    </w:p>
    <w:p w14:paraId="7A33199B" w14:textId="77777777" w:rsidR="00A15694" w:rsidRPr="00347F33" w:rsidRDefault="0087033A" w:rsidP="00105CAD">
      <w:pPr>
        <w:pStyle w:val="ListParagraph"/>
        <w:numPr>
          <w:ilvl w:val="0"/>
          <w:numId w:val="64"/>
        </w:numPr>
        <w:spacing w:before="120"/>
        <w:contextualSpacing w:val="0"/>
        <w:rPr>
          <w:rFonts w:eastAsia="Calibri" w:cs="Times New Roman"/>
        </w:rPr>
      </w:pPr>
      <w:r>
        <w:t>In evaluating PLP3, it is critical to understand that the initial concept that led to phase 1 and the design of phase 3 are intentionally trying to do something that is different to the more common, pre-planned or ‘projecti</w:t>
      </w:r>
      <w:r w:rsidR="002B263B">
        <w:t>s</w:t>
      </w:r>
      <w:r>
        <w:t>ed’ approaches to development.</w:t>
      </w:r>
      <w:r>
        <w:rPr>
          <w:rStyle w:val="FootnoteReference"/>
        </w:rPr>
        <w:footnoteReference w:id="3"/>
      </w:r>
      <w:r>
        <w:t xml:space="preserve">  </w:t>
      </w:r>
      <w:r w:rsidR="00B731A2" w:rsidRPr="00347F33">
        <w:t xml:space="preserve">One way to understand </w:t>
      </w:r>
      <w:r w:rsidR="00480EC7">
        <w:t>PLP’s</w:t>
      </w:r>
      <w:r w:rsidR="00480EC7" w:rsidRPr="00347F33">
        <w:t xml:space="preserve"> </w:t>
      </w:r>
      <w:r w:rsidR="00B731A2" w:rsidRPr="00347F33">
        <w:t xml:space="preserve">approach is to </w:t>
      </w:r>
      <w:r w:rsidR="00480EC7">
        <w:t>reflect on the experience of The Asia Founda</w:t>
      </w:r>
      <w:r w:rsidR="006D0B55">
        <w:t>tion</w:t>
      </w:r>
      <w:r w:rsidR="00480EC7">
        <w:t xml:space="preserve"> </w:t>
      </w:r>
      <w:r w:rsidR="00ED622C">
        <w:t>which</w:t>
      </w:r>
      <w:r w:rsidR="006D0B55">
        <w:t>,</w:t>
      </w:r>
      <w:r w:rsidR="00ED622C">
        <w:t xml:space="preserve"> </w:t>
      </w:r>
      <w:r w:rsidR="00480EC7">
        <w:t>over several decades</w:t>
      </w:r>
      <w:r w:rsidR="00ED622C">
        <w:t xml:space="preserve">, </w:t>
      </w:r>
      <w:r w:rsidR="00480EC7">
        <w:t>has been implementing “highly responsive, politically informed, iterative, ‘searching’</w:t>
      </w:r>
      <w:r w:rsidR="00AD1BCA">
        <w:t xml:space="preserve"> </w:t>
      </w:r>
      <w:r w:rsidR="00480EC7">
        <w:t>models of assistance”.</w:t>
      </w:r>
      <w:r w:rsidR="00480EC7">
        <w:rPr>
          <w:rStyle w:val="FootnoteReference"/>
        </w:rPr>
        <w:footnoteReference w:id="4"/>
      </w:r>
      <w:r w:rsidR="00480EC7">
        <w:t xml:space="preserve">  </w:t>
      </w:r>
      <w:r w:rsidR="00ED622C">
        <w:t xml:space="preserve">While each program is different, </w:t>
      </w:r>
      <w:r>
        <w:t>these</w:t>
      </w:r>
      <w:r w:rsidR="00ED622C">
        <w:t xml:space="preserve"> approach</w:t>
      </w:r>
      <w:r>
        <w:t>es</w:t>
      </w:r>
      <w:r w:rsidR="00ED622C">
        <w:t xml:space="preserve">, like PLP, share </w:t>
      </w:r>
      <w:r w:rsidR="00AD1BCA">
        <w:t>similar</w:t>
      </w:r>
      <w:r w:rsidR="00ED622C">
        <w:t xml:space="preserve"> characteristics including a</w:t>
      </w:r>
      <w:r w:rsidR="00D20AAF">
        <w:t>n em</w:t>
      </w:r>
      <w:r w:rsidR="00ED622C">
        <w:t xml:space="preserve">phasis on </w:t>
      </w:r>
      <w:r w:rsidR="00D20AAF">
        <w:t>“</w:t>
      </w:r>
      <w:r w:rsidR="00ED622C">
        <w:t>contextual knowledge and relationships, combined with multiple small, nuanced and carefully targeted interventions, working closely with local partners”.</w:t>
      </w:r>
      <w:r w:rsidR="00ED622C">
        <w:rPr>
          <w:rStyle w:val="FootnoteReference"/>
        </w:rPr>
        <w:footnoteReference w:id="5"/>
      </w:r>
      <w:r w:rsidR="00ED622C">
        <w:t xml:space="preserve"> </w:t>
      </w:r>
      <w:r>
        <w:t xml:space="preserve"> </w:t>
      </w:r>
    </w:p>
    <w:p w14:paraId="156A55F5" w14:textId="77777777" w:rsidR="007428EC" w:rsidRPr="00D20AAF" w:rsidRDefault="007428EC" w:rsidP="001C3654">
      <w:pPr>
        <w:pStyle w:val="ListParagraph"/>
        <w:numPr>
          <w:ilvl w:val="0"/>
          <w:numId w:val="64"/>
        </w:numPr>
        <w:spacing w:before="120"/>
        <w:contextualSpacing w:val="0"/>
        <w:rPr>
          <w:rFonts w:eastAsia="Calibri" w:cs="Times New Roman"/>
        </w:rPr>
      </w:pPr>
      <w:r w:rsidRPr="00D20AAF">
        <w:rPr>
          <w:rFonts w:eastAsia="Calibri" w:cs="Times New Roman"/>
        </w:rPr>
        <w:t>If we understand Australia’s national interests in the Pacific to be to support change which will promote stability, effective governance and inclusive economic growth, then the focus of PLP3 on developmental leadership is still relevant, as one tool among others.</w:t>
      </w:r>
      <w:r w:rsidRPr="00D20AAF">
        <w:rPr>
          <w:rStyle w:val="FootnoteReference"/>
          <w:rFonts w:eastAsia="Calibri" w:cs="Times New Roman"/>
        </w:rPr>
        <w:footnoteReference w:id="6"/>
      </w:r>
      <w:r w:rsidRPr="00D20AAF">
        <w:rPr>
          <w:rFonts w:eastAsia="Calibri" w:cs="Times New Roman"/>
        </w:rPr>
        <w:t xml:space="preserve">  PLP3’s priority areas of women’s leadership and its long-term support to peak private sector bodies (i.e. PIPSO and national level chambers of commerce) are well aligned with the Australian Government’s highest aid priorities. PLP’s long-term focus on youth, and youth employment, also represent a recognised critical development challenge for the Pacific.  </w:t>
      </w:r>
    </w:p>
    <w:p w14:paraId="2B705B37" w14:textId="77777777" w:rsidR="00E7145A" w:rsidRPr="00347F33" w:rsidRDefault="00E7145A" w:rsidP="00105CAD">
      <w:pPr>
        <w:pStyle w:val="ListParagraph"/>
        <w:numPr>
          <w:ilvl w:val="0"/>
          <w:numId w:val="64"/>
        </w:numPr>
        <w:spacing w:before="120"/>
        <w:contextualSpacing w:val="0"/>
      </w:pPr>
      <w:r w:rsidRPr="00D20AAF">
        <w:rPr>
          <w:rFonts w:eastAsia="Calibri" w:cs="Times New Roman"/>
        </w:rPr>
        <w:t xml:space="preserve">The evaluation’s broad conclusion is that </w:t>
      </w:r>
      <w:r w:rsidR="00D84A98" w:rsidRPr="00D20AAF">
        <w:rPr>
          <w:rFonts w:eastAsia="Calibri" w:cs="Times New Roman"/>
        </w:rPr>
        <w:t>th</w:t>
      </w:r>
      <w:r w:rsidR="00D36748" w:rsidRPr="00D20AAF">
        <w:rPr>
          <w:rFonts w:eastAsia="Calibri" w:cs="Times New Roman"/>
        </w:rPr>
        <w:t>is politically-informed, ‘searching’ and flexible</w:t>
      </w:r>
      <w:r w:rsidR="00D84A98" w:rsidRPr="00D20AAF">
        <w:rPr>
          <w:rFonts w:eastAsia="Calibri" w:cs="Times New Roman"/>
        </w:rPr>
        <w:t xml:space="preserve"> </w:t>
      </w:r>
      <w:r w:rsidR="0087033A" w:rsidRPr="00D20AAF">
        <w:rPr>
          <w:rFonts w:eastAsia="Calibri" w:cs="Times New Roman"/>
        </w:rPr>
        <w:t>approach</w:t>
      </w:r>
      <w:r w:rsidR="006D0B55" w:rsidRPr="00D20AAF">
        <w:rPr>
          <w:rFonts w:eastAsia="Calibri" w:cs="Times New Roman"/>
        </w:rPr>
        <w:t xml:space="preserve"> </w:t>
      </w:r>
      <w:r w:rsidR="00D20AAF">
        <w:rPr>
          <w:rFonts w:eastAsia="Calibri" w:cs="Times New Roman"/>
        </w:rPr>
        <w:t>(</w:t>
      </w:r>
      <w:r w:rsidR="006D0B55" w:rsidRPr="00D20AAF">
        <w:rPr>
          <w:rFonts w:eastAsia="Calibri" w:cs="Times New Roman"/>
        </w:rPr>
        <w:t xml:space="preserve">which defines the </w:t>
      </w:r>
      <w:r w:rsidR="00D84A98" w:rsidRPr="00D20AAF">
        <w:rPr>
          <w:rFonts w:eastAsia="Calibri" w:cs="Times New Roman"/>
        </w:rPr>
        <w:t xml:space="preserve">Pacific Leadership Program </w:t>
      </w:r>
      <w:r w:rsidRPr="00D20AAF">
        <w:rPr>
          <w:rFonts w:eastAsia="Calibri" w:cs="Times New Roman"/>
        </w:rPr>
        <w:t>Phase 3</w:t>
      </w:r>
      <w:r w:rsidR="00D20AAF">
        <w:rPr>
          <w:rFonts w:eastAsia="Calibri" w:cs="Times New Roman"/>
        </w:rPr>
        <w:t>)</w:t>
      </w:r>
      <w:r w:rsidRPr="00D20AAF">
        <w:rPr>
          <w:rFonts w:eastAsia="Calibri" w:cs="Times New Roman"/>
        </w:rPr>
        <w:t xml:space="preserve"> remains highly relevant to Pacific partners and the Australian Government’s foreign policy and development priorities in the Pacific</w:t>
      </w:r>
      <w:r w:rsidRPr="00347F33">
        <w:t xml:space="preserve"> region. However,</w:t>
      </w:r>
      <w:r w:rsidR="00242A34">
        <w:t xml:space="preserve"> PLP3 is operating in a different environment than phase 1 and 2, and</w:t>
      </w:r>
      <w:r w:rsidRPr="00347F33">
        <w:t xml:space="preserve"> to be highly effective in the current context, the </w:t>
      </w:r>
      <w:r w:rsidR="006D0B55">
        <w:t>investment</w:t>
      </w:r>
      <w:r w:rsidR="006D0B55" w:rsidRPr="00347F33">
        <w:t xml:space="preserve"> </w:t>
      </w:r>
      <w:r w:rsidRPr="00347F33">
        <w:t>needs to be reshaped</w:t>
      </w:r>
      <w:r w:rsidR="00242A34">
        <w:t>.</w:t>
      </w:r>
      <w:r w:rsidRPr="00347F33">
        <w:t xml:space="preserve"> </w:t>
      </w:r>
    </w:p>
    <w:p w14:paraId="10682433" w14:textId="77777777" w:rsidR="00181AFA" w:rsidRPr="00347F33" w:rsidRDefault="00181AFA" w:rsidP="00D20AAF">
      <w:pPr>
        <w:pStyle w:val="ListParagraph"/>
        <w:keepNext/>
        <w:keepLines/>
        <w:numPr>
          <w:ilvl w:val="0"/>
          <w:numId w:val="64"/>
        </w:numPr>
        <w:spacing w:before="120"/>
        <w:contextualSpacing w:val="0"/>
        <w:rPr>
          <w:rFonts w:eastAsia="Calibri" w:cs="Times New Roman"/>
        </w:rPr>
      </w:pPr>
      <w:r w:rsidRPr="00347F33">
        <w:rPr>
          <w:rFonts w:eastAsia="Calibri" w:cs="Times New Roman"/>
        </w:rPr>
        <w:lastRenderedPageBreak/>
        <w:t>High level findings</w:t>
      </w:r>
      <w:r w:rsidR="00F85CE0">
        <w:rPr>
          <w:rFonts w:eastAsia="Calibri" w:cs="Times New Roman"/>
        </w:rPr>
        <w:t xml:space="preserve"> from the evaluation </w:t>
      </w:r>
      <w:r w:rsidRPr="00347F33">
        <w:rPr>
          <w:rFonts w:eastAsia="Calibri" w:cs="Times New Roman"/>
        </w:rPr>
        <w:t>include:</w:t>
      </w:r>
    </w:p>
    <w:p w14:paraId="06417C7E" w14:textId="77777777" w:rsidR="00181AFA" w:rsidRPr="005D64EB" w:rsidRDefault="00181AFA" w:rsidP="00D20AAF">
      <w:pPr>
        <w:pStyle w:val="SDAbulletpoints"/>
        <w:keepNext/>
        <w:keepLines/>
      </w:pPr>
      <w:r w:rsidRPr="006D0B55">
        <w:t>PLP3 has provided space for experimentation, learning and innovation around how Australia can support developmental leadership</w:t>
      </w:r>
      <w:r w:rsidR="005D64EB">
        <w:rPr>
          <w:rStyle w:val="FootnoteReference"/>
        </w:rPr>
        <w:footnoteReference w:id="7"/>
      </w:r>
      <w:r w:rsidRPr="006D0B55">
        <w:t xml:space="preserve"> and coalitions for</w:t>
      </w:r>
      <w:r w:rsidRPr="005D64EB">
        <w:t xml:space="preserve"> change in the Pacific.  </w:t>
      </w:r>
    </w:p>
    <w:p w14:paraId="19519796" w14:textId="77777777" w:rsidR="00181AFA" w:rsidRPr="005D64EB" w:rsidRDefault="00181AFA" w:rsidP="001C3654">
      <w:pPr>
        <w:pStyle w:val="SDAbulletpoints"/>
      </w:pPr>
      <w:r w:rsidRPr="005D64EB">
        <w:t>PLP3 has generated knowledge that is relevant to its stakeholders</w:t>
      </w:r>
      <w:r w:rsidR="00242A34">
        <w:t>, particularly to its Pacific partners and to an academic audience</w:t>
      </w:r>
      <w:r w:rsidR="007C60DB">
        <w:t xml:space="preserve"> (Result Stream 1)</w:t>
      </w:r>
      <w:r w:rsidRPr="005D64EB">
        <w:t>.</w:t>
      </w:r>
      <w:r w:rsidR="00F85CE0">
        <w:rPr>
          <w:rStyle w:val="FootnoteReference"/>
        </w:rPr>
        <w:footnoteReference w:id="8"/>
      </w:r>
      <w:r w:rsidRPr="005D64EB">
        <w:t xml:space="preserve"> However, knowledge and lessons from PLP’s experience have been slow in coming, with many key studies still being finalised.</w:t>
      </w:r>
      <w:r w:rsidR="005D64EB">
        <w:rPr>
          <w:rStyle w:val="FootnoteReference"/>
        </w:rPr>
        <w:footnoteReference w:id="9"/>
      </w:r>
      <w:r w:rsidRPr="005D64EB">
        <w:t xml:space="preserve">  </w:t>
      </w:r>
    </w:p>
    <w:p w14:paraId="6A31169A" w14:textId="5291C85E" w:rsidR="00246556" w:rsidRDefault="00181AFA" w:rsidP="001C3654">
      <w:pPr>
        <w:pStyle w:val="SDAbulletpoints"/>
      </w:pPr>
      <w:r w:rsidRPr="005D64EB">
        <w:t xml:space="preserve">PLP3 has been its most effective in supporting collective action </w:t>
      </w:r>
      <w:r w:rsidR="00242A34">
        <w:t xml:space="preserve">led </w:t>
      </w:r>
      <w:r w:rsidRPr="005D64EB">
        <w:t>by Pacific Island leaders</w:t>
      </w:r>
      <w:r w:rsidR="00C33AFE" w:rsidRPr="005D64EB">
        <w:t xml:space="preserve"> </w:t>
      </w:r>
      <w:r w:rsidR="00964E34" w:rsidRPr="005D64EB">
        <w:t xml:space="preserve">and coalitions </w:t>
      </w:r>
      <w:r w:rsidR="00C33AFE" w:rsidRPr="005D64EB">
        <w:t>(particularly at the national and sub-national level</w:t>
      </w:r>
      <w:r w:rsidR="00337BEC" w:rsidRPr="005D64EB">
        <w:t>s</w:t>
      </w:r>
      <w:r w:rsidR="00C33AFE" w:rsidRPr="005D64EB">
        <w:t>)</w:t>
      </w:r>
      <w:r w:rsidRPr="005D64EB">
        <w:t xml:space="preserve"> in pursuit of policy and institutional changes and reforms</w:t>
      </w:r>
      <w:r w:rsidR="007C60DB">
        <w:t xml:space="preserve"> (Result Stream 2)</w:t>
      </w:r>
      <w:r w:rsidRPr="005D64EB">
        <w:t>.</w:t>
      </w:r>
      <w:r w:rsidR="00FF4EC0">
        <w:rPr>
          <w:rStyle w:val="FootnoteReference"/>
        </w:rPr>
        <w:footnoteReference w:id="10"/>
      </w:r>
      <w:r w:rsidRPr="005D64EB">
        <w:t xml:space="preserve"> </w:t>
      </w:r>
    </w:p>
    <w:p w14:paraId="783D0C3A" w14:textId="7809F64F" w:rsidR="00181AFA" w:rsidRPr="007C60DB" w:rsidRDefault="00246556" w:rsidP="001C3654">
      <w:pPr>
        <w:pStyle w:val="SDAbulletpoints"/>
      </w:pPr>
      <w:r w:rsidRPr="00FB0282">
        <w:rPr>
          <w:rFonts w:eastAsia="Calibri" w:cs="Times New Roman"/>
        </w:rPr>
        <w:t>PLP3 can claim to have played a role in supporting a number of policy and institutional changes across the Pacific for the public good, but not to the level of ambition articulated in the design</w:t>
      </w:r>
      <w:r w:rsidR="005F4273">
        <w:rPr>
          <w:rFonts w:eastAsia="Calibri" w:cs="Times New Roman"/>
        </w:rPr>
        <w:t xml:space="preserve"> (Result Stream 3</w:t>
      </w:r>
      <w:r w:rsidR="007C60DB">
        <w:rPr>
          <w:rFonts w:eastAsia="Calibri" w:cs="Times New Roman"/>
        </w:rPr>
        <w:t>)</w:t>
      </w:r>
      <w:r w:rsidRPr="00FB0282">
        <w:rPr>
          <w:rFonts w:eastAsia="Calibri" w:cs="Times New Roman"/>
        </w:rPr>
        <w:t>.</w:t>
      </w:r>
      <w:r w:rsidR="00FF4EC0" w:rsidRPr="00FF4EC0">
        <w:rPr>
          <w:rStyle w:val="FootnoteReference"/>
        </w:rPr>
        <w:t xml:space="preserve"> </w:t>
      </w:r>
      <w:r w:rsidR="00FF4EC0">
        <w:rPr>
          <w:rStyle w:val="FootnoteReference"/>
        </w:rPr>
        <w:footnoteReference w:id="11"/>
      </w:r>
      <w:r w:rsidR="00FF4EC0" w:rsidRPr="005D64EB">
        <w:t xml:space="preserve"> </w:t>
      </w:r>
      <w:r w:rsidRPr="00246556">
        <w:rPr>
          <w:rFonts w:eastAsia="Calibri" w:cs="Times New Roman"/>
        </w:rPr>
        <w:t xml:space="preserve"> </w:t>
      </w:r>
      <w:r w:rsidR="00181AFA" w:rsidRPr="007C60DB">
        <w:t xml:space="preserve"> </w:t>
      </w:r>
    </w:p>
    <w:p w14:paraId="590AF7B1" w14:textId="77777777" w:rsidR="00181AFA" w:rsidRPr="005D64EB" w:rsidRDefault="00181AFA" w:rsidP="001C3654">
      <w:pPr>
        <w:pStyle w:val="SDAbulletpoints"/>
      </w:pPr>
      <w:r w:rsidRPr="005D64EB">
        <w:t>PLP3 has been its least effective in communicating with influenc</w:t>
      </w:r>
      <w:r w:rsidR="009D44E3" w:rsidRPr="005D64EB">
        <w:t>e</w:t>
      </w:r>
      <w:r w:rsidRPr="005D64EB">
        <w:t xml:space="preserve">, especially </w:t>
      </w:r>
      <w:r w:rsidR="00964E34" w:rsidRPr="005D64EB">
        <w:t>with</w:t>
      </w:r>
      <w:r w:rsidRPr="005D64EB">
        <w:t xml:space="preserve"> DFAT</w:t>
      </w:r>
      <w:r w:rsidR="005F4273">
        <w:t xml:space="preserve"> (Result Stream 4</w:t>
      </w:r>
      <w:r w:rsidR="007C60DB">
        <w:t>)</w:t>
      </w:r>
      <w:r w:rsidRPr="005D64EB">
        <w:t>.</w:t>
      </w:r>
      <w:r w:rsidR="005D64EB">
        <w:rPr>
          <w:rStyle w:val="FootnoteReference"/>
        </w:rPr>
        <w:footnoteReference w:id="12"/>
      </w:r>
      <w:r w:rsidRPr="005D64EB">
        <w:t xml:space="preserve"> </w:t>
      </w:r>
    </w:p>
    <w:p w14:paraId="14CD2D6D" w14:textId="77777777" w:rsidR="00845CA7" w:rsidRPr="00AD475E" w:rsidRDefault="00845CA7" w:rsidP="001C3654">
      <w:pPr>
        <w:pStyle w:val="SDAbulletpoints"/>
      </w:pPr>
      <w:r w:rsidRPr="00AD475E">
        <w:t xml:space="preserve">This type of work takes time. Lessons from </w:t>
      </w:r>
      <w:r w:rsidR="00AD475E">
        <w:t xml:space="preserve">international </w:t>
      </w:r>
      <w:r w:rsidR="00F85CE0">
        <w:t xml:space="preserve">experience </w:t>
      </w:r>
      <w:r w:rsidR="00AD475E">
        <w:t xml:space="preserve">and </w:t>
      </w:r>
      <w:r w:rsidRPr="00AD475E">
        <w:t>Australia’s own development practice suggest the need for long-term strategies (in the order of 10-20 years).</w:t>
      </w:r>
      <w:r w:rsidR="00AD475E">
        <w:rPr>
          <w:rStyle w:val="FootnoteReference"/>
        </w:rPr>
        <w:footnoteReference w:id="13"/>
      </w:r>
      <w:r w:rsidRPr="00AD475E">
        <w:t xml:space="preserve">  </w:t>
      </w:r>
    </w:p>
    <w:p w14:paraId="1E546632" w14:textId="5F40FC60" w:rsidR="007E0C92" w:rsidRPr="00530EC1" w:rsidRDefault="00A46C87" w:rsidP="007E0C92">
      <w:pPr>
        <w:pStyle w:val="ListParagraph"/>
        <w:numPr>
          <w:ilvl w:val="0"/>
          <w:numId w:val="64"/>
        </w:numPr>
        <w:spacing w:before="120"/>
        <w:contextualSpacing w:val="0"/>
        <w:rPr>
          <w:rFonts w:eastAsia="Calibri" w:cs="Times New Roman"/>
        </w:rPr>
      </w:pPr>
      <w:r w:rsidRPr="00F14E5C">
        <w:rPr>
          <w:rFonts w:eastAsia="Calibri" w:cs="Times New Roman"/>
        </w:rPr>
        <w:t xml:space="preserve">A number of factors influencing the operating environment of PLP3 have constrained the effectiveness of the program. </w:t>
      </w:r>
      <w:r w:rsidR="007E0C92">
        <w:rPr>
          <w:rFonts w:eastAsia="Calibri" w:cs="Times New Roman"/>
        </w:rPr>
        <w:t>These</w:t>
      </w:r>
      <w:r w:rsidR="002E0AD1">
        <w:rPr>
          <w:rFonts w:eastAsia="Calibri" w:cs="Times New Roman"/>
        </w:rPr>
        <w:t xml:space="preserve"> </w:t>
      </w:r>
      <w:r w:rsidR="007E0C92" w:rsidRPr="00530EC1">
        <w:rPr>
          <w:rFonts w:eastAsia="Calibri" w:cs="Times New Roman"/>
        </w:rPr>
        <w:t>include:</w:t>
      </w:r>
    </w:p>
    <w:p w14:paraId="26E15D77" w14:textId="77777777" w:rsidR="007E0C92" w:rsidRPr="00530EC1" w:rsidRDefault="007E0C92" w:rsidP="007E0C92">
      <w:pPr>
        <w:pStyle w:val="SDAbulletpoints"/>
      </w:pPr>
      <w:r>
        <w:rPr>
          <w:rFonts w:eastAsia="Calibri" w:cs="Times New Roman"/>
        </w:rPr>
        <w:t>Unlike earlier phases, t</w:t>
      </w:r>
      <w:r w:rsidRPr="00530EC1">
        <w:t xml:space="preserve">he </w:t>
      </w:r>
      <w:r>
        <w:t xml:space="preserve">design of </w:t>
      </w:r>
      <w:r w:rsidRPr="00530EC1">
        <w:t xml:space="preserve">PLP3 </w:t>
      </w:r>
      <w:r>
        <w:t>did not include</w:t>
      </w:r>
      <w:r w:rsidRPr="00530EC1">
        <w:t xml:space="preserve"> co-location of DFAT staff within the PLP team, moving it to a purely managing contractor modality</w:t>
      </w:r>
    </w:p>
    <w:p w14:paraId="2ECB54C8" w14:textId="62E56BA9" w:rsidR="007E0C92" w:rsidRPr="00530EC1" w:rsidRDefault="007E0C92" w:rsidP="007E0C92">
      <w:pPr>
        <w:pStyle w:val="SDAbulletpoints"/>
      </w:pPr>
      <w:r w:rsidRPr="00530EC1">
        <w:t>With DFAT-AusAID integration, the role of the DFAT Suva Post changed in regard to regional programs, with overall strategic direction returning to DFAT Canberra</w:t>
      </w:r>
      <w:r w:rsidR="009C4652">
        <w:t>,</w:t>
      </w:r>
      <w:r w:rsidR="005D2375">
        <w:t xml:space="preserve"> and </w:t>
      </w:r>
      <w:r w:rsidRPr="00530EC1">
        <w:t xml:space="preserve">HOMs in the Pacific assuming responsibility for </w:t>
      </w:r>
      <w:r w:rsidR="00964609">
        <w:t xml:space="preserve">their respective </w:t>
      </w:r>
      <w:r>
        <w:t xml:space="preserve">bilateral </w:t>
      </w:r>
      <w:r w:rsidRPr="00530EC1">
        <w:t xml:space="preserve">development programs </w:t>
      </w:r>
    </w:p>
    <w:p w14:paraId="49803920" w14:textId="77777777" w:rsidR="007E0C92" w:rsidRPr="00530EC1" w:rsidRDefault="007E0C92" w:rsidP="007E0C92">
      <w:pPr>
        <w:pStyle w:val="SDAbulletpoints"/>
      </w:pPr>
      <w:r w:rsidRPr="00530EC1">
        <w:t xml:space="preserve">Reduced </w:t>
      </w:r>
      <w:r>
        <w:t xml:space="preserve">senior executive </w:t>
      </w:r>
      <w:r w:rsidRPr="00530EC1">
        <w:t xml:space="preserve">resources at DFAT Suva Post </w:t>
      </w:r>
    </w:p>
    <w:p w14:paraId="571C4A81" w14:textId="77777777" w:rsidR="007E0C92" w:rsidRDefault="007E0C92" w:rsidP="007E0C92">
      <w:pPr>
        <w:pStyle w:val="SDAbulletpoints"/>
      </w:pPr>
      <w:r w:rsidRPr="0081086E">
        <w:t>A high level of on-going uncertainty in relation to the program, its budget and its leadership</w:t>
      </w:r>
      <w:r>
        <w:t xml:space="preserve"> (including the death</w:t>
      </w:r>
      <w:r w:rsidRPr="00530EC1">
        <w:t xml:space="preserve"> of PLP’s deputy team leader early in phase 3</w:t>
      </w:r>
      <w:r>
        <w:t>, and the f</w:t>
      </w:r>
      <w:r w:rsidRPr="00530EC1">
        <w:t>ailure to replace the deputy team leader and recruit an influential Pacific Islander as team leader, although two attempts were made to do so</w:t>
      </w:r>
      <w:r>
        <w:t>)</w:t>
      </w:r>
    </w:p>
    <w:p w14:paraId="73631472" w14:textId="77777777" w:rsidR="007E0C92" w:rsidRPr="0081086E" w:rsidRDefault="007E0C92" w:rsidP="007E0C92">
      <w:pPr>
        <w:pStyle w:val="SDAbulletpoints"/>
      </w:pPr>
      <w:r w:rsidRPr="0081086E">
        <w:t>Loss of PLP ‘champions’ within DFAT Canberra able to articulate the program’s value</w:t>
      </w:r>
      <w:r>
        <w:t>.</w:t>
      </w:r>
      <w:r w:rsidRPr="0081086E">
        <w:t xml:space="preserve"> </w:t>
      </w:r>
    </w:p>
    <w:p w14:paraId="3B145499" w14:textId="77777777" w:rsidR="00A46C87" w:rsidRDefault="00A46C87" w:rsidP="00105CAD">
      <w:pPr>
        <w:pStyle w:val="ListParagraph"/>
        <w:numPr>
          <w:ilvl w:val="0"/>
          <w:numId w:val="64"/>
        </w:numPr>
        <w:spacing w:before="120"/>
        <w:contextualSpacing w:val="0"/>
        <w:rPr>
          <w:rFonts w:eastAsia="Calibri" w:cs="Times New Roman"/>
        </w:rPr>
      </w:pPr>
      <w:r w:rsidRPr="00347F33">
        <w:rPr>
          <w:rFonts w:eastAsia="Calibri" w:cs="Times New Roman"/>
        </w:rPr>
        <w:lastRenderedPageBreak/>
        <w:t xml:space="preserve">In phase 3, DFAT has not been able to provide </w:t>
      </w:r>
      <w:r>
        <w:rPr>
          <w:rFonts w:eastAsia="Calibri" w:cs="Times New Roman"/>
        </w:rPr>
        <w:t>the</w:t>
      </w:r>
      <w:r w:rsidRPr="00347F33">
        <w:rPr>
          <w:rFonts w:eastAsia="Calibri" w:cs="Times New Roman"/>
        </w:rPr>
        <w:t xml:space="preserve"> enabling environment which is critical to programs like PLP that seek to be experimental, adaptive and iterative.</w:t>
      </w:r>
      <w:r w:rsidRPr="00FF4839">
        <w:rPr>
          <w:rStyle w:val="FootnoteReference"/>
          <w:rFonts w:eastAsia="Calibri" w:cs="Times New Roman"/>
        </w:rPr>
        <w:t xml:space="preserve"> </w:t>
      </w:r>
      <w:r>
        <w:rPr>
          <w:rStyle w:val="FootnoteReference"/>
          <w:rFonts w:eastAsia="Calibri" w:cs="Times New Roman"/>
        </w:rPr>
        <w:footnoteReference w:id="14"/>
      </w:r>
      <w:r w:rsidRPr="00347F33">
        <w:rPr>
          <w:rFonts w:eastAsia="Calibri" w:cs="Times New Roman"/>
        </w:rPr>
        <w:t xml:space="preserve"> </w:t>
      </w:r>
      <w:r>
        <w:rPr>
          <w:rFonts w:eastAsia="Calibri" w:cs="Times New Roman"/>
        </w:rPr>
        <w:t xml:space="preserve"> </w:t>
      </w:r>
      <w:r w:rsidRPr="00347F33">
        <w:rPr>
          <w:rFonts w:eastAsia="Calibri" w:cs="Times New Roman"/>
        </w:rPr>
        <w:t xml:space="preserve">In turn, the PLP3 team and its managing contractor have not been able to successfully navigate this changed context in a way that would have better supported the effectiveness and relevance of PLP3. </w:t>
      </w:r>
    </w:p>
    <w:p w14:paraId="15FE3CBD" w14:textId="77777777" w:rsidR="00E7145A" w:rsidRPr="00347F33" w:rsidRDefault="00845CA7" w:rsidP="00105CAD">
      <w:pPr>
        <w:pStyle w:val="ListParagraph"/>
        <w:numPr>
          <w:ilvl w:val="0"/>
          <w:numId w:val="64"/>
        </w:numPr>
        <w:spacing w:before="120"/>
        <w:contextualSpacing w:val="0"/>
        <w:rPr>
          <w:rFonts w:eastAsia="Calibri" w:cs="Times New Roman"/>
        </w:rPr>
      </w:pPr>
      <w:r w:rsidRPr="00347F33">
        <w:rPr>
          <w:rFonts w:eastAsia="Calibri" w:cs="Times New Roman"/>
        </w:rPr>
        <w:t>Limited</w:t>
      </w:r>
      <w:r w:rsidR="00E7145A" w:rsidRPr="00347F33">
        <w:rPr>
          <w:rFonts w:eastAsia="Calibri" w:cs="Times New Roman"/>
        </w:rPr>
        <w:t xml:space="preserve"> strategic leadership has been a key factor constraining the effectiveness of PLP3, especially its ability to communicate with influence.  By strategic leadership, </w:t>
      </w:r>
      <w:r w:rsidR="00C33AFE" w:rsidRPr="00347F33">
        <w:rPr>
          <w:rFonts w:eastAsia="Calibri" w:cs="Times New Roman"/>
        </w:rPr>
        <w:t>w</w:t>
      </w:r>
      <w:r w:rsidR="00E7145A" w:rsidRPr="00347F33">
        <w:rPr>
          <w:rFonts w:eastAsia="Calibri" w:cs="Times New Roman"/>
        </w:rPr>
        <w:t xml:space="preserve">e mean the collective high-level leadership of the program, which includes the managing contractor, the team leader, the PLP Advisory Panel and DFAT (at various levels and locations).    </w:t>
      </w:r>
    </w:p>
    <w:p w14:paraId="556CD941" w14:textId="78956BDA" w:rsidR="000C0E6F" w:rsidRPr="00347F33" w:rsidRDefault="000C0E6F" w:rsidP="000C0E6F">
      <w:pPr>
        <w:pStyle w:val="ListParagraph"/>
        <w:numPr>
          <w:ilvl w:val="0"/>
          <w:numId w:val="64"/>
        </w:numPr>
        <w:spacing w:before="120"/>
        <w:contextualSpacing w:val="0"/>
        <w:rPr>
          <w:rFonts w:eastAsia="Calibri" w:cs="Times New Roman"/>
        </w:rPr>
      </w:pPr>
      <w:r w:rsidRPr="00FF4839">
        <w:rPr>
          <w:rFonts w:eastAsia="Calibri" w:cs="Times New Roman"/>
        </w:rPr>
        <w:t>With the benefit of hindsi</w:t>
      </w:r>
      <w:r w:rsidR="00F6733F">
        <w:rPr>
          <w:rFonts w:eastAsia="Calibri" w:cs="Times New Roman"/>
        </w:rPr>
        <w:t>ght, the design for phase 3</w:t>
      </w:r>
      <w:r w:rsidRPr="00FF4839">
        <w:rPr>
          <w:rFonts w:eastAsia="Calibri" w:cs="Times New Roman"/>
        </w:rPr>
        <w:t xml:space="preserve"> appears over</w:t>
      </w:r>
      <w:r w:rsidR="00C45638">
        <w:rPr>
          <w:rFonts w:eastAsia="Calibri" w:cs="Times New Roman"/>
        </w:rPr>
        <w:t>ly</w:t>
      </w:r>
      <w:r w:rsidRPr="00FF4839">
        <w:rPr>
          <w:rFonts w:eastAsia="Calibri" w:cs="Times New Roman"/>
        </w:rPr>
        <w:t xml:space="preserve"> ambitious.</w:t>
      </w:r>
      <w:r w:rsidRPr="00FF4839">
        <w:rPr>
          <w:rStyle w:val="FootnoteReference"/>
          <w:rFonts w:eastAsia="Calibri" w:cs="Times New Roman"/>
        </w:rPr>
        <w:footnoteReference w:id="15"/>
      </w:r>
      <w:r>
        <w:rPr>
          <w:rFonts w:eastAsia="Calibri" w:cs="Times New Roman"/>
        </w:rPr>
        <w:t xml:space="preserve"> </w:t>
      </w:r>
      <w:r w:rsidRPr="00FF4839">
        <w:rPr>
          <w:rFonts w:eastAsia="Calibri" w:cs="Times New Roman"/>
        </w:rPr>
        <w:t xml:space="preserve"> </w:t>
      </w:r>
      <w:r>
        <w:rPr>
          <w:rFonts w:eastAsia="Calibri" w:cs="Times New Roman"/>
        </w:rPr>
        <w:t xml:space="preserve"> </w:t>
      </w:r>
      <w:r w:rsidRPr="00FF4839">
        <w:rPr>
          <w:rFonts w:eastAsia="Calibri" w:cs="Times New Roman"/>
        </w:rPr>
        <w:t xml:space="preserve">The </w:t>
      </w:r>
      <w:r w:rsidR="00F85CE0">
        <w:rPr>
          <w:rFonts w:eastAsia="Calibri" w:cs="Times New Roman"/>
        </w:rPr>
        <w:t xml:space="preserve">shift in phase 3 to viewing the program’s ability to generate and communicate knowledge as a significant measure of </w:t>
      </w:r>
      <w:r w:rsidR="007E0C92">
        <w:rPr>
          <w:rFonts w:eastAsia="Calibri" w:cs="Times New Roman"/>
        </w:rPr>
        <w:t xml:space="preserve">its </w:t>
      </w:r>
      <w:r w:rsidR="00F85CE0">
        <w:rPr>
          <w:rFonts w:eastAsia="Calibri" w:cs="Times New Roman"/>
        </w:rPr>
        <w:t>success (</w:t>
      </w:r>
      <w:r w:rsidRPr="00FF4839">
        <w:rPr>
          <w:rFonts w:eastAsia="Calibri" w:cs="Times New Roman"/>
        </w:rPr>
        <w:t>with 50% of the result st</w:t>
      </w:r>
      <w:r w:rsidR="007E0C92">
        <w:rPr>
          <w:rFonts w:eastAsia="Calibri" w:cs="Times New Roman"/>
        </w:rPr>
        <w:t>r</w:t>
      </w:r>
      <w:r w:rsidRPr="00FF4839">
        <w:rPr>
          <w:rFonts w:eastAsia="Calibri" w:cs="Times New Roman"/>
        </w:rPr>
        <w:t xml:space="preserve">eams focussed on building </w:t>
      </w:r>
      <w:r w:rsidRPr="00FF4839">
        <w:rPr>
          <w:rFonts w:ascii="Calibri" w:eastAsia="Calibri" w:hAnsi="Calibri"/>
          <w:color w:val="000000"/>
        </w:rPr>
        <w:t>a high quality knowledge base and communicating this knowledge with influence</w:t>
      </w:r>
      <w:r w:rsidR="00F85CE0">
        <w:rPr>
          <w:rFonts w:ascii="Calibri" w:eastAsia="Calibri" w:hAnsi="Calibri"/>
          <w:color w:val="000000"/>
        </w:rPr>
        <w:t>)</w:t>
      </w:r>
      <w:r w:rsidRPr="00FF4839">
        <w:rPr>
          <w:rFonts w:ascii="Calibri" w:eastAsia="Calibri" w:hAnsi="Calibri"/>
          <w:color w:val="000000"/>
        </w:rPr>
        <w:t xml:space="preserve"> also </w:t>
      </w:r>
      <w:r w:rsidR="00F85CE0">
        <w:rPr>
          <w:rFonts w:ascii="Calibri" w:eastAsia="Calibri" w:hAnsi="Calibri"/>
          <w:color w:val="000000"/>
        </w:rPr>
        <w:t>presented</w:t>
      </w:r>
      <w:r>
        <w:rPr>
          <w:rFonts w:ascii="Calibri" w:eastAsia="Calibri" w:hAnsi="Calibri"/>
          <w:color w:val="000000"/>
        </w:rPr>
        <w:t xml:space="preserve"> </w:t>
      </w:r>
      <w:r w:rsidRPr="00FF4839">
        <w:rPr>
          <w:rFonts w:ascii="Calibri" w:eastAsia="Calibri" w:hAnsi="Calibri"/>
          <w:color w:val="000000"/>
        </w:rPr>
        <w:t xml:space="preserve">a challenge when considered against the managing contractor modality and the </w:t>
      </w:r>
      <w:r w:rsidRPr="0009168F">
        <w:rPr>
          <w:rFonts w:ascii="Calibri" w:eastAsia="Calibri" w:hAnsi="Calibri"/>
          <w:color w:val="000000"/>
        </w:rPr>
        <w:t>changed institutional context within DFAT</w:t>
      </w:r>
      <w:r w:rsidRPr="0081086E">
        <w:rPr>
          <w:rFonts w:ascii="Calibri" w:eastAsia="Calibri" w:hAnsi="Calibri"/>
          <w:i/>
          <w:color w:val="000000"/>
        </w:rPr>
        <w:t>.</w:t>
      </w:r>
      <w:r w:rsidRPr="00FF4839">
        <w:rPr>
          <w:rFonts w:eastAsia="Calibri" w:cs="Times New Roman"/>
        </w:rPr>
        <w:t xml:space="preserve"> </w:t>
      </w:r>
      <w:r>
        <w:rPr>
          <w:rFonts w:eastAsia="Calibri" w:cs="Times New Roman"/>
        </w:rPr>
        <w:t>For example, i</w:t>
      </w:r>
      <w:r w:rsidRPr="00347F33">
        <w:rPr>
          <w:rFonts w:eastAsia="Calibri" w:cs="Times New Roman"/>
        </w:rPr>
        <w:t xml:space="preserve">nfluential communication requires a strategic conversation. In phase 3, the opportunities for and </w:t>
      </w:r>
      <w:r w:rsidR="00E20B40">
        <w:rPr>
          <w:rFonts w:eastAsia="Calibri" w:cs="Times New Roman"/>
        </w:rPr>
        <w:t>a commitment to</w:t>
      </w:r>
      <w:r w:rsidRPr="00347F33">
        <w:rPr>
          <w:rFonts w:eastAsia="Calibri" w:cs="Times New Roman"/>
        </w:rPr>
        <w:t xml:space="preserve"> generating such a conversation between DFAT and PLP3 have, in our view, been limited.</w:t>
      </w:r>
    </w:p>
    <w:p w14:paraId="4BD76E1A" w14:textId="67C36909" w:rsidR="005741A4" w:rsidRPr="00347F33" w:rsidRDefault="005741A4" w:rsidP="00105CAD">
      <w:pPr>
        <w:pStyle w:val="ListParagraph"/>
        <w:numPr>
          <w:ilvl w:val="0"/>
          <w:numId w:val="64"/>
        </w:numPr>
        <w:spacing w:before="120"/>
        <w:contextualSpacing w:val="0"/>
        <w:rPr>
          <w:rFonts w:eastAsia="Calibri" w:cs="Times New Roman"/>
        </w:rPr>
      </w:pPr>
      <w:r w:rsidRPr="00347F33">
        <w:rPr>
          <w:rFonts w:eastAsia="Calibri" w:cs="Times New Roman"/>
        </w:rPr>
        <w:t xml:space="preserve">Despite </w:t>
      </w:r>
      <w:r w:rsidR="0009168F">
        <w:rPr>
          <w:rFonts w:eastAsia="Calibri" w:cs="Times New Roman"/>
        </w:rPr>
        <w:t>these</w:t>
      </w:r>
      <w:r w:rsidR="0009168F" w:rsidRPr="00347F33">
        <w:rPr>
          <w:rFonts w:eastAsia="Calibri" w:cs="Times New Roman"/>
        </w:rPr>
        <w:t xml:space="preserve"> </w:t>
      </w:r>
      <w:r w:rsidRPr="00347F33">
        <w:rPr>
          <w:rFonts w:eastAsia="Calibri" w:cs="Times New Roman"/>
        </w:rPr>
        <w:t>constraints, PLP3 has made</w:t>
      </w:r>
      <w:r w:rsidR="00F6733F">
        <w:rPr>
          <w:rFonts w:eastAsia="Calibri" w:cs="Times New Roman"/>
        </w:rPr>
        <w:t xml:space="preserve"> progress in areas that are both</w:t>
      </w:r>
      <w:r w:rsidRPr="00347F33">
        <w:rPr>
          <w:rFonts w:eastAsia="Calibri" w:cs="Times New Roman"/>
        </w:rPr>
        <w:t xml:space="preserve"> relevant to Pacific stakeholders and aligned with Australia’s broader interes</w:t>
      </w:r>
      <w:r w:rsidR="00F6733F">
        <w:rPr>
          <w:rFonts w:eastAsia="Calibri" w:cs="Times New Roman"/>
        </w:rPr>
        <w:t>ts. High level achievements in</w:t>
      </w:r>
      <w:r w:rsidR="0087239E">
        <w:rPr>
          <w:rFonts w:eastAsia="Calibri" w:cs="Times New Roman"/>
        </w:rPr>
        <w:t>clude</w:t>
      </w:r>
      <w:r w:rsidRPr="00347F33">
        <w:rPr>
          <w:rFonts w:eastAsia="Calibri" w:cs="Times New Roman"/>
        </w:rPr>
        <w:t>:</w:t>
      </w:r>
    </w:p>
    <w:p w14:paraId="22A7ACF8" w14:textId="77777777" w:rsidR="00337BEC" w:rsidRPr="001C3654" w:rsidRDefault="005741A4" w:rsidP="001C3654">
      <w:pPr>
        <w:pStyle w:val="SDAbulletpoints"/>
      </w:pPr>
      <w:r w:rsidRPr="001C3654">
        <w:t>More than 44 pieces of research commissioned by PLP3 and its partners since July 2014</w:t>
      </w:r>
      <w:r w:rsidR="00337BEC" w:rsidRPr="001C3654">
        <w:t xml:space="preserve">, </w:t>
      </w:r>
      <w:r w:rsidR="0006260F" w:rsidRPr="001C3654">
        <w:t>with</w:t>
      </w:r>
      <w:r w:rsidR="00337BEC" w:rsidRPr="001C3654">
        <w:t xml:space="preserve"> </w:t>
      </w:r>
      <w:r w:rsidR="0006260F" w:rsidRPr="001C3654">
        <w:t xml:space="preserve">Pacific </w:t>
      </w:r>
      <w:r w:rsidR="00337BEC" w:rsidRPr="001C3654">
        <w:t>partners increas</w:t>
      </w:r>
      <w:r w:rsidR="0006260F" w:rsidRPr="001C3654">
        <w:t xml:space="preserve">ingly </w:t>
      </w:r>
      <w:r w:rsidR="00337BEC" w:rsidRPr="001C3654">
        <w:t>valu</w:t>
      </w:r>
      <w:r w:rsidR="0006260F" w:rsidRPr="001C3654">
        <w:t>ing</w:t>
      </w:r>
      <w:r w:rsidR="00337BEC" w:rsidRPr="001C3654">
        <w:t xml:space="preserve"> research</w:t>
      </w:r>
      <w:r w:rsidR="004C2A2D">
        <w:rPr>
          <w:rStyle w:val="FootnoteReference"/>
        </w:rPr>
        <w:footnoteReference w:id="16"/>
      </w:r>
      <w:r w:rsidR="00337BEC" w:rsidRPr="001C3654">
        <w:t xml:space="preserve"> in informing their own actions including </w:t>
      </w:r>
      <w:r w:rsidR="0006260F" w:rsidRPr="001C3654">
        <w:t xml:space="preserve">evidence-based policy </w:t>
      </w:r>
      <w:r w:rsidR="00337BEC" w:rsidRPr="001C3654">
        <w:t>advocacy</w:t>
      </w:r>
      <w:r w:rsidR="0009168F">
        <w:t xml:space="preserve"> (see annex 7)</w:t>
      </w:r>
      <w:r w:rsidR="00337BEC" w:rsidRPr="001C3654">
        <w:t>.</w:t>
      </w:r>
    </w:p>
    <w:p w14:paraId="15A3718D" w14:textId="70BC30E6" w:rsidR="005741A4" w:rsidRPr="001C3654" w:rsidRDefault="005741A4" w:rsidP="001C3654">
      <w:pPr>
        <w:pStyle w:val="SDAbulletpoints"/>
      </w:pPr>
      <w:r w:rsidRPr="001C3654">
        <w:t xml:space="preserve">Support for collective action that has influenced </w:t>
      </w:r>
      <w:r w:rsidR="00C33AFE" w:rsidRPr="001C3654">
        <w:t xml:space="preserve">a number of </w:t>
      </w:r>
      <w:r w:rsidRPr="001C3654">
        <w:t>policy and institutional changes</w:t>
      </w:r>
      <w:r w:rsidR="007E0C92">
        <w:t xml:space="preserve"> (</w:t>
      </w:r>
      <w:r w:rsidR="00C33AFE" w:rsidRPr="001C3654">
        <w:t xml:space="preserve">although not </w:t>
      </w:r>
      <w:r w:rsidR="0006260F" w:rsidRPr="001C3654">
        <w:t xml:space="preserve">all changes </w:t>
      </w:r>
      <w:r w:rsidR="00C33AFE" w:rsidRPr="001C3654">
        <w:t xml:space="preserve">to the </w:t>
      </w:r>
      <w:r w:rsidR="0006260F" w:rsidRPr="001C3654">
        <w:t xml:space="preserve">transformational </w:t>
      </w:r>
      <w:r w:rsidR="00C33AFE" w:rsidRPr="001C3654">
        <w:t xml:space="preserve">level </w:t>
      </w:r>
      <w:r w:rsidR="0006260F" w:rsidRPr="001C3654">
        <w:t>as</w:t>
      </w:r>
      <w:r w:rsidR="00C33AFE" w:rsidRPr="001C3654">
        <w:t xml:space="preserve"> articulated in the design</w:t>
      </w:r>
      <w:r w:rsidR="007E0C92">
        <w:t>)</w:t>
      </w:r>
      <w:r w:rsidR="00C33AFE" w:rsidRPr="001C3654">
        <w:t>. Arguably</w:t>
      </w:r>
      <w:r w:rsidR="00D84A98" w:rsidRPr="001C3654">
        <w:t>,</w:t>
      </w:r>
      <w:r w:rsidR="00C33AFE" w:rsidRPr="001C3654">
        <w:t xml:space="preserve"> </w:t>
      </w:r>
      <w:r w:rsidR="00D84A98" w:rsidRPr="001C3654">
        <w:t>one of the</w:t>
      </w:r>
      <w:r w:rsidR="00C33AFE" w:rsidRPr="001C3654">
        <w:t xml:space="preserve"> best example</w:t>
      </w:r>
      <w:r w:rsidR="00D84A98" w:rsidRPr="001C3654">
        <w:t>s</w:t>
      </w:r>
      <w:r w:rsidR="00C33AFE" w:rsidRPr="001C3654">
        <w:t xml:space="preserve"> of PLP</w:t>
      </w:r>
      <w:r w:rsidR="00217C48" w:rsidRPr="001C3654">
        <w:t>3</w:t>
      </w:r>
      <w:r w:rsidR="00C33AFE" w:rsidRPr="001C3654">
        <w:t xml:space="preserve">'s support for policy and institutional change is its role in </w:t>
      </w:r>
      <w:r w:rsidR="0087239E">
        <w:t xml:space="preserve">supporting </w:t>
      </w:r>
      <w:r w:rsidR="00C33AFE" w:rsidRPr="001C3654">
        <w:t>the Women in Shared Decision Making (WISDM) advocacy for women in political leadership in Vanuatu.</w:t>
      </w:r>
    </w:p>
    <w:p w14:paraId="3A47DE54" w14:textId="77777777" w:rsidR="005741A4" w:rsidRPr="001C3654" w:rsidRDefault="005741A4" w:rsidP="001C3654">
      <w:pPr>
        <w:pStyle w:val="SDAbulletpoints"/>
      </w:pPr>
      <w:r w:rsidRPr="001C3654">
        <w:t>Successf</w:t>
      </w:r>
      <w:r w:rsidR="0006260F" w:rsidRPr="001C3654">
        <w:t>ul roll-out of a unique set of a</w:t>
      </w:r>
      <w:r w:rsidRPr="001C3654">
        <w:t xml:space="preserve">daptive </w:t>
      </w:r>
      <w:r w:rsidR="0006260F" w:rsidRPr="001C3654">
        <w:t>l</w:t>
      </w:r>
      <w:r w:rsidRPr="001C3654">
        <w:t xml:space="preserve">eadership training for Pacific ‘development entrepreneurs’, with a demonstrated ability </w:t>
      </w:r>
      <w:r w:rsidR="0006260F" w:rsidRPr="001C3654">
        <w:t xml:space="preserve">of this training </w:t>
      </w:r>
      <w:r w:rsidRPr="001C3654">
        <w:t xml:space="preserve">to enhance the </w:t>
      </w:r>
      <w:r w:rsidR="00217C48" w:rsidRPr="001C3654">
        <w:t>effectiveness of coalitions</w:t>
      </w:r>
      <w:r w:rsidRPr="001C3654">
        <w:t>.</w:t>
      </w:r>
      <w:r w:rsidR="0009168F">
        <w:rPr>
          <w:rStyle w:val="FootnoteReference"/>
        </w:rPr>
        <w:footnoteReference w:id="17"/>
      </w:r>
      <w:r w:rsidRPr="001C3654">
        <w:t xml:space="preserve"> </w:t>
      </w:r>
    </w:p>
    <w:p w14:paraId="72290784" w14:textId="0B70E397" w:rsidR="005741A4" w:rsidRPr="001C3654" w:rsidRDefault="005741A4" w:rsidP="001C3654">
      <w:pPr>
        <w:pStyle w:val="SDAbulletpoints"/>
      </w:pPr>
      <w:r w:rsidRPr="001C3654">
        <w:t>Awarding of highly visible and influential Greg Urwi</w:t>
      </w:r>
      <w:r w:rsidR="00F6733F">
        <w:t>n Awards</w:t>
      </w:r>
      <w:r w:rsidR="0009168F">
        <w:t xml:space="preserve"> (see annex 5)</w:t>
      </w:r>
      <w:r w:rsidRPr="001C3654">
        <w:t>.</w:t>
      </w:r>
    </w:p>
    <w:p w14:paraId="2B124C57" w14:textId="1CDF233F" w:rsidR="00A46C87" w:rsidRDefault="00A46C87" w:rsidP="00A46C87">
      <w:pPr>
        <w:pStyle w:val="SDAbodytext"/>
        <w:numPr>
          <w:ilvl w:val="0"/>
          <w:numId w:val="64"/>
        </w:numPr>
        <w:rPr>
          <w:rFonts w:eastAsia="Calibri" w:cs="Times New Roman"/>
        </w:rPr>
      </w:pPr>
      <w:r>
        <w:rPr>
          <w:rFonts w:eastAsia="Calibri" w:cs="Times New Roman"/>
        </w:rPr>
        <w:t xml:space="preserve">Understanding PLP3’s approach is fundamental in making any assessment of the program’s value for money. For example, </w:t>
      </w:r>
      <w:r w:rsidR="007E0C92" w:rsidRPr="001C3654">
        <w:rPr>
          <w:rFonts w:eastAsia="Calibri" w:cs="Times New Roman"/>
        </w:rPr>
        <w:t>experimenting with new ways of working in support of locally-led sustainable change will often see donors take more of a facilitati</w:t>
      </w:r>
      <w:r w:rsidR="00964609">
        <w:rPr>
          <w:rFonts w:eastAsia="Calibri" w:cs="Times New Roman"/>
        </w:rPr>
        <w:t>ng</w:t>
      </w:r>
      <w:r w:rsidR="007E0C92" w:rsidRPr="001C3654">
        <w:rPr>
          <w:rFonts w:eastAsia="Calibri" w:cs="Times New Roman"/>
        </w:rPr>
        <w:t xml:space="preserve"> rather than a directing role.</w:t>
      </w:r>
      <w:r w:rsidR="00F71987">
        <w:rPr>
          <w:rStyle w:val="FootnoteReference"/>
          <w:rFonts w:eastAsia="Calibri" w:cs="Times New Roman"/>
        </w:rPr>
        <w:footnoteReference w:id="18"/>
      </w:r>
      <w:r w:rsidR="007E0C92" w:rsidRPr="001C3654">
        <w:rPr>
          <w:rFonts w:eastAsia="Calibri" w:cs="Times New Roman"/>
        </w:rPr>
        <w:t xml:space="preserve"> </w:t>
      </w:r>
      <w:r w:rsidR="007E0C92">
        <w:rPr>
          <w:rFonts w:eastAsia="Calibri" w:cs="Times New Roman"/>
        </w:rPr>
        <w:t xml:space="preserve">In addition, </w:t>
      </w:r>
      <w:r>
        <w:rPr>
          <w:rFonts w:eastAsia="Calibri" w:cs="Times New Roman"/>
        </w:rPr>
        <w:t>programs like PLP3 that invest heavily in relationships generally have a higher level of staffing, travel and hospitality costs than are required for delivery of a grant program.</w:t>
      </w:r>
      <w:r w:rsidR="00F71987">
        <w:rPr>
          <w:rStyle w:val="FootnoteReference"/>
          <w:rFonts w:eastAsia="Calibri" w:cs="Times New Roman"/>
        </w:rPr>
        <w:footnoteReference w:id="19"/>
      </w:r>
      <w:r>
        <w:rPr>
          <w:rFonts w:eastAsia="Calibri" w:cs="Times New Roman"/>
        </w:rPr>
        <w:t xml:space="preserve"> </w:t>
      </w:r>
      <w:r w:rsidR="007E0C92">
        <w:rPr>
          <w:rFonts w:eastAsia="Calibri" w:cs="Times New Roman"/>
        </w:rPr>
        <w:t>Understanding the value of a program like PLP3 and then d</w:t>
      </w:r>
      <w:r>
        <w:rPr>
          <w:rFonts w:eastAsia="Calibri" w:cs="Times New Roman"/>
        </w:rPr>
        <w:t xml:space="preserve">efining what is ‘of value’ to DFAT </w:t>
      </w:r>
      <w:r w:rsidR="001B5A89">
        <w:rPr>
          <w:rFonts w:eastAsia="Calibri" w:cs="Times New Roman"/>
        </w:rPr>
        <w:t xml:space="preserve">and to </w:t>
      </w:r>
      <w:r w:rsidR="007E0C92">
        <w:rPr>
          <w:rFonts w:eastAsia="Calibri" w:cs="Times New Roman"/>
        </w:rPr>
        <w:t xml:space="preserve">its </w:t>
      </w:r>
      <w:r w:rsidR="001B5A89">
        <w:rPr>
          <w:rFonts w:eastAsia="Calibri" w:cs="Times New Roman"/>
        </w:rPr>
        <w:t xml:space="preserve">Pacific partners </w:t>
      </w:r>
      <w:r w:rsidR="007E0C92">
        <w:rPr>
          <w:rFonts w:eastAsia="Calibri" w:cs="Times New Roman"/>
        </w:rPr>
        <w:t>are</w:t>
      </w:r>
      <w:r>
        <w:rPr>
          <w:rFonts w:eastAsia="Calibri" w:cs="Times New Roman"/>
        </w:rPr>
        <w:t xml:space="preserve"> also </w:t>
      </w:r>
      <w:r w:rsidR="007E0C92">
        <w:rPr>
          <w:rFonts w:eastAsia="Calibri" w:cs="Times New Roman"/>
        </w:rPr>
        <w:t xml:space="preserve">important undertakings </w:t>
      </w:r>
      <w:r>
        <w:rPr>
          <w:rFonts w:eastAsia="Calibri" w:cs="Times New Roman"/>
        </w:rPr>
        <w:t xml:space="preserve">of any assessment, as is comparable financial </w:t>
      </w:r>
      <w:r w:rsidR="00F6733F">
        <w:rPr>
          <w:rFonts w:eastAsia="Calibri" w:cs="Times New Roman"/>
        </w:rPr>
        <w:lastRenderedPageBreak/>
        <w:t xml:space="preserve">and result </w:t>
      </w:r>
      <w:r>
        <w:rPr>
          <w:rFonts w:eastAsia="Calibri" w:cs="Times New Roman"/>
        </w:rPr>
        <w:t xml:space="preserve">data across similar programs. While the evaluation team did not have the evidence to make a definitive assessment against all eight </w:t>
      </w:r>
      <w:r w:rsidR="00FF4EC0">
        <w:rPr>
          <w:rFonts w:eastAsia="Calibri" w:cs="Times New Roman"/>
        </w:rPr>
        <w:t>‘</w:t>
      </w:r>
      <w:r>
        <w:rPr>
          <w:rFonts w:eastAsia="Calibri" w:cs="Times New Roman"/>
        </w:rPr>
        <w:t>value for money</w:t>
      </w:r>
      <w:r w:rsidR="00FF4EC0">
        <w:rPr>
          <w:rFonts w:eastAsia="Calibri" w:cs="Times New Roman"/>
        </w:rPr>
        <w:t>’</w:t>
      </w:r>
      <w:r>
        <w:rPr>
          <w:rFonts w:eastAsia="Calibri" w:cs="Times New Roman"/>
        </w:rPr>
        <w:t xml:space="preserve"> principles, </w:t>
      </w:r>
      <w:r w:rsidR="005F6749">
        <w:rPr>
          <w:rFonts w:eastAsia="Calibri" w:cs="Times New Roman"/>
        </w:rPr>
        <w:t>program documentation and stakeholder interviews confirmed the high value of PLP3 in the eyes of many of its Pacific partners.</w:t>
      </w:r>
      <w:r w:rsidR="00F71987">
        <w:rPr>
          <w:rStyle w:val="FootnoteReference"/>
          <w:rFonts w:eastAsia="Calibri" w:cs="Times New Roman"/>
        </w:rPr>
        <w:footnoteReference w:id="20"/>
      </w:r>
      <w:r w:rsidR="005F6749">
        <w:rPr>
          <w:rFonts w:eastAsia="Calibri" w:cs="Times New Roman"/>
        </w:rPr>
        <w:t xml:space="preserve"> </w:t>
      </w:r>
      <w:r w:rsidR="00F6733F">
        <w:rPr>
          <w:rFonts w:eastAsia="Calibri" w:cs="Times New Roman"/>
        </w:rPr>
        <w:t xml:space="preserve"> </w:t>
      </w:r>
      <w:r w:rsidR="007428EC" w:rsidRPr="00530EC1">
        <w:t xml:space="preserve">Several of its partners described PLP as being ‘a unique offering’ among donor programs. </w:t>
      </w:r>
      <w:r w:rsidR="005F6749">
        <w:rPr>
          <w:rFonts w:eastAsia="Calibri" w:cs="Times New Roman"/>
        </w:rPr>
        <w:t>Yet, t</w:t>
      </w:r>
      <w:r>
        <w:rPr>
          <w:rFonts w:eastAsia="Calibri" w:cs="Times New Roman"/>
        </w:rPr>
        <w:t>he program’s mixed results in terms of effectiveness do</w:t>
      </w:r>
      <w:r w:rsidR="00F71987">
        <w:rPr>
          <w:rFonts w:eastAsia="Calibri" w:cs="Times New Roman"/>
        </w:rPr>
        <w:t>es</w:t>
      </w:r>
      <w:r>
        <w:rPr>
          <w:rFonts w:eastAsia="Calibri" w:cs="Times New Roman"/>
        </w:rPr>
        <w:t xml:space="preserve"> call into question the value </w:t>
      </w:r>
      <w:r w:rsidR="001B5A89">
        <w:rPr>
          <w:rFonts w:eastAsia="Calibri" w:cs="Times New Roman"/>
        </w:rPr>
        <w:t xml:space="preserve">to DFAT </w:t>
      </w:r>
      <w:r>
        <w:rPr>
          <w:rFonts w:eastAsia="Calibri" w:cs="Times New Roman"/>
        </w:rPr>
        <w:t xml:space="preserve">of the current model. A threshold </w:t>
      </w:r>
      <w:r w:rsidR="001B5A89">
        <w:rPr>
          <w:rFonts w:eastAsia="Calibri" w:cs="Times New Roman"/>
        </w:rPr>
        <w:t>consideration</w:t>
      </w:r>
      <w:r>
        <w:rPr>
          <w:rFonts w:eastAsia="Calibri" w:cs="Times New Roman"/>
        </w:rPr>
        <w:t xml:space="preserve"> for DFAT is to </w:t>
      </w:r>
      <w:r w:rsidR="00847741">
        <w:rPr>
          <w:rFonts w:eastAsia="Calibri" w:cs="Times New Roman"/>
        </w:rPr>
        <w:t>determine</w:t>
      </w:r>
      <w:r>
        <w:rPr>
          <w:rFonts w:eastAsia="Calibri" w:cs="Times New Roman"/>
        </w:rPr>
        <w:t xml:space="preserve"> the value </w:t>
      </w:r>
      <w:r w:rsidR="00847741">
        <w:rPr>
          <w:rFonts w:eastAsia="Calibri" w:cs="Times New Roman"/>
        </w:rPr>
        <w:t>of</w:t>
      </w:r>
      <w:r>
        <w:rPr>
          <w:rFonts w:eastAsia="Calibri" w:cs="Times New Roman"/>
        </w:rPr>
        <w:t xml:space="preserve"> an innovative investment in developmental leadership to Australia’s long-term national interests in supporting Pacific partners to pursue inclusive development gain</w:t>
      </w:r>
      <w:r w:rsidR="001B5A89">
        <w:rPr>
          <w:rFonts w:eastAsia="Calibri" w:cs="Times New Roman"/>
        </w:rPr>
        <w:t xml:space="preserve">s for the </w:t>
      </w:r>
      <w:r w:rsidR="00AD1BCA">
        <w:rPr>
          <w:rFonts w:eastAsia="Calibri" w:cs="Times New Roman"/>
        </w:rPr>
        <w:t>region</w:t>
      </w:r>
      <w:r w:rsidR="001B5A89">
        <w:rPr>
          <w:rFonts w:eastAsia="Calibri" w:cs="Times New Roman"/>
        </w:rPr>
        <w:t xml:space="preserve"> and its people.</w:t>
      </w:r>
      <w:r>
        <w:rPr>
          <w:rFonts w:eastAsia="Calibri" w:cs="Times New Roman"/>
        </w:rPr>
        <w:t xml:space="preserve">  </w:t>
      </w:r>
    </w:p>
    <w:p w14:paraId="780762F8" w14:textId="77777777" w:rsidR="00317961" w:rsidRDefault="003129AF" w:rsidP="00105CAD">
      <w:pPr>
        <w:pStyle w:val="SDAbodytext"/>
        <w:numPr>
          <w:ilvl w:val="0"/>
          <w:numId w:val="64"/>
        </w:numPr>
        <w:rPr>
          <w:rFonts w:eastAsia="Calibri" w:cs="Times New Roman"/>
        </w:rPr>
      </w:pPr>
      <w:r w:rsidRPr="00347F33">
        <w:rPr>
          <w:rFonts w:eastAsia="Calibri" w:cs="Times New Roman"/>
        </w:rPr>
        <w:t xml:space="preserve">The future of the Pacific Leadership Program remains uncertain. </w:t>
      </w:r>
      <w:r w:rsidR="00317961">
        <w:rPr>
          <w:rFonts w:eastAsia="Calibri" w:cs="Times New Roman"/>
        </w:rPr>
        <w:t>The evaluation</w:t>
      </w:r>
      <w:r>
        <w:rPr>
          <w:rFonts w:eastAsia="Calibri" w:cs="Times New Roman"/>
        </w:rPr>
        <w:t>’s analysis concludes</w:t>
      </w:r>
      <w:r w:rsidR="00317961">
        <w:rPr>
          <w:rFonts w:eastAsia="Calibri" w:cs="Times New Roman"/>
        </w:rPr>
        <w:t xml:space="preserve"> that continuing with PLP3 in its current form is not an effective option. Yet, experimentation in developmental leadership in the Pacific remains highly relevant to DFAT, </w:t>
      </w:r>
      <w:r>
        <w:rPr>
          <w:rFonts w:eastAsia="Calibri" w:cs="Times New Roman"/>
        </w:rPr>
        <w:t xml:space="preserve">its partners in the Pacific and </w:t>
      </w:r>
      <w:r w:rsidR="00317961">
        <w:rPr>
          <w:rFonts w:eastAsia="Calibri" w:cs="Times New Roman"/>
        </w:rPr>
        <w:t xml:space="preserve">to the international </w:t>
      </w:r>
      <w:r w:rsidR="00AD1BCA">
        <w:rPr>
          <w:rFonts w:eastAsia="Calibri" w:cs="Times New Roman"/>
        </w:rPr>
        <w:t>discourse</w:t>
      </w:r>
      <w:r w:rsidR="00317961">
        <w:rPr>
          <w:rFonts w:eastAsia="Calibri" w:cs="Times New Roman"/>
        </w:rPr>
        <w:t xml:space="preserve"> on aid effectiveness</w:t>
      </w:r>
      <w:r>
        <w:rPr>
          <w:rFonts w:eastAsia="Calibri" w:cs="Times New Roman"/>
        </w:rPr>
        <w:t>.</w:t>
      </w:r>
      <w:r w:rsidR="00317961">
        <w:rPr>
          <w:rFonts w:eastAsia="Calibri" w:cs="Times New Roman"/>
        </w:rPr>
        <w:t xml:space="preserve"> </w:t>
      </w:r>
      <w:r w:rsidR="00E7145A" w:rsidRPr="00347F33">
        <w:rPr>
          <w:rFonts w:eastAsia="Calibri" w:cs="Times New Roman"/>
        </w:rPr>
        <w:t xml:space="preserve">The </w:t>
      </w:r>
      <w:r w:rsidR="00317961">
        <w:rPr>
          <w:rFonts w:eastAsia="Calibri" w:cs="Times New Roman"/>
        </w:rPr>
        <w:t xml:space="preserve">evaluation recommends that DFAT reshape and reconnect with an investment in developmental leadership, </w:t>
      </w:r>
      <w:r>
        <w:rPr>
          <w:rFonts w:eastAsia="Calibri" w:cs="Times New Roman"/>
        </w:rPr>
        <w:t>seizing</w:t>
      </w:r>
      <w:r w:rsidR="00317961">
        <w:rPr>
          <w:rFonts w:eastAsia="Calibri" w:cs="Times New Roman"/>
        </w:rPr>
        <w:t xml:space="preserve"> it</w:t>
      </w:r>
      <w:r>
        <w:rPr>
          <w:rFonts w:eastAsia="Calibri" w:cs="Times New Roman"/>
        </w:rPr>
        <w:t>s</w:t>
      </w:r>
      <w:r w:rsidR="00317961">
        <w:rPr>
          <w:rFonts w:eastAsia="Calibri" w:cs="Times New Roman"/>
        </w:rPr>
        <w:t xml:space="preserve"> potential to play a small but not insignificant role in supporting Australia’s long-term objectives for a safe, stable and economically resilient Pacific region. </w:t>
      </w:r>
    </w:p>
    <w:p w14:paraId="4E6CBB3B" w14:textId="77777777" w:rsidR="00E7145A" w:rsidRPr="00347F33" w:rsidRDefault="00317961" w:rsidP="00105CAD">
      <w:pPr>
        <w:pStyle w:val="SDAbodytext"/>
        <w:numPr>
          <w:ilvl w:val="0"/>
          <w:numId w:val="64"/>
        </w:numPr>
        <w:rPr>
          <w:rFonts w:eastAsia="Calibri" w:cs="Times New Roman"/>
        </w:rPr>
      </w:pPr>
      <w:r>
        <w:rPr>
          <w:rFonts w:eastAsia="Calibri" w:cs="Times New Roman"/>
        </w:rPr>
        <w:t>The report contains</w:t>
      </w:r>
      <w:r w:rsidR="007A4D79" w:rsidRPr="00347F33">
        <w:rPr>
          <w:rFonts w:eastAsia="Calibri" w:cs="Times New Roman"/>
        </w:rPr>
        <w:t xml:space="preserve"> </w:t>
      </w:r>
      <w:r w:rsidR="002E3904">
        <w:rPr>
          <w:rFonts w:eastAsia="Calibri" w:cs="Times New Roman"/>
        </w:rPr>
        <w:t>seven</w:t>
      </w:r>
      <w:r w:rsidR="003129AF" w:rsidRPr="00347F33">
        <w:rPr>
          <w:rFonts w:eastAsia="Calibri" w:cs="Times New Roman"/>
        </w:rPr>
        <w:t xml:space="preserve"> </w:t>
      </w:r>
      <w:r w:rsidR="007A4D79" w:rsidRPr="00347F33">
        <w:rPr>
          <w:rFonts w:eastAsia="Calibri" w:cs="Times New Roman"/>
        </w:rPr>
        <w:t xml:space="preserve">recommendations for consideration by DFAT.  </w:t>
      </w:r>
      <w:r w:rsidR="00E74495">
        <w:rPr>
          <w:rFonts w:eastAsia="Calibri" w:cs="Times New Roman"/>
        </w:rPr>
        <w:t xml:space="preserve">These recommendations are forward looking and intentionally focussed on DFAT due to the limited time available to consider program improvements under the current program extension. </w:t>
      </w:r>
      <w:r w:rsidR="007A4D79" w:rsidRPr="00347F33">
        <w:rPr>
          <w:rFonts w:eastAsia="Calibri" w:cs="Times New Roman"/>
        </w:rPr>
        <w:t>These recommendations</w:t>
      </w:r>
      <w:r w:rsidR="00E7145A" w:rsidRPr="00347F33">
        <w:rPr>
          <w:rFonts w:eastAsia="Calibri" w:cs="Times New Roman"/>
        </w:rPr>
        <w:t xml:space="preserve"> are summarised below (see section 4.2 for </w:t>
      </w:r>
      <w:r w:rsidR="008E7A69">
        <w:rPr>
          <w:rFonts w:eastAsia="Calibri" w:cs="Times New Roman"/>
        </w:rPr>
        <w:t xml:space="preserve">more </w:t>
      </w:r>
      <w:r w:rsidR="00E7145A" w:rsidRPr="00347F33">
        <w:rPr>
          <w:rFonts w:eastAsia="Calibri" w:cs="Times New Roman"/>
        </w:rPr>
        <w:t xml:space="preserve">details.) </w:t>
      </w:r>
    </w:p>
    <w:p w14:paraId="3C579914" w14:textId="6BFFA363" w:rsidR="00D84A98" w:rsidRPr="00964609" w:rsidRDefault="00D84A98" w:rsidP="00964609">
      <w:pPr>
        <w:pStyle w:val="ListParagraph"/>
        <w:pBdr>
          <w:top w:val="single" w:sz="4" w:space="1" w:color="auto"/>
          <w:left w:val="single" w:sz="4" w:space="4" w:color="auto"/>
          <w:bottom w:val="single" w:sz="4" w:space="1" w:color="auto"/>
          <w:right w:val="single" w:sz="4" w:space="4" w:color="auto"/>
        </w:pBdr>
        <w:shd w:val="clear" w:color="auto" w:fill="B8CCE4" w:themeFill="accent1" w:themeFillTint="66"/>
        <w:spacing w:before="120"/>
        <w:ind w:left="0"/>
        <w:contextualSpacing w:val="0"/>
        <w:rPr>
          <w:rFonts w:eastAsia="Calibri" w:cstheme="minorHAnsi"/>
          <w:b/>
        </w:rPr>
      </w:pPr>
      <w:r w:rsidRPr="00964609">
        <w:rPr>
          <w:rFonts w:eastAsia="Calibri" w:cstheme="minorHAnsi"/>
          <w:b/>
          <w:i/>
        </w:rPr>
        <w:t xml:space="preserve">Recommendation </w:t>
      </w:r>
      <w:r w:rsidR="0006260F" w:rsidRPr="00964609">
        <w:rPr>
          <w:rFonts w:eastAsia="Calibri" w:cstheme="minorHAnsi"/>
          <w:b/>
          <w:i/>
        </w:rPr>
        <w:t>1</w:t>
      </w:r>
      <w:r w:rsidRPr="00964609">
        <w:rPr>
          <w:rFonts w:eastAsia="Calibri" w:cstheme="minorHAnsi"/>
          <w:b/>
        </w:rPr>
        <w:t xml:space="preserve">: </w:t>
      </w:r>
      <w:r w:rsidR="003B1998">
        <w:rPr>
          <w:rFonts w:eastAsia="Calibri" w:cstheme="minorHAnsi"/>
          <w:b/>
        </w:rPr>
        <w:t xml:space="preserve">DFAT to maintain an innovative </w:t>
      </w:r>
      <w:r w:rsidRPr="00964609">
        <w:rPr>
          <w:rFonts w:eastAsia="Calibri" w:cstheme="minorHAnsi"/>
          <w:b/>
        </w:rPr>
        <w:t>investment in developmental leadership</w:t>
      </w:r>
    </w:p>
    <w:p w14:paraId="07987B85" w14:textId="77777777" w:rsidR="00D84A98" w:rsidRPr="00347F33" w:rsidRDefault="00D84A98" w:rsidP="00105CAD">
      <w:pPr>
        <w:pStyle w:val="ListParagraph"/>
        <w:numPr>
          <w:ilvl w:val="0"/>
          <w:numId w:val="64"/>
        </w:numPr>
        <w:spacing w:before="120"/>
        <w:contextualSpacing w:val="0"/>
        <w:rPr>
          <w:rFonts w:eastAsia="Calibri" w:cstheme="minorHAnsi"/>
        </w:rPr>
      </w:pPr>
      <w:r w:rsidRPr="00347F33">
        <w:rPr>
          <w:rFonts w:eastAsia="Calibri" w:cstheme="minorHAnsi"/>
        </w:rPr>
        <w:t xml:space="preserve">Experimentation in developmental leadership remains highly relevant to DFAT, and to its partners in the Pacific. </w:t>
      </w:r>
      <w:r w:rsidR="003129AF">
        <w:rPr>
          <w:rFonts w:eastAsia="Calibri" w:cstheme="minorHAnsi"/>
        </w:rPr>
        <w:t>A</w:t>
      </w:r>
      <w:r w:rsidR="003129AF" w:rsidRPr="00347F33">
        <w:rPr>
          <w:rFonts w:eastAsia="Calibri" w:cstheme="minorHAnsi"/>
        </w:rPr>
        <w:t xml:space="preserve"> </w:t>
      </w:r>
      <w:r w:rsidR="008E7A69">
        <w:rPr>
          <w:rFonts w:eastAsia="Calibri" w:cstheme="minorHAnsi"/>
        </w:rPr>
        <w:t>politically informed, flexible and iterative</w:t>
      </w:r>
      <w:r w:rsidR="008E7A69" w:rsidRPr="00347F33">
        <w:rPr>
          <w:rFonts w:eastAsia="Calibri" w:cstheme="minorHAnsi"/>
        </w:rPr>
        <w:t xml:space="preserve"> </w:t>
      </w:r>
      <w:r w:rsidRPr="00347F33">
        <w:rPr>
          <w:rFonts w:eastAsia="Calibri" w:cstheme="minorHAnsi"/>
        </w:rPr>
        <w:t xml:space="preserve">approach to development is valuable, and more time is needed to fully explore the </w:t>
      </w:r>
      <w:r w:rsidR="008E7A69">
        <w:rPr>
          <w:rFonts w:eastAsia="Calibri" w:cstheme="minorHAnsi"/>
        </w:rPr>
        <w:t>model’s</w:t>
      </w:r>
      <w:r w:rsidR="008E7A69" w:rsidRPr="00347F33">
        <w:rPr>
          <w:rFonts w:eastAsia="Calibri" w:cstheme="minorHAnsi"/>
        </w:rPr>
        <w:t xml:space="preserve"> </w:t>
      </w:r>
      <w:r w:rsidRPr="00347F33">
        <w:rPr>
          <w:rFonts w:eastAsia="Calibri" w:cstheme="minorHAnsi"/>
        </w:rPr>
        <w:t xml:space="preserve">potential and to capitalise on lessons learned to date. Valuable elements (key initiatives, relationships and staff) will be lost if the program is discontinued (indeed, they are already at risk due to uncertainty).  However, problems identified </w:t>
      </w:r>
      <w:r w:rsidR="0006260F" w:rsidRPr="00347F33">
        <w:rPr>
          <w:rFonts w:eastAsia="Calibri" w:cstheme="minorHAnsi"/>
        </w:rPr>
        <w:t>in this report</w:t>
      </w:r>
      <w:r w:rsidR="005F49BC" w:rsidRPr="00347F33">
        <w:rPr>
          <w:rFonts w:eastAsia="Calibri" w:cstheme="minorHAnsi"/>
        </w:rPr>
        <w:t xml:space="preserve"> (</w:t>
      </w:r>
      <w:r w:rsidRPr="00347F33">
        <w:rPr>
          <w:rFonts w:eastAsia="Calibri" w:cstheme="minorHAnsi"/>
        </w:rPr>
        <w:t xml:space="preserve">including </w:t>
      </w:r>
      <w:r w:rsidR="008E7A69">
        <w:rPr>
          <w:rFonts w:eastAsia="Calibri" w:cstheme="minorHAnsi"/>
        </w:rPr>
        <w:t>limited</w:t>
      </w:r>
      <w:r w:rsidRPr="00347F33">
        <w:rPr>
          <w:rFonts w:eastAsia="Calibri" w:cstheme="minorHAnsi"/>
        </w:rPr>
        <w:t xml:space="preserve"> strategic leadership</w:t>
      </w:r>
      <w:r w:rsidR="005F49BC" w:rsidRPr="00347F33">
        <w:rPr>
          <w:rFonts w:eastAsia="Calibri" w:cstheme="minorHAnsi"/>
        </w:rPr>
        <w:t>)</w:t>
      </w:r>
      <w:r w:rsidRPr="00347F33">
        <w:rPr>
          <w:rFonts w:eastAsia="Calibri" w:cstheme="minorHAnsi"/>
        </w:rPr>
        <w:t xml:space="preserve"> will not resolve themselves over time without a concerted effort and changes to engagement, resourcing and prioritisation. This experimental programming should be a complement to DFAT's bilateral programming – specifically it should be </w:t>
      </w:r>
      <w:r w:rsidRPr="00347F33">
        <w:rPr>
          <w:rFonts w:eastAsia="Calibri" w:cstheme="minorHAnsi"/>
          <w:i/>
        </w:rPr>
        <w:t>different</w:t>
      </w:r>
      <w:r w:rsidRPr="00347F33">
        <w:rPr>
          <w:rFonts w:eastAsia="Calibri" w:cstheme="minorHAnsi"/>
        </w:rPr>
        <w:t xml:space="preserve"> to the bilateral programming (trying new things) and </w:t>
      </w:r>
      <w:r w:rsidRPr="00347F33">
        <w:rPr>
          <w:rFonts w:eastAsia="Calibri" w:cstheme="minorHAnsi"/>
          <w:i/>
        </w:rPr>
        <w:t>valuable</w:t>
      </w:r>
      <w:r w:rsidRPr="00347F33">
        <w:rPr>
          <w:rFonts w:eastAsia="Calibri" w:cstheme="minorHAnsi"/>
        </w:rPr>
        <w:t xml:space="preserve"> to the bilateral programming (effectively sharing lessons learned, networks, public diplomacy opportunities, etc.).</w:t>
      </w:r>
    </w:p>
    <w:p w14:paraId="7FC75C54" w14:textId="2FBD6312" w:rsidR="003129AF" w:rsidRPr="001C3654" w:rsidRDefault="003129AF" w:rsidP="00964609">
      <w:pPr>
        <w:pStyle w:val="ListParagraph"/>
        <w:pBdr>
          <w:top w:val="single" w:sz="4" w:space="1" w:color="auto"/>
          <w:left w:val="single" w:sz="4" w:space="4" w:color="auto"/>
          <w:bottom w:val="single" w:sz="4" w:space="1" w:color="auto"/>
          <w:right w:val="single" w:sz="4" w:space="4" w:color="auto"/>
        </w:pBdr>
        <w:shd w:val="clear" w:color="auto" w:fill="B8CCE4" w:themeFill="accent1" w:themeFillTint="66"/>
        <w:spacing w:before="120"/>
        <w:ind w:left="0"/>
        <w:contextualSpacing w:val="0"/>
        <w:rPr>
          <w:rFonts w:eastAsia="Calibri" w:cstheme="minorHAnsi"/>
          <w:b/>
        </w:rPr>
      </w:pPr>
      <w:r w:rsidRPr="001C3654">
        <w:rPr>
          <w:rFonts w:eastAsia="Calibri" w:cstheme="minorHAnsi"/>
          <w:b/>
          <w:i/>
        </w:rPr>
        <w:t>Recommendation 2:</w:t>
      </w:r>
      <w:r w:rsidRPr="001C3654">
        <w:rPr>
          <w:rFonts w:eastAsia="Calibri" w:cstheme="minorHAnsi"/>
          <w:b/>
        </w:rPr>
        <w:t xml:space="preserve"> </w:t>
      </w:r>
      <w:r w:rsidR="00D84A98" w:rsidRPr="001C3654">
        <w:rPr>
          <w:rFonts w:eastAsia="Calibri" w:cstheme="minorHAnsi"/>
          <w:b/>
        </w:rPr>
        <w:t xml:space="preserve">DFAT </w:t>
      </w:r>
      <w:r w:rsidRPr="001C3654">
        <w:rPr>
          <w:rFonts w:eastAsia="Calibri" w:cstheme="minorHAnsi"/>
          <w:b/>
        </w:rPr>
        <w:t xml:space="preserve">to </w:t>
      </w:r>
      <w:r w:rsidR="00D84A98" w:rsidRPr="001C3654">
        <w:rPr>
          <w:rFonts w:eastAsia="Calibri" w:cstheme="minorHAnsi"/>
          <w:b/>
        </w:rPr>
        <w:t>consid</w:t>
      </w:r>
      <w:r w:rsidR="003B1998">
        <w:rPr>
          <w:rFonts w:eastAsia="Calibri" w:cstheme="minorHAnsi"/>
          <w:b/>
        </w:rPr>
        <w:t>er ways that it can better integrate</w:t>
      </w:r>
      <w:r w:rsidR="00D84A98" w:rsidRPr="001C3654">
        <w:rPr>
          <w:rFonts w:eastAsia="Calibri" w:cstheme="minorHAnsi"/>
          <w:b/>
        </w:rPr>
        <w:t xml:space="preserve"> any future innovative and experimental programs like PLP within its broader governance and/or re</w:t>
      </w:r>
      <w:r w:rsidR="003B1998">
        <w:rPr>
          <w:rFonts w:eastAsia="Calibri" w:cstheme="minorHAnsi"/>
          <w:b/>
        </w:rPr>
        <w:t>search portfolios</w:t>
      </w:r>
    </w:p>
    <w:p w14:paraId="1E2DF981" w14:textId="77777777" w:rsidR="00D84A98" w:rsidRPr="00347F33" w:rsidRDefault="008E7A69" w:rsidP="001C3654">
      <w:pPr>
        <w:pStyle w:val="ListParagraph"/>
        <w:spacing w:before="120"/>
        <w:ind w:left="0"/>
        <w:contextualSpacing w:val="0"/>
        <w:rPr>
          <w:rFonts w:eastAsia="Calibri" w:cstheme="minorHAnsi"/>
        </w:rPr>
      </w:pPr>
      <w:r>
        <w:rPr>
          <w:rFonts w:eastAsia="Calibri" w:cstheme="minorHAnsi"/>
        </w:rPr>
        <w:t xml:space="preserve">In particular, DFAT should: </w:t>
      </w:r>
    </w:p>
    <w:p w14:paraId="64C98E6C" w14:textId="4D0E3787" w:rsidR="00D84A98" w:rsidRPr="001C3654" w:rsidRDefault="008E7A69" w:rsidP="001C3654">
      <w:pPr>
        <w:pStyle w:val="SDAbulletpoints"/>
      </w:pPr>
      <w:r w:rsidRPr="001C3654">
        <w:t xml:space="preserve">Consider whether </w:t>
      </w:r>
      <w:r w:rsidR="00D84A98" w:rsidRPr="001C3654">
        <w:t xml:space="preserve">DFAT’s Pacific Division in Canberra requires a role in directly managing these types of programs; and what role </w:t>
      </w:r>
      <w:r w:rsidR="00847741">
        <w:t xml:space="preserve">(if any) </w:t>
      </w:r>
      <w:r w:rsidR="00D84A98" w:rsidRPr="001C3654">
        <w:t xml:space="preserve">should be played by DFAT's Governance, </w:t>
      </w:r>
      <w:r w:rsidR="00845CA7" w:rsidRPr="001C3654">
        <w:t>Fragility and</w:t>
      </w:r>
      <w:r w:rsidR="001B5A89">
        <w:t xml:space="preserve"> Water</w:t>
      </w:r>
      <w:r w:rsidR="00845CA7" w:rsidRPr="001C3654">
        <w:t xml:space="preserve"> </w:t>
      </w:r>
      <w:r w:rsidR="00D84A98" w:rsidRPr="001C3654">
        <w:t>Branch</w:t>
      </w:r>
    </w:p>
    <w:p w14:paraId="2369A6CB" w14:textId="77777777" w:rsidR="00D84A98" w:rsidRPr="001C3654" w:rsidRDefault="008E7A69" w:rsidP="001C3654">
      <w:pPr>
        <w:pStyle w:val="SDAbulletpoints"/>
      </w:pPr>
      <w:r w:rsidRPr="001C3654">
        <w:t>Consider whether o</w:t>
      </w:r>
      <w:r w:rsidR="00D84A98" w:rsidRPr="001C3654">
        <w:t>ne or more Pacific bilateral programs might provide a more effective ‘</w:t>
      </w:r>
      <w:r w:rsidR="001B5A89">
        <w:t>enabling</w:t>
      </w:r>
      <w:r w:rsidR="001B5A89" w:rsidRPr="001C3654">
        <w:t xml:space="preserve"> </w:t>
      </w:r>
      <w:r w:rsidR="00D84A98" w:rsidRPr="001C3654">
        <w:t>environment’, and which bilateral programs have appetite for this kind of innovation and experimentation</w:t>
      </w:r>
    </w:p>
    <w:p w14:paraId="27308041" w14:textId="77777777" w:rsidR="00D84A98" w:rsidRPr="001C3654" w:rsidRDefault="008E7A69" w:rsidP="001C3654">
      <w:pPr>
        <w:pStyle w:val="SDAbulletpoints"/>
      </w:pPr>
      <w:r w:rsidRPr="001C3654">
        <w:t>Consider whether f</w:t>
      </w:r>
      <w:r w:rsidR="00D84A98" w:rsidRPr="001C3654">
        <w:t>unding (i.e. co-contributions) from bilateral programs offer opportunities for improved ownership, influence and integration</w:t>
      </w:r>
    </w:p>
    <w:p w14:paraId="0AB51489" w14:textId="77777777" w:rsidR="00D84A98" w:rsidRPr="001C3654" w:rsidRDefault="008E7A69" w:rsidP="001C3654">
      <w:pPr>
        <w:pStyle w:val="SDAbulletpoints"/>
      </w:pPr>
      <w:r w:rsidRPr="001C3654">
        <w:t>Consider whether r</w:t>
      </w:r>
      <w:r w:rsidR="00D84A98" w:rsidRPr="001C3654">
        <w:t>ecently tendered new leadership and/or research programs offer opportunities for stronger integration and coordination among similar programs.</w:t>
      </w:r>
    </w:p>
    <w:p w14:paraId="5FE173DB" w14:textId="68852D6C" w:rsidR="00E7145A" w:rsidRPr="00347F33" w:rsidRDefault="00D3246B" w:rsidP="00964609">
      <w:pPr>
        <w:pStyle w:val="ListParagraph"/>
        <w:pBdr>
          <w:top w:val="single" w:sz="4" w:space="1" w:color="auto"/>
          <w:left w:val="single" w:sz="4" w:space="4" w:color="auto"/>
          <w:bottom w:val="single" w:sz="4" w:space="1" w:color="auto"/>
          <w:right w:val="single" w:sz="4" w:space="4" w:color="auto"/>
        </w:pBdr>
        <w:shd w:val="clear" w:color="auto" w:fill="B8CCE4" w:themeFill="accent1" w:themeFillTint="66"/>
        <w:spacing w:before="120"/>
        <w:ind w:left="0"/>
        <w:contextualSpacing w:val="0"/>
        <w:rPr>
          <w:rFonts w:eastAsia="Calibri" w:cstheme="minorHAnsi"/>
          <w:b/>
        </w:rPr>
      </w:pPr>
      <w:r w:rsidRPr="00347F33">
        <w:rPr>
          <w:rFonts w:eastAsia="Calibri" w:cstheme="minorHAnsi"/>
          <w:b/>
          <w:i/>
        </w:rPr>
        <w:t xml:space="preserve">Recommendation </w:t>
      </w:r>
      <w:r w:rsidR="003129AF">
        <w:rPr>
          <w:rFonts w:eastAsia="Calibri" w:cstheme="minorHAnsi"/>
          <w:b/>
          <w:i/>
        </w:rPr>
        <w:t>3</w:t>
      </w:r>
      <w:r w:rsidRPr="00347F33">
        <w:rPr>
          <w:rFonts w:eastAsia="Calibri" w:cstheme="minorHAnsi"/>
          <w:b/>
        </w:rPr>
        <w:t xml:space="preserve">: </w:t>
      </w:r>
      <w:r w:rsidR="003B1998">
        <w:rPr>
          <w:rFonts w:eastAsia="Calibri" w:cstheme="minorHAnsi"/>
          <w:b/>
        </w:rPr>
        <w:t>DFAT to consider key</w:t>
      </w:r>
      <w:r w:rsidR="00E7145A" w:rsidRPr="00347F33">
        <w:rPr>
          <w:rFonts w:eastAsia="Calibri" w:cstheme="minorHAnsi"/>
          <w:b/>
        </w:rPr>
        <w:t xml:space="preserve"> threshold issues in determining any future investment in this space</w:t>
      </w:r>
    </w:p>
    <w:p w14:paraId="67267937" w14:textId="77777777" w:rsidR="00E7145A" w:rsidRPr="00347F33" w:rsidRDefault="00E7145A" w:rsidP="00105CAD">
      <w:pPr>
        <w:pStyle w:val="ListParagraph"/>
        <w:numPr>
          <w:ilvl w:val="0"/>
          <w:numId w:val="64"/>
        </w:numPr>
        <w:spacing w:before="120"/>
        <w:contextualSpacing w:val="0"/>
        <w:rPr>
          <w:rFonts w:eastAsia="Calibri" w:cstheme="minorHAnsi"/>
        </w:rPr>
      </w:pPr>
      <w:r w:rsidRPr="00347F33">
        <w:rPr>
          <w:rFonts w:eastAsia="Calibri" w:cstheme="minorHAnsi"/>
        </w:rPr>
        <w:t>Key threshold questions</w:t>
      </w:r>
      <w:r w:rsidRPr="00347F33">
        <w:rPr>
          <w:rStyle w:val="FootnoteReference"/>
          <w:rFonts w:eastAsia="Calibri" w:cstheme="minorHAnsi"/>
        </w:rPr>
        <w:footnoteReference w:id="21"/>
      </w:r>
      <w:r w:rsidRPr="00347F33">
        <w:rPr>
          <w:rFonts w:eastAsia="Calibri" w:cstheme="minorHAnsi"/>
        </w:rPr>
        <w:t xml:space="preserve"> include, but are not limited to:</w:t>
      </w:r>
    </w:p>
    <w:p w14:paraId="4A0518F5" w14:textId="77777777" w:rsidR="00E7145A" w:rsidRPr="001C3654" w:rsidRDefault="00E7145A" w:rsidP="001C3654">
      <w:pPr>
        <w:pStyle w:val="SDAbulletpoints"/>
      </w:pPr>
      <w:r w:rsidRPr="001C3654">
        <w:t>What is DFAT’s level of interest in, and capacity for, investing in experimental, innovative and learning programs as one part of its broader efforts around improved governance, developmental leadership and transformational change?</w:t>
      </w:r>
    </w:p>
    <w:p w14:paraId="409B5103" w14:textId="77777777" w:rsidR="00E7145A" w:rsidRPr="001C3654" w:rsidRDefault="00E7145A" w:rsidP="001C3654">
      <w:pPr>
        <w:pStyle w:val="SDAbulletpoints"/>
      </w:pPr>
      <w:r w:rsidRPr="001C3654">
        <w:t>What is the value of a program like PLP to Australia’s long-term national interests in the Pacific? Is PLP (or a PLP-style approach) a relevant tool in DFAT's broader portfolio to support Australia’s ‘stepped up’ engagement in the Pacific?</w:t>
      </w:r>
    </w:p>
    <w:p w14:paraId="217FAA0C" w14:textId="77777777" w:rsidR="00E7145A" w:rsidRPr="001C3654" w:rsidRDefault="00E7145A" w:rsidP="001C3654">
      <w:pPr>
        <w:pStyle w:val="SDAbulletpoints"/>
      </w:pPr>
      <w:r w:rsidRPr="001C3654">
        <w:t>Which elements of PLP3 might be well placed to support Australia’s engagement in the Pacific, adding value to Australia’s bilateral programs and diplomatic presence?</w:t>
      </w:r>
    </w:p>
    <w:p w14:paraId="39AB4C8D" w14:textId="77777777" w:rsidR="00E7145A" w:rsidRPr="001C3654" w:rsidRDefault="00E7145A" w:rsidP="001C3654">
      <w:pPr>
        <w:pStyle w:val="SDAbulletpoints"/>
      </w:pPr>
      <w:r w:rsidRPr="001C3654">
        <w:t xml:space="preserve">What implementation arrangements </w:t>
      </w:r>
      <w:r w:rsidR="00964609">
        <w:t xml:space="preserve">and contracting modalities </w:t>
      </w:r>
      <w:r w:rsidRPr="001C3654">
        <w:t>might provide the appropriate ‘</w:t>
      </w:r>
      <w:r w:rsidR="008E7A69">
        <w:t>enabling</w:t>
      </w:r>
      <w:r w:rsidR="008E7A69" w:rsidRPr="001C3654">
        <w:t xml:space="preserve"> </w:t>
      </w:r>
      <w:r w:rsidRPr="001C3654">
        <w:t>environment’ and enable DFAT to engage with, and extract more value out of, PLP or programs like PLP?</w:t>
      </w:r>
    </w:p>
    <w:p w14:paraId="7BA48DEB" w14:textId="77777777" w:rsidR="00F85C39" w:rsidRDefault="00E7145A" w:rsidP="001C3654">
      <w:pPr>
        <w:pStyle w:val="SDAbulletpoints"/>
      </w:pPr>
      <w:r w:rsidRPr="001C3654">
        <w:t xml:space="preserve">With which partners might DFAT consider it is in their interest to stay engaged, in some form, rather than vacate that space leaving it open to other </w:t>
      </w:r>
      <w:r w:rsidR="00B37302">
        <w:t xml:space="preserve">regional </w:t>
      </w:r>
      <w:r w:rsidRPr="001C3654">
        <w:t xml:space="preserve">players? </w:t>
      </w:r>
    </w:p>
    <w:p w14:paraId="72E56242" w14:textId="77777777" w:rsidR="00E7145A" w:rsidRPr="00F85C39" w:rsidRDefault="002E1836" w:rsidP="001C3654">
      <w:pPr>
        <w:pStyle w:val="SDAbulletpoints"/>
      </w:pPr>
      <w:r w:rsidRPr="00F85C39">
        <w:t xml:space="preserve">With which coalitions are there </w:t>
      </w:r>
      <w:r w:rsidRPr="001C3654">
        <w:rPr>
          <w:rFonts w:eastAsia="Calibri" w:cstheme="minorHAnsi"/>
        </w:rPr>
        <w:t>sufficient mutual interests to tolerat</w:t>
      </w:r>
      <w:r w:rsidR="00212EBE">
        <w:rPr>
          <w:rFonts w:eastAsia="Calibri" w:cstheme="minorHAnsi"/>
        </w:rPr>
        <w:t>e</w:t>
      </w:r>
      <w:r w:rsidRPr="001C3654">
        <w:rPr>
          <w:rFonts w:eastAsia="Calibri" w:cstheme="minorHAnsi"/>
        </w:rPr>
        <w:t xml:space="preserve"> a </w:t>
      </w:r>
      <w:r w:rsidR="00F85C39" w:rsidRPr="001C3654">
        <w:rPr>
          <w:rFonts w:eastAsia="Calibri" w:cstheme="minorHAnsi"/>
        </w:rPr>
        <w:t xml:space="preserve">(possible) </w:t>
      </w:r>
      <w:r w:rsidRPr="001C3654">
        <w:rPr>
          <w:rFonts w:eastAsia="Calibri" w:cstheme="minorHAnsi"/>
        </w:rPr>
        <w:t>level of divergence</w:t>
      </w:r>
      <w:r w:rsidR="00F85C39">
        <w:rPr>
          <w:rFonts w:eastAsia="Calibri" w:cstheme="minorHAnsi"/>
        </w:rPr>
        <w:t xml:space="preserve"> in policy discussions</w:t>
      </w:r>
      <w:r w:rsidR="00F85C39" w:rsidRPr="001C3654">
        <w:rPr>
          <w:rFonts w:eastAsia="Calibri" w:cstheme="minorHAnsi"/>
        </w:rPr>
        <w:t xml:space="preserve">, seeking </w:t>
      </w:r>
      <w:r w:rsidRPr="001C3654">
        <w:rPr>
          <w:rFonts w:eastAsia="Calibri" w:cstheme="minorHAnsi"/>
        </w:rPr>
        <w:t xml:space="preserve">an appropriate balance between </w:t>
      </w:r>
      <w:r w:rsidR="00F85C39">
        <w:rPr>
          <w:rFonts w:eastAsia="Calibri" w:cstheme="minorHAnsi"/>
        </w:rPr>
        <w:t xml:space="preserve">DFAT’s </w:t>
      </w:r>
      <w:r w:rsidRPr="001C3654">
        <w:rPr>
          <w:rFonts w:eastAsia="Calibri" w:cstheme="minorHAnsi"/>
        </w:rPr>
        <w:t xml:space="preserve">short-term objectives </w:t>
      </w:r>
      <w:r w:rsidR="00F85C39" w:rsidRPr="001C3654">
        <w:rPr>
          <w:rFonts w:eastAsia="Calibri" w:cstheme="minorHAnsi"/>
        </w:rPr>
        <w:t>and</w:t>
      </w:r>
      <w:r w:rsidRPr="001C3654">
        <w:rPr>
          <w:rFonts w:eastAsia="Calibri" w:cstheme="minorHAnsi"/>
        </w:rPr>
        <w:t xml:space="preserve"> long-term interests</w:t>
      </w:r>
      <w:r w:rsidR="00F85C39" w:rsidRPr="001C3654">
        <w:rPr>
          <w:rFonts w:eastAsia="Calibri" w:cstheme="minorHAnsi"/>
        </w:rPr>
        <w:t>?</w:t>
      </w:r>
    </w:p>
    <w:p w14:paraId="64F781C6" w14:textId="77777777" w:rsidR="002E1836" w:rsidRPr="001C3654" w:rsidRDefault="00F85C39" w:rsidP="001C3654">
      <w:pPr>
        <w:pStyle w:val="SDAbulletpoints"/>
      </w:pPr>
      <w:r w:rsidRPr="001C3654">
        <w:t xml:space="preserve">When, and in what partnerships, is </w:t>
      </w:r>
      <w:r w:rsidR="00964609">
        <w:t>it better</w:t>
      </w:r>
      <w:r w:rsidRPr="001C3654">
        <w:t xml:space="preserve"> </w:t>
      </w:r>
      <w:r>
        <w:t xml:space="preserve">to work </w:t>
      </w:r>
      <w:r w:rsidR="002E1836" w:rsidRPr="001C3654">
        <w:t>behind the scenes in support of local actors</w:t>
      </w:r>
      <w:r w:rsidRPr="001C3654">
        <w:t>, and when</w:t>
      </w:r>
      <w:r>
        <w:t xml:space="preserve"> </w:t>
      </w:r>
      <w:r w:rsidR="002E1836" w:rsidRPr="001C3654">
        <w:t xml:space="preserve">does </w:t>
      </w:r>
      <w:r w:rsidRPr="001C3654">
        <w:t>DFAT require greater</w:t>
      </w:r>
      <w:r w:rsidRPr="00F85C39">
        <w:t xml:space="preserve"> </w:t>
      </w:r>
      <w:r w:rsidR="00964609" w:rsidRPr="00F85C39">
        <w:t>visibility</w:t>
      </w:r>
      <w:r w:rsidRPr="00F85C39">
        <w:t>, in</w:t>
      </w:r>
      <w:r w:rsidRPr="001C3654">
        <w:t>cluding in terms of branding?</w:t>
      </w:r>
    </w:p>
    <w:p w14:paraId="063A7641" w14:textId="77777777" w:rsidR="00E7145A" w:rsidRPr="00347F33" w:rsidRDefault="0006260F" w:rsidP="00964609">
      <w:pPr>
        <w:pStyle w:val="ListParagraph"/>
        <w:pBdr>
          <w:top w:val="single" w:sz="4" w:space="1" w:color="auto"/>
          <w:left w:val="single" w:sz="4" w:space="4" w:color="auto"/>
          <w:bottom w:val="single" w:sz="4" w:space="1" w:color="auto"/>
          <w:right w:val="single" w:sz="4" w:space="4" w:color="auto"/>
        </w:pBdr>
        <w:shd w:val="clear" w:color="auto" w:fill="B8CCE4" w:themeFill="accent1" w:themeFillTint="66"/>
        <w:spacing w:before="120"/>
        <w:ind w:left="0"/>
        <w:contextualSpacing w:val="0"/>
        <w:rPr>
          <w:rFonts w:eastAsia="Calibri" w:cstheme="minorHAnsi"/>
          <w:b/>
        </w:rPr>
      </w:pPr>
      <w:r w:rsidRPr="00347F33">
        <w:rPr>
          <w:rFonts w:eastAsia="Calibri" w:cstheme="minorHAnsi"/>
          <w:b/>
          <w:i/>
        </w:rPr>
        <w:t xml:space="preserve">Recommendation </w:t>
      </w:r>
      <w:r w:rsidR="003129AF">
        <w:rPr>
          <w:rFonts w:eastAsia="Calibri" w:cstheme="minorHAnsi"/>
          <w:b/>
          <w:i/>
        </w:rPr>
        <w:t>4</w:t>
      </w:r>
      <w:r w:rsidR="00D3246B" w:rsidRPr="00347F33">
        <w:rPr>
          <w:rFonts w:eastAsia="Calibri" w:cstheme="minorHAnsi"/>
          <w:b/>
        </w:rPr>
        <w:t xml:space="preserve">: </w:t>
      </w:r>
      <w:r w:rsidR="00E7145A" w:rsidRPr="00347F33">
        <w:rPr>
          <w:rFonts w:eastAsia="Calibri" w:cstheme="minorHAnsi"/>
          <w:b/>
        </w:rPr>
        <w:t>DFAT to reshape the program</w:t>
      </w:r>
    </w:p>
    <w:p w14:paraId="0BD74F9E" w14:textId="20036E34" w:rsidR="00E7145A" w:rsidRPr="00347F33" w:rsidRDefault="00E7145A" w:rsidP="00105CAD">
      <w:pPr>
        <w:pStyle w:val="ListParagraph"/>
        <w:numPr>
          <w:ilvl w:val="0"/>
          <w:numId w:val="64"/>
        </w:numPr>
        <w:spacing w:before="120"/>
        <w:contextualSpacing w:val="0"/>
        <w:rPr>
          <w:rFonts w:eastAsia="Calibri" w:cstheme="minorHAnsi"/>
        </w:rPr>
      </w:pPr>
      <w:r w:rsidRPr="00347F33">
        <w:rPr>
          <w:rFonts w:eastAsia="Calibri" w:cstheme="minorHAnsi"/>
        </w:rPr>
        <w:t xml:space="preserve">We recommend DFAT </w:t>
      </w:r>
      <w:r w:rsidR="008E7A69">
        <w:rPr>
          <w:rFonts w:eastAsia="Calibri" w:cstheme="minorHAnsi"/>
        </w:rPr>
        <w:t xml:space="preserve">reshapes and </w:t>
      </w:r>
      <w:r w:rsidRPr="00347F33">
        <w:rPr>
          <w:rFonts w:eastAsia="Calibri" w:cstheme="minorHAnsi"/>
        </w:rPr>
        <w:t>re-engages with an innovative investment</w:t>
      </w:r>
      <w:r w:rsidR="008E7A69">
        <w:rPr>
          <w:rFonts w:eastAsia="Calibri" w:cstheme="minorHAnsi"/>
        </w:rPr>
        <w:t xml:space="preserve"> in developmental leadership that builds on PLP3’s experience, program components, relationships and lessons learned.</w:t>
      </w:r>
      <w:r w:rsidRPr="00347F33">
        <w:rPr>
          <w:rFonts w:eastAsia="Calibri" w:cstheme="minorHAnsi"/>
        </w:rPr>
        <w:t xml:space="preserve"> DFAT will need to address the weaknesses of strategic leadership and communication that are evident within PLP3, but has an opportunity to </w:t>
      </w:r>
      <w:r w:rsidR="008E7A69">
        <w:rPr>
          <w:rFonts w:eastAsia="Calibri" w:cstheme="minorHAnsi"/>
        </w:rPr>
        <w:t>build on its investment in a way that best fits the current policy and institutional context</w:t>
      </w:r>
      <w:r w:rsidR="00E74495">
        <w:rPr>
          <w:rFonts w:eastAsia="Calibri" w:cstheme="minorHAnsi"/>
        </w:rPr>
        <w:t xml:space="preserve"> within which it man</w:t>
      </w:r>
      <w:r w:rsidR="00F6733F">
        <w:rPr>
          <w:rFonts w:eastAsia="Calibri" w:cstheme="minorHAnsi"/>
        </w:rPr>
        <w:t>ages Australia’s aid program</w:t>
      </w:r>
      <w:r w:rsidR="008E7A69">
        <w:rPr>
          <w:rFonts w:eastAsia="Calibri" w:cstheme="minorHAnsi"/>
        </w:rPr>
        <w:t>.</w:t>
      </w:r>
      <w:r w:rsidR="008E7A69" w:rsidRPr="00347F33">
        <w:rPr>
          <w:rFonts w:eastAsia="Calibri" w:cstheme="minorHAnsi"/>
        </w:rPr>
        <w:t xml:space="preserve"> </w:t>
      </w:r>
    </w:p>
    <w:p w14:paraId="5E16161F" w14:textId="77777777" w:rsidR="000C0E6F" w:rsidRPr="001C3654" w:rsidRDefault="000C0E6F" w:rsidP="00964609">
      <w:pPr>
        <w:pStyle w:val="ListParagraph"/>
        <w:pBdr>
          <w:top w:val="single" w:sz="4" w:space="1" w:color="auto"/>
          <w:left w:val="single" w:sz="4" w:space="4" w:color="auto"/>
          <w:bottom w:val="single" w:sz="4" w:space="1" w:color="auto"/>
          <w:right w:val="single" w:sz="4" w:space="4" w:color="auto"/>
        </w:pBdr>
        <w:shd w:val="clear" w:color="auto" w:fill="B8CCE4" w:themeFill="accent1" w:themeFillTint="66"/>
        <w:spacing w:before="120"/>
        <w:ind w:left="0"/>
        <w:contextualSpacing w:val="0"/>
        <w:rPr>
          <w:rFonts w:eastAsia="Calibri" w:cstheme="minorHAnsi"/>
          <w:b/>
          <w:i/>
        </w:rPr>
      </w:pPr>
      <w:r w:rsidRPr="001C3654">
        <w:rPr>
          <w:rFonts w:eastAsia="Calibri" w:cstheme="minorHAnsi"/>
          <w:b/>
          <w:i/>
        </w:rPr>
        <w:t xml:space="preserve">Recommendation 5: </w:t>
      </w:r>
      <w:r w:rsidRPr="00964609">
        <w:rPr>
          <w:rFonts w:eastAsia="Calibri" w:cstheme="minorHAnsi"/>
          <w:b/>
        </w:rPr>
        <w:t>DFAT to further investigate w</w:t>
      </w:r>
      <w:r w:rsidR="00E7145A" w:rsidRPr="00964609">
        <w:rPr>
          <w:rFonts w:eastAsia="Calibri" w:cstheme="minorHAnsi"/>
          <w:b/>
        </w:rPr>
        <w:t xml:space="preserve">hat a reshaped PLP </w:t>
      </w:r>
      <w:r w:rsidR="002E3904" w:rsidRPr="00964609">
        <w:rPr>
          <w:rFonts w:eastAsia="Calibri" w:cstheme="minorHAnsi"/>
          <w:b/>
        </w:rPr>
        <w:t xml:space="preserve">should </w:t>
      </w:r>
      <w:r w:rsidR="00E7145A" w:rsidRPr="00964609">
        <w:rPr>
          <w:rFonts w:eastAsia="Calibri" w:cstheme="minorHAnsi"/>
          <w:b/>
        </w:rPr>
        <w:t>look like</w:t>
      </w:r>
    </w:p>
    <w:p w14:paraId="105B862C" w14:textId="77777777" w:rsidR="00E7145A" w:rsidRPr="00347F33" w:rsidRDefault="000C0E6F" w:rsidP="002E3904">
      <w:pPr>
        <w:pStyle w:val="ListParagraph"/>
        <w:numPr>
          <w:ilvl w:val="0"/>
          <w:numId w:val="64"/>
        </w:numPr>
        <w:spacing w:before="120"/>
        <w:contextualSpacing w:val="0"/>
        <w:rPr>
          <w:rFonts w:eastAsia="Calibri" w:cstheme="minorHAnsi"/>
        </w:rPr>
      </w:pPr>
      <w:r>
        <w:rPr>
          <w:rFonts w:eastAsia="Calibri" w:cstheme="minorHAnsi"/>
        </w:rPr>
        <w:t xml:space="preserve">This report and its recommendations are based on an evaluation, not on a design mission. </w:t>
      </w:r>
      <w:r w:rsidR="002E3904">
        <w:rPr>
          <w:rFonts w:eastAsia="Calibri" w:cstheme="minorHAnsi"/>
        </w:rPr>
        <w:t>However, w</w:t>
      </w:r>
      <w:r w:rsidR="00E7145A" w:rsidRPr="00347F33">
        <w:rPr>
          <w:rFonts w:eastAsia="Calibri" w:cstheme="minorHAnsi"/>
        </w:rPr>
        <w:t xml:space="preserve">e offer </w:t>
      </w:r>
      <w:r w:rsidR="002E3904">
        <w:rPr>
          <w:rFonts w:eastAsia="Calibri" w:cstheme="minorHAnsi"/>
        </w:rPr>
        <w:t xml:space="preserve">some </w:t>
      </w:r>
      <w:r w:rsidR="00E7145A" w:rsidRPr="00347F33">
        <w:rPr>
          <w:rFonts w:eastAsia="Calibri" w:cstheme="minorHAnsi"/>
        </w:rPr>
        <w:t xml:space="preserve">preliminary views </w:t>
      </w:r>
      <w:r w:rsidR="001B5A89">
        <w:rPr>
          <w:rFonts w:eastAsia="Calibri" w:cstheme="minorHAnsi"/>
        </w:rPr>
        <w:t>on what a reshaped invest</w:t>
      </w:r>
      <w:r w:rsidR="002E3904">
        <w:rPr>
          <w:rFonts w:eastAsia="Calibri" w:cstheme="minorHAnsi"/>
        </w:rPr>
        <w:t xml:space="preserve">ment might look like </w:t>
      </w:r>
      <w:r w:rsidR="00E7145A" w:rsidRPr="00347F33">
        <w:rPr>
          <w:rFonts w:eastAsia="Calibri" w:cstheme="minorHAnsi"/>
        </w:rPr>
        <w:t>for any transition period and/or design.</w:t>
      </w:r>
    </w:p>
    <w:p w14:paraId="2236F079" w14:textId="77777777" w:rsidR="00C55A16" w:rsidRPr="001C3654" w:rsidRDefault="00C55A16" w:rsidP="001C3654">
      <w:pPr>
        <w:pStyle w:val="SDAbulletpoints"/>
      </w:pPr>
      <w:r w:rsidRPr="001C3654">
        <w:t xml:space="preserve">A program of this kind should be held close by DFAT for the purposes of providing an </w:t>
      </w:r>
      <w:r w:rsidR="00E74495">
        <w:t>enabling</w:t>
      </w:r>
      <w:r w:rsidR="00E74495" w:rsidRPr="001C3654">
        <w:t xml:space="preserve"> </w:t>
      </w:r>
      <w:r w:rsidRPr="001C3654">
        <w:t>environment for adaptation and iteration; for understanding what works and internalising learning; and for effectively managing risk.</w:t>
      </w:r>
    </w:p>
    <w:p w14:paraId="30B4050F" w14:textId="77777777" w:rsidR="00C55A16" w:rsidRPr="001C3654" w:rsidRDefault="00C55A16" w:rsidP="001C3654">
      <w:pPr>
        <w:pStyle w:val="SDAbulletpoints"/>
      </w:pPr>
      <w:r w:rsidRPr="001C3654">
        <w:t>A program of this kind should be led by an influential Pacific Islander or co-led by a Pacific Islander and an Australian, retaining core local staff</w:t>
      </w:r>
      <w:r w:rsidR="005F49BC" w:rsidRPr="001C3654">
        <w:t>.</w:t>
      </w:r>
    </w:p>
    <w:p w14:paraId="0532E5A6" w14:textId="77777777" w:rsidR="00C55A16" w:rsidRPr="001C3654" w:rsidRDefault="00C55A16" w:rsidP="001C3654">
      <w:pPr>
        <w:pStyle w:val="SDAbulletpoints"/>
      </w:pPr>
      <w:r w:rsidRPr="001C3654">
        <w:t xml:space="preserve">Valuable elements of PLP3 should be retained, including </w:t>
      </w:r>
      <w:r w:rsidR="00845CA7" w:rsidRPr="001C3654">
        <w:t xml:space="preserve">flexible </w:t>
      </w:r>
      <w:r w:rsidR="00E74495">
        <w:t xml:space="preserve">and iterative </w:t>
      </w:r>
      <w:r w:rsidR="00845CA7" w:rsidRPr="001C3654">
        <w:t xml:space="preserve">support for developmental coalitions; an approach built on relationships which support Pacific-led change; </w:t>
      </w:r>
      <w:r w:rsidRPr="001C3654">
        <w:t xml:space="preserve">well-targeted adaptive leadership training to support individuals leading developmental </w:t>
      </w:r>
      <w:r w:rsidR="00E74495">
        <w:t>reforms</w:t>
      </w:r>
      <w:r w:rsidRPr="001C3654">
        <w:t>; the Greg Urwin Awards (including a focus on placements in Australia); and an investment in research. More value can be extracted from these elements.</w:t>
      </w:r>
    </w:p>
    <w:p w14:paraId="0CA0B294" w14:textId="77777777" w:rsidR="00C55A16" w:rsidRPr="001C3654" w:rsidRDefault="00C55A16" w:rsidP="001C3654">
      <w:pPr>
        <w:pStyle w:val="SDAbulletpoints"/>
      </w:pPr>
      <w:r w:rsidRPr="001C3654">
        <w:t xml:space="preserve">Ensure an appropriate scale with as much certainty as possible, refining the scope of the program if necessary (e.g. possibly a reduction in focus countries; ceding the women's leadership space to </w:t>
      </w:r>
      <w:r w:rsidRPr="001C3654">
        <w:rPr>
          <w:i/>
        </w:rPr>
        <w:t>Pacific Women</w:t>
      </w:r>
      <w:r w:rsidRPr="001C3654">
        <w:t xml:space="preserve"> (or closer integration with </w:t>
      </w:r>
      <w:r w:rsidRPr="001C3654">
        <w:rPr>
          <w:i/>
        </w:rPr>
        <w:t>Pacific Women</w:t>
      </w:r>
      <w:r w:rsidRPr="001C3654">
        <w:t>); reduc</w:t>
      </w:r>
      <w:r w:rsidR="005A0FE4">
        <w:t>ing</w:t>
      </w:r>
      <w:r w:rsidRPr="001C3654">
        <w:t xml:space="preserve"> </w:t>
      </w:r>
      <w:r w:rsidR="001B5A89">
        <w:t xml:space="preserve">the number of </w:t>
      </w:r>
      <w:r w:rsidRPr="001C3654">
        <w:t xml:space="preserve">priority areas; </w:t>
      </w:r>
      <w:r w:rsidR="005F49BC" w:rsidRPr="001C3654">
        <w:t>replac</w:t>
      </w:r>
      <w:r w:rsidR="005A0FE4">
        <w:t>ing</w:t>
      </w:r>
      <w:r w:rsidR="005F49BC" w:rsidRPr="001C3654">
        <w:t xml:space="preserve"> the</w:t>
      </w:r>
      <w:r w:rsidR="00217C48" w:rsidRPr="001C3654">
        <w:t xml:space="preserve"> regional advisory </w:t>
      </w:r>
      <w:r w:rsidR="001B5A89">
        <w:t>panel</w:t>
      </w:r>
      <w:r w:rsidR="001B5A89" w:rsidRPr="001C3654">
        <w:t xml:space="preserve"> </w:t>
      </w:r>
      <w:r w:rsidR="005F49BC" w:rsidRPr="001C3654">
        <w:t>with</w:t>
      </w:r>
      <w:r w:rsidR="00217C48" w:rsidRPr="001C3654">
        <w:t xml:space="preserve"> small steering</w:t>
      </w:r>
      <w:r w:rsidR="00845CA7" w:rsidRPr="001C3654">
        <w:t>/working</w:t>
      </w:r>
      <w:r w:rsidR="00217C48" w:rsidRPr="001C3654">
        <w:t xml:space="preserve"> committees at a national level which include DFAT Post representation; </w:t>
      </w:r>
      <w:r w:rsidRPr="001C3654">
        <w:t>sharpen</w:t>
      </w:r>
      <w:r w:rsidR="005A0FE4">
        <w:t>ing</w:t>
      </w:r>
      <w:r w:rsidR="00217C48" w:rsidRPr="001C3654">
        <w:t xml:space="preserve"> the </w:t>
      </w:r>
      <w:r w:rsidRPr="001C3654">
        <w:t xml:space="preserve">focus </w:t>
      </w:r>
      <w:r w:rsidR="0006260F" w:rsidRPr="001C3654">
        <w:t xml:space="preserve">of investments </w:t>
      </w:r>
      <w:r w:rsidRPr="001C3654">
        <w:t>on individuals and coalitions that are leading change.)</w:t>
      </w:r>
    </w:p>
    <w:p w14:paraId="0BEF7DC2" w14:textId="77777777" w:rsidR="00D3246B" w:rsidRPr="001C3654" w:rsidRDefault="00C55A16" w:rsidP="001C3654">
      <w:pPr>
        <w:pStyle w:val="SDAbulletpoints"/>
      </w:pPr>
      <w:r w:rsidRPr="001C3654">
        <w:t xml:space="preserve">Treat PLP as a long-term investment, not expecting short-term results. Ensure the investment is linked into DFAT’s other funded research programs, clearly position the program as a space for experimentation, and identify appropriate linkages with the </w:t>
      </w:r>
      <w:r w:rsidRPr="001C3654">
        <w:rPr>
          <w:i/>
        </w:rPr>
        <w:t>Pacific Research Program</w:t>
      </w:r>
      <w:r w:rsidRPr="001C3654">
        <w:t xml:space="preserve">, </w:t>
      </w:r>
      <w:r w:rsidRPr="001C3654">
        <w:rPr>
          <w:i/>
        </w:rPr>
        <w:t>Pacific Women</w:t>
      </w:r>
      <w:r w:rsidRPr="001C3654">
        <w:t xml:space="preserve">, </w:t>
      </w:r>
      <w:r w:rsidRPr="001C3654">
        <w:rPr>
          <w:i/>
        </w:rPr>
        <w:t>Pacific Connect</w:t>
      </w:r>
      <w:r w:rsidRPr="001C3654">
        <w:t xml:space="preserve"> and the </w:t>
      </w:r>
      <w:r w:rsidRPr="001C3654">
        <w:rPr>
          <w:i/>
        </w:rPr>
        <w:t>Women’s Leadership Initiative</w:t>
      </w:r>
      <w:r w:rsidRPr="001C3654">
        <w:t xml:space="preserve">. </w:t>
      </w:r>
    </w:p>
    <w:p w14:paraId="7DB83278" w14:textId="77777777" w:rsidR="0006260F" w:rsidRPr="00347F33" w:rsidRDefault="0006260F" w:rsidP="00AB0684">
      <w:pPr>
        <w:pStyle w:val="ListParagraph"/>
        <w:pBdr>
          <w:top w:val="single" w:sz="4" w:space="1" w:color="auto"/>
          <w:left w:val="single" w:sz="4" w:space="4" w:color="auto"/>
          <w:bottom w:val="single" w:sz="4" w:space="1" w:color="auto"/>
          <w:right w:val="single" w:sz="4" w:space="4" w:color="auto"/>
        </w:pBdr>
        <w:shd w:val="clear" w:color="auto" w:fill="B8CCE4" w:themeFill="accent1" w:themeFillTint="66"/>
        <w:spacing w:before="120"/>
        <w:ind w:left="0"/>
        <w:contextualSpacing w:val="0"/>
        <w:rPr>
          <w:rFonts w:eastAsia="Calibri" w:cstheme="minorHAnsi"/>
          <w:b/>
        </w:rPr>
      </w:pPr>
      <w:r w:rsidRPr="00347F33">
        <w:rPr>
          <w:rFonts w:eastAsia="Calibri" w:cstheme="minorHAnsi"/>
          <w:b/>
          <w:i/>
        </w:rPr>
        <w:t xml:space="preserve">Recommendation </w:t>
      </w:r>
      <w:r w:rsidR="002E3904">
        <w:rPr>
          <w:rFonts w:eastAsia="Calibri" w:cstheme="minorHAnsi"/>
          <w:b/>
          <w:i/>
        </w:rPr>
        <w:t>6</w:t>
      </w:r>
      <w:r w:rsidRPr="00347F33">
        <w:rPr>
          <w:rFonts w:eastAsia="Calibri" w:cstheme="minorHAnsi"/>
          <w:b/>
        </w:rPr>
        <w:t xml:space="preserve">: DFAT to determine the future of PLP as a priority </w:t>
      </w:r>
    </w:p>
    <w:p w14:paraId="1E75323D" w14:textId="77777777" w:rsidR="0006260F" w:rsidRPr="00347F33" w:rsidRDefault="0006260F" w:rsidP="00105CAD">
      <w:pPr>
        <w:pStyle w:val="ListParagraph"/>
        <w:numPr>
          <w:ilvl w:val="0"/>
          <w:numId w:val="64"/>
        </w:numPr>
        <w:spacing w:before="120"/>
        <w:contextualSpacing w:val="0"/>
        <w:rPr>
          <w:rFonts w:eastAsia="Calibri" w:cstheme="minorHAnsi"/>
        </w:rPr>
      </w:pPr>
      <w:r w:rsidRPr="00347F33">
        <w:rPr>
          <w:rFonts w:eastAsia="Calibri" w:cstheme="minorHAnsi"/>
        </w:rPr>
        <w:t xml:space="preserve">With PLP3 currently due to conclude in December 2017, there is not a lot of time to decide, plan for and implement whatever future scenario DFAT decides on: be it a smooth conclusion to PLP3, a further extension, a re-design or a transition to another arrangement.  Informed discussions and careful planning between DFAT’s Pacific regional program and its four bilateral programs (and other DFAT-funded programs too) will be important </w:t>
      </w:r>
      <w:r w:rsidR="00330F50">
        <w:rPr>
          <w:rFonts w:eastAsia="Calibri" w:cstheme="minorHAnsi"/>
        </w:rPr>
        <w:t xml:space="preserve">to </w:t>
      </w:r>
      <w:r w:rsidRPr="00347F33">
        <w:rPr>
          <w:rFonts w:eastAsia="Calibri" w:cstheme="minorHAnsi"/>
        </w:rPr>
        <w:t>whatever decision is made. In addition to the findings of this evaluation, DFAT should closely consider the findings of two research studies to be published in the next month: one on lessons learned around what makes some coalitions more successful</w:t>
      </w:r>
      <w:r w:rsidRPr="00347F33">
        <w:rPr>
          <w:rStyle w:val="FootnoteReference"/>
          <w:rFonts w:eastAsia="Calibri" w:cstheme="minorHAnsi"/>
        </w:rPr>
        <w:footnoteReference w:id="22"/>
      </w:r>
      <w:r w:rsidRPr="00347F33">
        <w:rPr>
          <w:rFonts w:eastAsia="Calibri" w:cstheme="minorHAnsi"/>
        </w:rPr>
        <w:t xml:space="preserve"> and the other on the effectiveness of PLP’s approach to the Green Growth Leaders’ Coalition (GGLC).</w:t>
      </w:r>
      <w:r w:rsidRPr="00347F33">
        <w:rPr>
          <w:rStyle w:val="FootnoteReference"/>
          <w:rFonts w:eastAsia="Calibri" w:cstheme="minorHAnsi"/>
        </w:rPr>
        <w:footnoteReference w:id="23"/>
      </w:r>
      <w:r w:rsidRPr="00347F33">
        <w:rPr>
          <w:rFonts w:eastAsia="Calibri" w:cstheme="minorHAnsi"/>
        </w:rPr>
        <w:t xml:space="preserve"> </w:t>
      </w:r>
    </w:p>
    <w:p w14:paraId="1114FF64" w14:textId="77777777" w:rsidR="00E7145A" w:rsidRPr="00347F33" w:rsidRDefault="00D3246B" w:rsidP="00AB0684">
      <w:pPr>
        <w:pStyle w:val="ListParagraph"/>
        <w:pBdr>
          <w:top w:val="single" w:sz="4" w:space="1" w:color="auto"/>
          <w:left w:val="single" w:sz="4" w:space="4" w:color="auto"/>
          <w:bottom w:val="single" w:sz="4" w:space="1" w:color="auto"/>
          <w:right w:val="single" w:sz="4" w:space="4" w:color="auto"/>
        </w:pBdr>
        <w:shd w:val="clear" w:color="auto" w:fill="B8CCE4" w:themeFill="accent1" w:themeFillTint="66"/>
        <w:spacing w:before="120"/>
        <w:ind w:left="0"/>
        <w:contextualSpacing w:val="0"/>
        <w:rPr>
          <w:rFonts w:eastAsia="Calibri" w:cstheme="minorHAnsi"/>
          <w:b/>
        </w:rPr>
      </w:pPr>
      <w:r w:rsidRPr="00347F33">
        <w:rPr>
          <w:rFonts w:eastAsia="Calibri" w:cstheme="minorHAnsi"/>
          <w:b/>
          <w:i/>
        </w:rPr>
        <w:t xml:space="preserve">Recommendation </w:t>
      </w:r>
      <w:r w:rsidR="002E3904">
        <w:rPr>
          <w:rFonts w:eastAsia="Calibri" w:cstheme="minorHAnsi"/>
          <w:b/>
          <w:i/>
        </w:rPr>
        <w:t>7</w:t>
      </w:r>
      <w:r w:rsidR="0006260F" w:rsidRPr="00347F33">
        <w:rPr>
          <w:rFonts w:eastAsia="Calibri" w:cstheme="minorHAnsi"/>
          <w:b/>
          <w:i/>
        </w:rPr>
        <w:t>:</w:t>
      </w:r>
      <w:r w:rsidRPr="00347F33">
        <w:rPr>
          <w:rFonts w:eastAsia="Calibri" w:cstheme="minorHAnsi"/>
          <w:b/>
        </w:rPr>
        <w:t xml:space="preserve"> </w:t>
      </w:r>
      <w:r w:rsidR="00E7145A" w:rsidRPr="00347F33">
        <w:rPr>
          <w:rFonts w:eastAsia="Calibri" w:cstheme="minorHAnsi"/>
          <w:b/>
        </w:rPr>
        <w:t xml:space="preserve">If DFAT discontinues PLP, seek opportunities to incorporate </w:t>
      </w:r>
      <w:r w:rsidR="00AB0684">
        <w:rPr>
          <w:rFonts w:eastAsia="Calibri" w:cstheme="minorHAnsi"/>
          <w:b/>
        </w:rPr>
        <w:t>valuable</w:t>
      </w:r>
      <w:r w:rsidR="00E7145A" w:rsidRPr="00347F33">
        <w:rPr>
          <w:rFonts w:eastAsia="Calibri" w:cstheme="minorHAnsi"/>
          <w:b/>
        </w:rPr>
        <w:t xml:space="preserve"> elements of PLP into other programming</w:t>
      </w:r>
    </w:p>
    <w:p w14:paraId="6D965FC4" w14:textId="77777777" w:rsidR="00AB0684" w:rsidRPr="00AB0684" w:rsidRDefault="00AB0684" w:rsidP="00AB0684">
      <w:pPr>
        <w:pStyle w:val="SDAbulletpoints"/>
        <w:numPr>
          <w:ilvl w:val="0"/>
          <w:numId w:val="64"/>
        </w:numPr>
        <w:rPr>
          <w:rFonts w:eastAsia="Calibri" w:cstheme="minorHAnsi"/>
        </w:rPr>
      </w:pPr>
      <w:r w:rsidRPr="00AB0684">
        <w:rPr>
          <w:rFonts w:eastAsia="Calibri" w:cstheme="minorHAnsi"/>
        </w:rPr>
        <w:t>These elements could include:</w:t>
      </w:r>
    </w:p>
    <w:p w14:paraId="3CE4C423" w14:textId="77777777" w:rsidR="00E7145A" w:rsidRPr="001C3654" w:rsidRDefault="00E7145A" w:rsidP="001C3654">
      <w:pPr>
        <w:pStyle w:val="SDAbulletpoints"/>
      </w:pPr>
      <w:r w:rsidRPr="001C3654">
        <w:t xml:space="preserve">Partnerships with </w:t>
      </w:r>
      <w:r w:rsidR="00EF59F4" w:rsidRPr="001C3654">
        <w:t>some</w:t>
      </w:r>
      <w:r w:rsidRPr="001C3654">
        <w:t xml:space="preserve"> of the most compelling organisations and coalitions</w:t>
      </w:r>
    </w:p>
    <w:p w14:paraId="2F4535C7" w14:textId="77777777" w:rsidR="00E7145A" w:rsidRPr="001C3654" w:rsidRDefault="00E7145A" w:rsidP="001C3654">
      <w:pPr>
        <w:pStyle w:val="SDAbulletpoints"/>
      </w:pPr>
      <w:r w:rsidRPr="001C3654">
        <w:t>Adaptive leadership training, with some refinements, which brings a unique approach to leadership to the Pacific and builds capacity among people and coalitions leading change</w:t>
      </w:r>
    </w:p>
    <w:p w14:paraId="0D2CDC94" w14:textId="77777777" w:rsidR="00E7145A" w:rsidRPr="001C3654" w:rsidRDefault="00E7145A" w:rsidP="001C3654">
      <w:pPr>
        <w:pStyle w:val="SDAbulletpoints"/>
      </w:pPr>
      <w:r w:rsidRPr="001C3654">
        <w:t>The local staff of PLP, who have built up valuable insights and networks to facilitate engagement in promoting developmental leadership</w:t>
      </w:r>
    </w:p>
    <w:p w14:paraId="0D16BF9C" w14:textId="77777777" w:rsidR="00E7145A" w:rsidRPr="001C3654" w:rsidRDefault="00E7145A" w:rsidP="001C3654">
      <w:pPr>
        <w:pStyle w:val="SDAbulletpoints"/>
      </w:pPr>
      <w:r w:rsidRPr="001C3654">
        <w:t>The Greg Urwin Awards, with an increased focus on placements in Australia</w:t>
      </w:r>
    </w:p>
    <w:p w14:paraId="3CC16CBC" w14:textId="77777777" w:rsidR="0099733E" w:rsidRPr="00347F33" w:rsidRDefault="00E7145A" w:rsidP="001C3654">
      <w:pPr>
        <w:pStyle w:val="SDAbulletpoints"/>
      </w:pPr>
      <w:r w:rsidRPr="001C3654">
        <w:t xml:space="preserve">Action research on developmental leadership </w:t>
      </w:r>
      <w:r w:rsidR="00D80848" w:rsidRPr="001C3654">
        <w:t>as a public good</w:t>
      </w:r>
      <w:r w:rsidRPr="001C3654">
        <w:t>.</w:t>
      </w:r>
    </w:p>
    <w:p w14:paraId="63753073" w14:textId="77777777" w:rsidR="003129AF" w:rsidRDefault="003129AF">
      <w:pPr>
        <w:rPr>
          <w:rFonts w:ascii="Calibri" w:eastAsiaTheme="majorEastAsia" w:hAnsi="Calibri" w:cstheme="majorBidi"/>
          <w:b/>
          <w:bCs/>
          <w:color w:val="757575"/>
          <w:sz w:val="50"/>
          <w:szCs w:val="26"/>
        </w:rPr>
      </w:pPr>
      <w:r>
        <w:br w:type="page"/>
      </w:r>
    </w:p>
    <w:p w14:paraId="21D0A8E9" w14:textId="77777777" w:rsidR="001B3ECA" w:rsidRDefault="001B3ECA" w:rsidP="001C3654">
      <w:pPr>
        <w:pStyle w:val="Heading2"/>
        <w:numPr>
          <w:ilvl w:val="0"/>
          <w:numId w:val="0"/>
        </w:numPr>
        <w:spacing w:before="240" w:after="120"/>
        <w:ind w:left="431" w:hanging="431"/>
      </w:pPr>
      <w:bookmarkStart w:id="3" w:name="_Toc486247195"/>
      <w:r>
        <w:t>Table of Contents</w:t>
      </w:r>
      <w:bookmarkEnd w:id="3"/>
    </w:p>
    <w:p w14:paraId="5CECB328" w14:textId="66149A27" w:rsidR="00BC5387" w:rsidRDefault="001B3ECA">
      <w:pPr>
        <w:pStyle w:val="TOC1"/>
        <w:rPr>
          <w:rFonts w:asciiTheme="minorHAnsi" w:eastAsiaTheme="minorEastAsia" w:hAnsiTheme="minorHAnsi"/>
          <w:b w:val="0"/>
          <w:bCs w:val="0"/>
          <w:noProof/>
          <w:sz w:val="22"/>
          <w:szCs w:val="22"/>
          <w:lang w:eastAsia="en-AU"/>
        </w:rPr>
      </w:pPr>
      <w:r>
        <w:fldChar w:fldCharType="begin"/>
      </w:r>
      <w:r>
        <w:instrText xml:space="preserve"> TOC \h \z \t "Heading 2,2,SDA Heading 1,1,SDA Numbered heading 3,4,SDA Numbered heading 2,3" </w:instrText>
      </w:r>
      <w:r>
        <w:fldChar w:fldCharType="separate"/>
      </w:r>
      <w:hyperlink w:anchor="_Toc486247193" w:history="1">
        <w:r w:rsidR="00BC5387" w:rsidRPr="00794C0B">
          <w:rPr>
            <w:rStyle w:val="Hyperlink"/>
            <w:noProof/>
          </w:rPr>
          <w:t>Acknowledgements and Acronyms</w:t>
        </w:r>
        <w:r w:rsidR="00BC5387">
          <w:rPr>
            <w:noProof/>
            <w:webHidden/>
          </w:rPr>
          <w:tab/>
        </w:r>
        <w:r w:rsidR="00BC5387">
          <w:rPr>
            <w:noProof/>
            <w:webHidden/>
          </w:rPr>
          <w:fldChar w:fldCharType="begin"/>
        </w:r>
        <w:r w:rsidR="00BC5387">
          <w:rPr>
            <w:noProof/>
            <w:webHidden/>
          </w:rPr>
          <w:instrText xml:space="preserve"> PAGEREF _Toc486247193 \h </w:instrText>
        </w:r>
        <w:r w:rsidR="00BC5387">
          <w:rPr>
            <w:noProof/>
            <w:webHidden/>
          </w:rPr>
        </w:r>
        <w:r w:rsidR="00BC5387">
          <w:rPr>
            <w:noProof/>
            <w:webHidden/>
          </w:rPr>
          <w:fldChar w:fldCharType="separate"/>
        </w:r>
        <w:r w:rsidR="0052195D">
          <w:rPr>
            <w:noProof/>
            <w:webHidden/>
          </w:rPr>
          <w:t>2</w:t>
        </w:r>
        <w:r w:rsidR="00BC5387">
          <w:rPr>
            <w:noProof/>
            <w:webHidden/>
          </w:rPr>
          <w:fldChar w:fldCharType="end"/>
        </w:r>
      </w:hyperlink>
    </w:p>
    <w:p w14:paraId="7FA1EE6D" w14:textId="6B4E1436" w:rsidR="00BC5387" w:rsidRDefault="0052195D">
      <w:pPr>
        <w:pStyle w:val="TOC1"/>
        <w:rPr>
          <w:rFonts w:asciiTheme="minorHAnsi" w:eastAsiaTheme="minorEastAsia" w:hAnsiTheme="minorHAnsi"/>
          <w:b w:val="0"/>
          <w:bCs w:val="0"/>
          <w:noProof/>
          <w:sz w:val="22"/>
          <w:szCs w:val="22"/>
          <w:lang w:eastAsia="en-AU"/>
        </w:rPr>
      </w:pPr>
      <w:hyperlink w:anchor="_Toc486247194" w:history="1">
        <w:r w:rsidR="00BC5387" w:rsidRPr="00794C0B">
          <w:rPr>
            <w:rStyle w:val="Hyperlink"/>
            <w:noProof/>
          </w:rPr>
          <w:t>Executive Summary</w:t>
        </w:r>
        <w:r w:rsidR="00BC5387">
          <w:rPr>
            <w:noProof/>
            <w:webHidden/>
          </w:rPr>
          <w:tab/>
        </w:r>
        <w:r w:rsidR="00BC5387">
          <w:rPr>
            <w:noProof/>
            <w:webHidden/>
          </w:rPr>
          <w:fldChar w:fldCharType="begin"/>
        </w:r>
        <w:r w:rsidR="00BC5387">
          <w:rPr>
            <w:noProof/>
            <w:webHidden/>
          </w:rPr>
          <w:instrText xml:space="preserve"> PAGEREF _Toc486247194 \h </w:instrText>
        </w:r>
        <w:r w:rsidR="00BC5387">
          <w:rPr>
            <w:noProof/>
            <w:webHidden/>
          </w:rPr>
        </w:r>
        <w:r w:rsidR="00BC5387">
          <w:rPr>
            <w:noProof/>
            <w:webHidden/>
          </w:rPr>
          <w:fldChar w:fldCharType="separate"/>
        </w:r>
        <w:r>
          <w:rPr>
            <w:noProof/>
            <w:webHidden/>
          </w:rPr>
          <w:t>3</w:t>
        </w:r>
        <w:r w:rsidR="00BC5387">
          <w:rPr>
            <w:noProof/>
            <w:webHidden/>
          </w:rPr>
          <w:fldChar w:fldCharType="end"/>
        </w:r>
      </w:hyperlink>
    </w:p>
    <w:p w14:paraId="0244D731" w14:textId="61129E7C" w:rsidR="00BC5387" w:rsidRDefault="0052195D">
      <w:pPr>
        <w:pStyle w:val="TOC2"/>
        <w:tabs>
          <w:tab w:val="right" w:pos="9016"/>
        </w:tabs>
        <w:rPr>
          <w:rFonts w:eastAsiaTheme="minorEastAsia"/>
          <w:b w:val="0"/>
          <w:bCs w:val="0"/>
          <w:noProof/>
          <w:sz w:val="22"/>
          <w:szCs w:val="22"/>
          <w:lang w:eastAsia="en-AU"/>
        </w:rPr>
      </w:pPr>
      <w:hyperlink w:anchor="_Toc486247195" w:history="1">
        <w:r w:rsidR="00BC5387" w:rsidRPr="00794C0B">
          <w:rPr>
            <w:rStyle w:val="Hyperlink"/>
            <w:noProof/>
          </w:rPr>
          <w:t>Table of Contents</w:t>
        </w:r>
        <w:r w:rsidR="00BC5387">
          <w:rPr>
            <w:noProof/>
            <w:webHidden/>
          </w:rPr>
          <w:tab/>
        </w:r>
        <w:r w:rsidR="00BC5387">
          <w:rPr>
            <w:noProof/>
            <w:webHidden/>
          </w:rPr>
          <w:fldChar w:fldCharType="begin"/>
        </w:r>
        <w:r w:rsidR="00BC5387">
          <w:rPr>
            <w:noProof/>
            <w:webHidden/>
          </w:rPr>
          <w:instrText xml:space="preserve"> PAGEREF _Toc486247195 \h </w:instrText>
        </w:r>
        <w:r w:rsidR="00BC5387">
          <w:rPr>
            <w:noProof/>
            <w:webHidden/>
          </w:rPr>
        </w:r>
        <w:r w:rsidR="00BC5387">
          <w:rPr>
            <w:noProof/>
            <w:webHidden/>
          </w:rPr>
          <w:fldChar w:fldCharType="separate"/>
        </w:r>
        <w:r>
          <w:rPr>
            <w:noProof/>
            <w:webHidden/>
          </w:rPr>
          <w:t>9</w:t>
        </w:r>
        <w:r w:rsidR="00BC5387">
          <w:rPr>
            <w:noProof/>
            <w:webHidden/>
          </w:rPr>
          <w:fldChar w:fldCharType="end"/>
        </w:r>
      </w:hyperlink>
    </w:p>
    <w:p w14:paraId="26003590" w14:textId="7A795FE1" w:rsidR="00BC5387" w:rsidRDefault="0052195D">
      <w:pPr>
        <w:pStyle w:val="TOC2"/>
        <w:tabs>
          <w:tab w:val="left" w:pos="660"/>
          <w:tab w:val="right" w:pos="9016"/>
        </w:tabs>
        <w:rPr>
          <w:rFonts w:eastAsiaTheme="minorEastAsia"/>
          <w:b w:val="0"/>
          <w:bCs w:val="0"/>
          <w:noProof/>
          <w:sz w:val="22"/>
          <w:szCs w:val="22"/>
          <w:lang w:eastAsia="en-AU"/>
        </w:rPr>
      </w:pPr>
      <w:hyperlink w:anchor="_Toc486247196" w:history="1">
        <w:r w:rsidR="00BC5387" w:rsidRPr="00794C0B">
          <w:rPr>
            <w:rStyle w:val="Hyperlink"/>
            <w:noProof/>
          </w:rPr>
          <w:t>1.</w:t>
        </w:r>
        <w:r w:rsidR="00BC5387">
          <w:rPr>
            <w:rFonts w:eastAsiaTheme="minorEastAsia"/>
            <w:b w:val="0"/>
            <w:bCs w:val="0"/>
            <w:noProof/>
            <w:sz w:val="22"/>
            <w:szCs w:val="22"/>
            <w:lang w:eastAsia="en-AU"/>
          </w:rPr>
          <w:tab/>
        </w:r>
        <w:r w:rsidR="00BC5387" w:rsidRPr="00794C0B">
          <w:rPr>
            <w:rStyle w:val="Hyperlink"/>
            <w:noProof/>
          </w:rPr>
          <w:t>Introduction</w:t>
        </w:r>
        <w:r w:rsidR="00BC5387">
          <w:rPr>
            <w:noProof/>
            <w:webHidden/>
          </w:rPr>
          <w:tab/>
        </w:r>
        <w:r w:rsidR="00BC5387">
          <w:rPr>
            <w:noProof/>
            <w:webHidden/>
          </w:rPr>
          <w:fldChar w:fldCharType="begin"/>
        </w:r>
        <w:r w:rsidR="00BC5387">
          <w:rPr>
            <w:noProof/>
            <w:webHidden/>
          </w:rPr>
          <w:instrText xml:space="preserve"> PAGEREF _Toc486247196 \h </w:instrText>
        </w:r>
        <w:r w:rsidR="00BC5387">
          <w:rPr>
            <w:noProof/>
            <w:webHidden/>
          </w:rPr>
        </w:r>
        <w:r w:rsidR="00BC5387">
          <w:rPr>
            <w:noProof/>
            <w:webHidden/>
          </w:rPr>
          <w:fldChar w:fldCharType="separate"/>
        </w:r>
        <w:r>
          <w:rPr>
            <w:noProof/>
            <w:webHidden/>
          </w:rPr>
          <w:t>10</w:t>
        </w:r>
        <w:r w:rsidR="00BC5387">
          <w:rPr>
            <w:noProof/>
            <w:webHidden/>
          </w:rPr>
          <w:fldChar w:fldCharType="end"/>
        </w:r>
      </w:hyperlink>
    </w:p>
    <w:p w14:paraId="7113A915" w14:textId="10CD5533" w:rsidR="00BC5387" w:rsidRDefault="0052195D">
      <w:pPr>
        <w:pStyle w:val="TOC3"/>
        <w:tabs>
          <w:tab w:val="left" w:pos="660"/>
          <w:tab w:val="right" w:pos="9016"/>
        </w:tabs>
        <w:rPr>
          <w:rFonts w:eastAsiaTheme="minorEastAsia"/>
          <w:noProof/>
          <w:sz w:val="22"/>
          <w:szCs w:val="22"/>
          <w:lang w:eastAsia="en-AU"/>
        </w:rPr>
      </w:pPr>
      <w:hyperlink w:anchor="_Toc486247197" w:history="1">
        <w:r w:rsidR="00BC5387" w:rsidRPr="00794C0B">
          <w:rPr>
            <w:rStyle w:val="Hyperlink"/>
            <w:noProof/>
          </w:rPr>
          <w:t>1.1.</w:t>
        </w:r>
        <w:r w:rsidR="00BC5387">
          <w:rPr>
            <w:rFonts w:eastAsiaTheme="minorEastAsia"/>
            <w:noProof/>
            <w:sz w:val="22"/>
            <w:szCs w:val="22"/>
            <w:lang w:eastAsia="en-AU"/>
          </w:rPr>
          <w:tab/>
        </w:r>
        <w:r w:rsidR="00BC5387" w:rsidRPr="00794C0B">
          <w:rPr>
            <w:rStyle w:val="Hyperlink"/>
            <w:noProof/>
          </w:rPr>
          <w:t>Evaluation Purpose and Scope</w:t>
        </w:r>
        <w:r w:rsidR="00BC5387">
          <w:rPr>
            <w:noProof/>
            <w:webHidden/>
          </w:rPr>
          <w:tab/>
        </w:r>
        <w:r w:rsidR="00BC5387">
          <w:rPr>
            <w:noProof/>
            <w:webHidden/>
          </w:rPr>
          <w:fldChar w:fldCharType="begin"/>
        </w:r>
        <w:r w:rsidR="00BC5387">
          <w:rPr>
            <w:noProof/>
            <w:webHidden/>
          </w:rPr>
          <w:instrText xml:space="preserve"> PAGEREF _Toc486247197 \h </w:instrText>
        </w:r>
        <w:r w:rsidR="00BC5387">
          <w:rPr>
            <w:noProof/>
            <w:webHidden/>
          </w:rPr>
        </w:r>
        <w:r w:rsidR="00BC5387">
          <w:rPr>
            <w:noProof/>
            <w:webHidden/>
          </w:rPr>
          <w:fldChar w:fldCharType="separate"/>
        </w:r>
        <w:r>
          <w:rPr>
            <w:noProof/>
            <w:webHidden/>
          </w:rPr>
          <w:t>10</w:t>
        </w:r>
        <w:r w:rsidR="00BC5387">
          <w:rPr>
            <w:noProof/>
            <w:webHidden/>
          </w:rPr>
          <w:fldChar w:fldCharType="end"/>
        </w:r>
      </w:hyperlink>
    </w:p>
    <w:p w14:paraId="1A4A7E52" w14:textId="2A76CD2B" w:rsidR="00BC5387" w:rsidRDefault="0052195D">
      <w:pPr>
        <w:pStyle w:val="TOC3"/>
        <w:tabs>
          <w:tab w:val="left" w:pos="660"/>
          <w:tab w:val="right" w:pos="9016"/>
        </w:tabs>
        <w:rPr>
          <w:rFonts w:eastAsiaTheme="minorEastAsia"/>
          <w:noProof/>
          <w:sz w:val="22"/>
          <w:szCs w:val="22"/>
          <w:lang w:eastAsia="en-AU"/>
        </w:rPr>
      </w:pPr>
      <w:hyperlink w:anchor="_Toc486247198" w:history="1">
        <w:r w:rsidR="00BC5387" w:rsidRPr="00794C0B">
          <w:rPr>
            <w:rStyle w:val="Hyperlink"/>
            <w:noProof/>
          </w:rPr>
          <w:t>1.2.</w:t>
        </w:r>
        <w:r w:rsidR="00BC5387">
          <w:rPr>
            <w:rFonts w:eastAsiaTheme="minorEastAsia"/>
            <w:noProof/>
            <w:sz w:val="22"/>
            <w:szCs w:val="22"/>
            <w:lang w:eastAsia="en-AU"/>
          </w:rPr>
          <w:tab/>
        </w:r>
        <w:r w:rsidR="00BC5387" w:rsidRPr="00794C0B">
          <w:rPr>
            <w:rStyle w:val="Hyperlink"/>
            <w:noProof/>
          </w:rPr>
          <w:t>Pacific Leadership Program Phase 3</w:t>
        </w:r>
        <w:r w:rsidR="00BC5387">
          <w:rPr>
            <w:noProof/>
            <w:webHidden/>
          </w:rPr>
          <w:tab/>
        </w:r>
        <w:r w:rsidR="00BC5387">
          <w:rPr>
            <w:noProof/>
            <w:webHidden/>
          </w:rPr>
          <w:fldChar w:fldCharType="begin"/>
        </w:r>
        <w:r w:rsidR="00BC5387">
          <w:rPr>
            <w:noProof/>
            <w:webHidden/>
          </w:rPr>
          <w:instrText xml:space="preserve"> PAGEREF _Toc486247198 \h </w:instrText>
        </w:r>
        <w:r w:rsidR="00BC5387">
          <w:rPr>
            <w:noProof/>
            <w:webHidden/>
          </w:rPr>
        </w:r>
        <w:r w:rsidR="00BC5387">
          <w:rPr>
            <w:noProof/>
            <w:webHidden/>
          </w:rPr>
          <w:fldChar w:fldCharType="separate"/>
        </w:r>
        <w:r>
          <w:rPr>
            <w:noProof/>
            <w:webHidden/>
          </w:rPr>
          <w:t>10</w:t>
        </w:r>
        <w:r w:rsidR="00BC5387">
          <w:rPr>
            <w:noProof/>
            <w:webHidden/>
          </w:rPr>
          <w:fldChar w:fldCharType="end"/>
        </w:r>
      </w:hyperlink>
    </w:p>
    <w:p w14:paraId="36DCD4A6" w14:textId="48AFD06B" w:rsidR="00BC5387" w:rsidRDefault="0052195D">
      <w:pPr>
        <w:pStyle w:val="TOC3"/>
        <w:tabs>
          <w:tab w:val="left" w:pos="660"/>
          <w:tab w:val="right" w:pos="9016"/>
        </w:tabs>
        <w:rPr>
          <w:rFonts w:eastAsiaTheme="minorEastAsia"/>
          <w:noProof/>
          <w:sz w:val="22"/>
          <w:szCs w:val="22"/>
          <w:lang w:eastAsia="en-AU"/>
        </w:rPr>
      </w:pPr>
      <w:hyperlink w:anchor="_Toc486247201" w:history="1">
        <w:r w:rsidR="00BC5387" w:rsidRPr="00794C0B">
          <w:rPr>
            <w:rStyle w:val="Hyperlink"/>
            <w:noProof/>
          </w:rPr>
          <w:t>1.3.</w:t>
        </w:r>
        <w:r w:rsidR="00BC5387">
          <w:rPr>
            <w:rFonts w:eastAsiaTheme="minorEastAsia"/>
            <w:noProof/>
            <w:sz w:val="22"/>
            <w:szCs w:val="22"/>
            <w:lang w:eastAsia="en-AU"/>
          </w:rPr>
          <w:tab/>
        </w:r>
        <w:r w:rsidR="00BC5387" w:rsidRPr="00794C0B">
          <w:rPr>
            <w:rStyle w:val="Hyperlink"/>
            <w:noProof/>
          </w:rPr>
          <w:t>Evaluation Approach</w:t>
        </w:r>
        <w:r w:rsidR="00BC5387">
          <w:rPr>
            <w:noProof/>
            <w:webHidden/>
          </w:rPr>
          <w:tab/>
        </w:r>
        <w:r w:rsidR="00BC5387">
          <w:rPr>
            <w:noProof/>
            <w:webHidden/>
          </w:rPr>
          <w:fldChar w:fldCharType="begin"/>
        </w:r>
        <w:r w:rsidR="00BC5387">
          <w:rPr>
            <w:noProof/>
            <w:webHidden/>
          </w:rPr>
          <w:instrText xml:space="preserve"> PAGEREF _Toc486247201 \h </w:instrText>
        </w:r>
        <w:r w:rsidR="00BC5387">
          <w:rPr>
            <w:noProof/>
            <w:webHidden/>
          </w:rPr>
        </w:r>
        <w:r w:rsidR="00BC5387">
          <w:rPr>
            <w:noProof/>
            <w:webHidden/>
          </w:rPr>
          <w:fldChar w:fldCharType="separate"/>
        </w:r>
        <w:r>
          <w:rPr>
            <w:noProof/>
            <w:webHidden/>
          </w:rPr>
          <w:t>11</w:t>
        </w:r>
        <w:r w:rsidR="00BC5387">
          <w:rPr>
            <w:noProof/>
            <w:webHidden/>
          </w:rPr>
          <w:fldChar w:fldCharType="end"/>
        </w:r>
      </w:hyperlink>
    </w:p>
    <w:p w14:paraId="50D6BB5F" w14:textId="4B373406" w:rsidR="00BC5387" w:rsidRDefault="0052195D">
      <w:pPr>
        <w:pStyle w:val="TOC3"/>
        <w:tabs>
          <w:tab w:val="left" w:pos="660"/>
          <w:tab w:val="right" w:pos="9016"/>
        </w:tabs>
        <w:rPr>
          <w:rFonts w:eastAsiaTheme="minorEastAsia"/>
          <w:noProof/>
          <w:sz w:val="22"/>
          <w:szCs w:val="22"/>
          <w:lang w:eastAsia="en-AU"/>
        </w:rPr>
      </w:pPr>
      <w:hyperlink w:anchor="_Toc486247202" w:history="1">
        <w:r w:rsidR="00BC5387" w:rsidRPr="00794C0B">
          <w:rPr>
            <w:rStyle w:val="Hyperlink"/>
            <w:noProof/>
          </w:rPr>
          <w:t>1.4.</w:t>
        </w:r>
        <w:r w:rsidR="00BC5387">
          <w:rPr>
            <w:rFonts w:eastAsiaTheme="minorEastAsia"/>
            <w:noProof/>
            <w:sz w:val="22"/>
            <w:szCs w:val="22"/>
            <w:lang w:eastAsia="en-AU"/>
          </w:rPr>
          <w:tab/>
        </w:r>
        <w:r w:rsidR="00BC5387" w:rsidRPr="00794C0B">
          <w:rPr>
            <w:rStyle w:val="Hyperlink"/>
            <w:noProof/>
          </w:rPr>
          <w:t>Limitations</w:t>
        </w:r>
        <w:r w:rsidR="00BC5387">
          <w:rPr>
            <w:noProof/>
            <w:webHidden/>
          </w:rPr>
          <w:tab/>
        </w:r>
        <w:r w:rsidR="00BC5387">
          <w:rPr>
            <w:noProof/>
            <w:webHidden/>
          </w:rPr>
          <w:fldChar w:fldCharType="begin"/>
        </w:r>
        <w:r w:rsidR="00BC5387">
          <w:rPr>
            <w:noProof/>
            <w:webHidden/>
          </w:rPr>
          <w:instrText xml:space="preserve"> PAGEREF _Toc486247202 \h </w:instrText>
        </w:r>
        <w:r w:rsidR="00BC5387">
          <w:rPr>
            <w:noProof/>
            <w:webHidden/>
          </w:rPr>
        </w:r>
        <w:r w:rsidR="00BC5387">
          <w:rPr>
            <w:noProof/>
            <w:webHidden/>
          </w:rPr>
          <w:fldChar w:fldCharType="separate"/>
        </w:r>
        <w:r>
          <w:rPr>
            <w:noProof/>
            <w:webHidden/>
          </w:rPr>
          <w:t>12</w:t>
        </w:r>
        <w:r w:rsidR="00BC5387">
          <w:rPr>
            <w:noProof/>
            <w:webHidden/>
          </w:rPr>
          <w:fldChar w:fldCharType="end"/>
        </w:r>
      </w:hyperlink>
    </w:p>
    <w:p w14:paraId="58DF07E6" w14:textId="160E7C91" w:rsidR="00BC5387" w:rsidRDefault="0052195D">
      <w:pPr>
        <w:pStyle w:val="TOC2"/>
        <w:tabs>
          <w:tab w:val="left" w:pos="660"/>
          <w:tab w:val="right" w:pos="9016"/>
        </w:tabs>
        <w:rPr>
          <w:rFonts w:eastAsiaTheme="minorEastAsia"/>
          <w:b w:val="0"/>
          <w:bCs w:val="0"/>
          <w:noProof/>
          <w:sz w:val="22"/>
          <w:szCs w:val="22"/>
          <w:lang w:eastAsia="en-AU"/>
        </w:rPr>
      </w:pPr>
      <w:hyperlink w:anchor="_Toc486247203" w:history="1">
        <w:r w:rsidR="00BC5387" w:rsidRPr="00794C0B">
          <w:rPr>
            <w:rStyle w:val="Hyperlink"/>
            <w:noProof/>
          </w:rPr>
          <w:t>2.</w:t>
        </w:r>
        <w:r w:rsidR="00BC5387">
          <w:rPr>
            <w:rFonts w:eastAsiaTheme="minorEastAsia"/>
            <w:b w:val="0"/>
            <w:bCs w:val="0"/>
            <w:noProof/>
            <w:sz w:val="22"/>
            <w:szCs w:val="22"/>
            <w:lang w:eastAsia="en-AU"/>
          </w:rPr>
          <w:tab/>
        </w:r>
        <w:r w:rsidR="00BC5387" w:rsidRPr="00794C0B">
          <w:rPr>
            <w:rStyle w:val="Hyperlink"/>
            <w:noProof/>
          </w:rPr>
          <w:t>Background and Context</w:t>
        </w:r>
        <w:r w:rsidR="00BC5387">
          <w:rPr>
            <w:noProof/>
            <w:webHidden/>
          </w:rPr>
          <w:tab/>
        </w:r>
        <w:r w:rsidR="00BC5387">
          <w:rPr>
            <w:noProof/>
            <w:webHidden/>
          </w:rPr>
          <w:fldChar w:fldCharType="begin"/>
        </w:r>
        <w:r w:rsidR="00BC5387">
          <w:rPr>
            <w:noProof/>
            <w:webHidden/>
          </w:rPr>
          <w:instrText xml:space="preserve"> PAGEREF _Toc486247203 \h </w:instrText>
        </w:r>
        <w:r w:rsidR="00BC5387">
          <w:rPr>
            <w:noProof/>
            <w:webHidden/>
          </w:rPr>
        </w:r>
        <w:r w:rsidR="00BC5387">
          <w:rPr>
            <w:noProof/>
            <w:webHidden/>
          </w:rPr>
          <w:fldChar w:fldCharType="separate"/>
        </w:r>
        <w:r>
          <w:rPr>
            <w:noProof/>
            <w:webHidden/>
          </w:rPr>
          <w:t>13</w:t>
        </w:r>
        <w:r w:rsidR="00BC5387">
          <w:rPr>
            <w:noProof/>
            <w:webHidden/>
          </w:rPr>
          <w:fldChar w:fldCharType="end"/>
        </w:r>
      </w:hyperlink>
    </w:p>
    <w:p w14:paraId="7F3EDAF7" w14:textId="1D23F5B1" w:rsidR="00BC5387" w:rsidRDefault="0052195D">
      <w:pPr>
        <w:pStyle w:val="TOC3"/>
        <w:tabs>
          <w:tab w:val="left" w:pos="660"/>
          <w:tab w:val="right" w:pos="9016"/>
        </w:tabs>
        <w:rPr>
          <w:rFonts w:eastAsiaTheme="minorEastAsia"/>
          <w:noProof/>
          <w:sz w:val="22"/>
          <w:szCs w:val="22"/>
          <w:lang w:eastAsia="en-AU"/>
        </w:rPr>
      </w:pPr>
      <w:hyperlink w:anchor="_Toc486247204" w:history="1">
        <w:r w:rsidR="00BC5387" w:rsidRPr="00794C0B">
          <w:rPr>
            <w:rStyle w:val="Hyperlink"/>
            <w:noProof/>
          </w:rPr>
          <w:t>2.1.</w:t>
        </w:r>
        <w:r w:rsidR="00BC5387">
          <w:rPr>
            <w:rFonts w:eastAsiaTheme="minorEastAsia"/>
            <w:noProof/>
            <w:sz w:val="22"/>
            <w:szCs w:val="22"/>
            <w:lang w:eastAsia="en-AU"/>
          </w:rPr>
          <w:tab/>
        </w:r>
        <w:r w:rsidR="00BC5387" w:rsidRPr="00794C0B">
          <w:rPr>
            <w:rStyle w:val="Hyperlink"/>
            <w:noProof/>
          </w:rPr>
          <w:t>Background to PLP Phase 3</w:t>
        </w:r>
        <w:r w:rsidR="00BC5387">
          <w:rPr>
            <w:noProof/>
            <w:webHidden/>
          </w:rPr>
          <w:tab/>
        </w:r>
        <w:r w:rsidR="00BC5387">
          <w:rPr>
            <w:noProof/>
            <w:webHidden/>
          </w:rPr>
          <w:fldChar w:fldCharType="begin"/>
        </w:r>
        <w:r w:rsidR="00BC5387">
          <w:rPr>
            <w:noProof/>
            <w:webHidden/>
          </w:rPr>
          <w:instrText xml:space="preserve"> PAGEREF _Toc486247204 \h </w:instrText>
        </w:r>
        <w:r w:rsidR="00BC5387">
          <w:rPr>
            <w:noProof/>
            <w:webHidden/>
          </w:rPr>
        </w:r>
        <w:r w:rsidR="00BC5387">
          <w:rPr>
            <w:noProof/>
            <w:webHidden/>
          </w:rPr>
          <w:fldChar w:fldCharType="separate"/>
        </w:r>
        <w:r>
          <w:rPr>
            <w:noProof/>
            <w:webHidden/>
          </w:rPr>
          <w:t>13</w:t>
        </w:r>
        <w:r w:rsidR="00BC5387">
          <w:rPr>
            <w:noProof/>
            <w:webHidden/>
          </w:rPr>
          <w:fldChar w:fldCharType="end"/>
        </w:r>
      </w:hyperlink>
    </w:p>
    <w:p w14:paraId="296342D2" w14:textId="04B4822F" w:rsidR="00BC5387" w:rsidRDefault="0052195D">
      <w:pPr>
        <w:pStyle w:val="TOC3"/>
        <w:tabs>
          <w:tab w:val="left" w:pos="660"/>
          <w:tab w:val="right" w:pos="9016"/>
        </w:tabs>
        <w:rPr>
          <w:rFonts w:eastAsiaTheme="minorEastAsia"/>
          <w:noProof/>
          <w:sz w:val="22"/>
          <w:szCs w:val="22"/>
          <w:lang w:eastAsia="en-AU"/>
        </w:rPr>
      </w:pPr>
      <w:hyperlink w:anchor="_Toc486247205" w:history="1">
        <w:r w:rsidR="00BC5387" w:rsidRPr="00794C0B">
          <w:rPr>
            <w:rStyle w:val="Hyperlink"/>
            <w:noProof/>
          </w:rPr>
          <w:t>2.2.</w:t>
        </w:r>
        <w:r w:rsidR="00BC5387">
          <w:rPr>
            <w:rFonts w:eastAsiaTheme="minorEastAsia"/>
            <w:noProof/>
            <w:sz w:val="22"/>
            <w:szCs w:val="22"/>
            <w:lang w:eastAsia="en-AU"/>
          </w:rPr>
          <w:tab/>
        </w:r>
        <w:r w:rsidR="00BC5387" w:rsidRPr="00794C0B">
          <w:rPr>
            <w:rStyle w:val="Hyperlink"/>
            <w:noProof/>
          </w:rPr>
          <w:t>Australian Policy Context</w:t>
        </w:r>
        <w:r w:rsidR="00BC5387">
          <w:rPr>
            <w:noProof/>
            <w:webHidden/>
          </w:rPr>
          <w:tab/>
        </w:r>
        <w:r w:rsidR="00BC5387">
          <w:rPr>
            <w:noProof/>
            <w:webHidden/>
          </w:rPr>
          <w:fldChar w:fldCharType="begin"/>
        </w:r>
        <w:r w:rsidR="00BC5387">
          <w:rPr>
            <w:noProof/>
            <w:webHidden/>
          </w:rPr>
          <w:instrText xml:space="preserve"> PAGEREF _Toc486247205 \h </w:instrText>
        </w:r>
        <w:r w:rsidR="00BC5387">
          <w:rPr>
            <w:noProof/>
            <w:webHidden/>
          </w:rPr>
        </w:r>
        <w:r w:rsidR="00BC5387">
          <w:rPr>
            <w:noProof/>
            <w:webHidden/>
          </w:rPr>
          <w:fldChar w:fldCharType="separate"/>
        </w:r>
        <w:r>
          <w:rPr>
            <w:noProof/>
            <w:webHidden/>
          </w:rPr>
          <w:t>14</w:t>
        </w:r>
        <w:r w:rsidR="00BC5387">
          <w:rPr>
            <w:noProof/>
            <w:webHidden/>
          </w:rPr>
          <w:fldChar w:fldCharType="end"/>
        </w:r>
      </w:hyperlink>
    </w:p>
    <w:p w14:paraId="60074D53" w14:textId="50A3C882" w:rsidR="00BC5387" w:rsidRDefault="0052195D">
      <w:pPr>
        <w:pStyle w:val="TOC3"/>
        <w:tabs>
          <w:tab w:val="left" w:pos="660"/>
          <w:tab w:val="right" w:pos="9016"/>
        </w:tabs>
        <w:rPr>
          <w:rFonts w:eastAsiaTheme="minorEastAsia"/>
          <w:noProof/>
          <w:sz w:val="22"/>
          <w:szCs w:val="22"/>
          <w:lang w:eastAsia="en-AU"/>
        </w:rPr>
      </w:pPr>
      <w:hyperlink w:anchor="_Toc486247206" w:history="1">
        <w:r w:rsidR="00BC5387" w:rsidRPr="00794C0B">
          <w:rPr>
            <w:rStyle w:val="Hyperlink"/>
            <w:noProof/>
          </w:rPr>
          <w:t>2.3.</w:t>
        </w:r>
        <w:r w:rsidR="00BC5387">
          <w:rPr>
            <w:rFonts w:eastAsiaTheme="minorEastAsia"/>
            <w:noProof/>
            <w:sz w:val="22"/>
            <w:szCs w:val="22"/>
            <w:lang w:eastAsia="en-AU"/>
          </w:rPr>
          <w:tab/>
        </w:r>
        <w:r w:rsidR="00BC5387" w:rsidRPr="00794C0B">
          <w:rPr>
            <w:rStyle w:val="Hyperlink"/>
            <w:noProof/>
          </w:rPr>
          <w:t>Development Theory</w:t>
        </w:r>
        <w:r w:rsidR="00BC5387">
          <w:rPr>
            <w:noProof/>
            <w:webHidden/>
          </w:rPr>
          <w:tab/>
        </w:r>
        <w:r w:rsidR="00BC5387">
          <w:rPr>
            <w:noProof/>
            <w:webHidden/>
          </w:rPr>
          <w:fldChar w:fldCharType="begin"/>
        </w:r>
        <w:r w:rsidR="00BC5387">
          <w:rPr>
            <w:noProof/>
            <w:webHidden/>
          </w:rPr>
          <w:instrText xml:space="preserve"> PAGEREF _Toc486247206 \h </w:instrText>
        </w:r>
        <w:r w:rsidR="00BC5387">
          <w:rPr>
            <w:noProof/>
            <w:webHidden/>
          </w:rPr>
        </w:r>
        <w:r w:rsidR="00BC5387">
          <w:rPr>
            <w:noProof/>
            <w:webHidden/>
          </w:rPr>
          <w:fldChar w:fldCharType="separate"/>
        </w:r>
        <w:r>
          <w:rPr>
            <w:noProof/>
            <w:webHidden/>
          </w:rPr>
          <w:t>14</w:t>
        </w:r>
        <w:r w:rsidR="00BC5387">
          <w:rPr>
            <w:noProof/>
            <w:webHidden/>
          </w:rPr>
          <w:fldChar w:fldCharType="end"/>
        </w:r>
      </w:hyperlink>
    </w:p>
    <w:p w14:paraId="132E5D98" w14:textId="390D7FEC" w:rsidR="00BC5387" w:rsidRDefault="0052195D">
      <w:pPr>
        <w:pStyle w:val="TOC2"/>
        <w:tabs>
          <w:tab w:val="left" w:pos="660"/>
          <w:tab w:val="right" w:pos="9016"/>
        </w:tabs>
        <w:rPr>
          <w:rFonts w:eastAsiaTheme="minorEastAsia"/>
          <w:b w:val="0"/>
          <w:bCs w:val="0"/>
          <w:noProof/>
          <w:sz w:val="22"/>
          <w:szCs w:val="22"/>
          <w:lang w:eastAsia="en-AU"/>
        </w:rPr>
      </w:pPr>
      <w:hyperlink w:anchor="_Toc486247207" w:history="1">
        <w:r w:rsidR="00BC5387" w:rsidRPr="00794C0B">
          <w:rPr>
            <w:rStyle w:val="Hyperlink"/>
            <w:noProof/>
          </w:rPr>
          <w:t>3.</w:t>
        </w:r>
        <w:r w:rsidR="00BC5387">
          <w:rPr>
            <w:rFonts w:eastAsiaTheme="minorEastAsia"/>
            <w:b w:val="0"/>
            <w:bCs w:val="0"/>
            <w:noProof/>
            <w:sz w:val="22"/>
            <w:szCs w:val="22"/>
            <w:lang w:eastAsia="en-AU"/>
          </w:rPr>
          <w:tab/>
        </w:r>
        <w:r w:rsidR="00BC5387" w:rsidRPr="00794C0B">
          <w:rPr>
            <w:rStyle w:val="Hyperlink"/>
            <w:noProof/>
          </w:rPr>
          <w:t>The Performance Story</w:t>
        </w:r>
        <w:r w:rsidR="00BC5387">
          <w:rPr>
            <w:noProof/>
            <w:webHidden/>
          </w:rPr>
          <w:tab/>
        </w:r>
        <w:r w:rsidR="00BC5387">
          <w:rPr>
            <w:noProof/>
            <w:webHidden/>
          </w:rPr>
          <w:fldChar w:fldCharType="begin"/>
        </w:r>
        <w:r w:rsidR="00BC5387">
          <w:rPr>
            <w:noProof/>
            <w:webHidden/>
          </w:rPr>
          <w:instrText xml:space="preserve"> PAGEREF _Toc486247207 \h </w:instrText>
        </w:r>
        <w:r w:rsidR="00BC5387">
          <w:rPr>
            <w:noProof/>
            <w:webHidden/>
          </w:rPr>
        </w:r>
        <w:r w:rsidR="00BC5387">
          <w:rPr>
            <w:noProof/>
            <w:webHidden/>
          </w:rPr>
          <w:fldChar w:fldCharType="separate"/>
        </w:r>
        <w:r>
          <w:rPr>
            <w:noProof/>
            <w:webHidden/>
          </w:rPr>
          <w:t>15</w:t>
        </w:r>
        <w:r w:rsidR="00BC5387">
          <w:rPr>
            <w:noProof/>
            <w:webHidden/>
          </w:rPr>
          <w:fldChar w:fldCharType="end"/>
        </w:r>
      </w:hyperlink>
    </w:p>
    <w:p w14:paraId="74C94E08" w14:textId="252FC1F8" w:rsidR="00BC5387" w:rsidRDefault="0052195D">
      <w:pPr>
        <w:pStyle w:val="TOC3"/>
        <w:tabs>
          <w:tab w:val="left" w:pos="660"/>
          <w:tab w:val="right" w:pos="9016"/>
        </w:tabs>
        <w:rPr>
          <w:rFonts w:eastAsiaTheme="minorEastAsia"/>
          <w:noProof/>
          <w:sz w:val="22"/>
          <w:szCs w:val="22"/>
          <w:lang w:eastAsia="en-AU"/>
        </w:rPr>
      </w:pPr>
      <w:hyperlink w:anchor="_Toc486247208" w:history="1">
        <w:r w:rsidR="00BC5387" w:rsidRPr="00794C0B">
          <w:rPr>
            <w:rStyle w:val="Hyperlink"/>
            <w:noProof/>
          </w:rPr>
          <w:t>3.1.</w:t>
        </w:r>
        <w:r w:rsidR="00BC5387">
          <w:rPr>
            <w:rFonts w:eastAsiaTheme="minorEastAsia"/>
            <w:noProof/>
            <w:sz w:val="22"/>
            <w:szCs w:val="22"/>
            <w:lang w:eastAsia="en-AU"/>
          </w:rPr>
          <w:tab/>
        </w:r>
        <w:r w:rsidR="00BC5387" w:rsidRPr="00794C0B">
          <w:rPr>
            <w:rStyle w:val="Hyperlink"/>
            <w:noProof/>
          </w:rPr>
          <w:t>Introduction</w:t>
        </w:r>
        <w:r w:rsidR="00BC5387">
          <w:rPr>
            <w:noProof/>
            <w:webHidden/>
          </w:rPr>
          <w:tab/>
        </w:r>
        <w:r w:rsidR="00BC5387">
          <w:rPr>
            <w:noProof/>
            <w:webHidden/>
          </w:rPr>
          <w:fldChar w:fldCharType="begin"/>
        </w:r>
        <w:r w:rsidR="00BC5387">
          <w:rPr>
            <w:noProof/>
            <w:webHidden/>
          </w:rPr>
          <w:instrText xml:space="preserve"> PAGEREF _Toc486247208 \h </w:instrText>
        </w:r>
        <w:r w:rsidR="00BC5387">
          <w:rPr>
            <w:noProof/>
            <w:webHidden/>
          </w:rPr>
        </w:r>
        <w:r w:rsidR="00BC5387">
          <w:rPr>
            <w:noProof/>
            <w:webHidden/>
          </w:rPr>
          <w:fldChar w:fldCharType="separate"/>
        </w:r>
        <w:r>
          <w:rPr>
            <w:noProof/>
            <w:webHidden/>
          </w:rPr>
          <w:t>15</w:t>
        </w:r>
        <w:r w:rsidR="00BC5387">
          <w:rPr>
            <w:noProof/>
            <w:webHidden/>
          </w:rPr>
          <w:fldChar w:fldCharType="end"/>
        </w:r>
      </w:hyperlink>
    </w:p>
    <w:p w14:paraId="69C3837D" w14:textId="560C6495" w:rsidR="00BC5387" w:rsidRDefault="0052195D">
      <w:pPr>
        <w:pStyle w:val="TOC3"/>
        <w:tabs>
          <w:tab w:val="left" w:pos="660"/>
          <w:tab w:val="right" w:pos="9016"/>
        </w:tabs>
        <w:rPr>
          <w:rFonts w:eastAsiaTheme="minorEastAsia"/>
          <w:noProof/>
          <w:sz w:val="22"/>
          <w:szCs w:val="22"/>
          <w:lang w:eastAsia="en-AU"/>
        </w:rPr>
      </w:pPr>
      <w:hyperlink w:anchor="_Toc486247209" w:history="1">
        <w:r w:rsidR="00BC5387" w:rsidRPr="00794C0B">
          <w:rPr>
            <w:rStyle w:val="Hyperlink"/>
            <w:noProof/>
          </w:rPr>
          <w:t>3.2.</w:t>
        </w:r>
        <w:r w:rsidR="00BC5387">
          <w:rPr>
            <w:rFonts w:eastAsiaTheme="minorEastAsia"/>
            <w:noProof/>
            <w:sz w:val="22"/>
            <w:szCs w:val="22"/>
            <w:lang w:eastAsia="en-AU"/>
          </w:rPr>
          <w:tab/>
        </w:r>
        <w:r w:rsidR="00BC5387" w:rsidRPr="00794C0B">
          <w:rPr>
            <w:rStyle w:val="Hyperlink"/>
            <w:noProof/>
          </w:rPr>
          <w:t>Relevance to the Australian Government and the Pacific Region</w:t>
        </w:r>
        <w:r w:rsidR="00BC5387">
          <w:rPr>
            <w:noProof/>
            <w:webHidden/>
          </w:rPr>
          <w:tab/>
        </w:r>
        <w:r w:rsidR="00BC5387">
          <w:rPr>
            <w:noProof/>
            <w:webHidden/>
          </w:rPr>
          <w:fldChar w:fldCharType="begin"/>
        </w:r>
        <w:r w:rsidR="00BC5387">
          <w:rPr>
            <w:noProof/>
            <w:webHidden/>
          </w:rPr>
          <w:instrText xml:space="preserve"> PAGEREF _Toc486247209 \h </w:instrText>
        </w:r>
        <w:r w:rsidR="00BC5387">
          <w:rPr>
            <w:noProof/>
            <w:webHidden/>
          </w:rPr>
        </w:r>
        <w:r w:rsidR="00BC5387">
          <w:rPr>
            <w:noProof/>
            <w:webHidden/>
          </w:rPr>
          <w:fldChar w:fldCharType="separate"/>
        </w:r>
        <w:r>
          <w:rPr>
            <w:noProof/>
            <w:webHidden/>
          </w:rPr>
          <w:t>16</w:t>
        </w:r>
        <w:r w:rsidR="00BC5387">
          <w:rPr>
            <w:noProof/>
            <w:webHidden/>
          </w:rPr>
          <w:fldChar w:fldCharType="end"/>
        </w:r>
      </w:hyperlink>
    </w:p>
    <w:p w14:paraId="0C98328C" w14:textId="008680A9" w:rsidR="00BC5387" w:rsidRDefault="0052195D">
      <w:pPr>
        <w:pStyle w:val="TOC3"/>
        <w:tabs>
          <w:tab w:val="left" w:pos="660"/>
          <w:tab w:val="right" w:pos="9016"/>
        </w:tabs>
        <w:rPr>
          <w:rFonts w:eastAsiaTheme="minorEastAsia"/>
          <w:noProof/>
          <w:sz w:val="22"/>
          <w:szCs w:val="22"/>
          <w:lang w:eastAsia="en-AU"/>
        </w:rPr>
      </w:pPr>
      <w:hyperlink w:anchor="_Toc486247210" w:history="1">
        <w:r w:rsidR="00BC5387" w:rsidRPr="00794C0B">
          <w:rPr>
            <w:rStyle w:val="Hyperlink"/>
            <w:noProof/>
          </w:rPr>
          <w:t>3.3.</w:t>
        </w:r>
        <w:r w:rsidR="00BC5387">
          <w:rPr>
            <w:rFonts w:eastAsiaTheme="minorEastAsia"/>
            <w:noProof/>
            <w:sz w:val="22"/>
            <w:szCs w:val="22"/>
            <w:lang w:eastAsia="en-AU"/>
          </w:rPr>
          <w:tab/>
        </w:r>
        <w:r w:rsidR="00BC5387" w:rsidRPr="00794C0B">
          <w:rPr>
            <w:rStyle w:val="Hyperlink"/>
            <w:noProof/>
          </w:rPr>
          <w:t>Generating Knowledge and Influential Communication</w:t>
        </w:r>
        <w:r w:rsidR="00BC5387">
          <w:rPr>
            <w:noProof/>
            <w:webHidden/>
          </w:rPr>
          <w:tab/>
        </w:r>
        <w:r w:rsidR="00BC5387">
          <w:rPr>
            <w:noProof/>
            <w:webHidden/>
          </w:rPr>
          <w:fldChar w:fldCharType="begin"/>
        </w:r>
        <w:r w:rsidR="00BC5387">
          <w:rPr>
            <w:noProof/>
            <w:webHidden/>
          </w:rPr>
          <w:instrText xml:space="preserve"> PAGEREF _Toc486247210 \h </w:instrText>
        </w:r>
        <w:r w:rsidR="00BC5387">
          <w:rPr>
            <w:noProof/>
            <w:webHidden/>
          </w:rPr>
        </w:r>
        <w:r w:rsidR="00BC5387">
          <w:rPr>
            <w:noProof/>
            <w:webHidden/>
          </w:rPr>
          <w:fldChar w:fldCharType="separate"/>
        </w:r>
        <w:r>
          <w:rPr>
            <w:noProof/>
            <w:webHidden/>
          </w:rPr>
          <w:t>18</w:t>
        </w:r>
        <w:r w:rsidR="00BC5387">
          <w:rPr>
            <w:noProof/>
            <w:webHidden/>
          </w:rPr>
          <w:fldChar w:fldCharType="end"/>
        </w:r>
      </w:hyperlink>
    </w:p>
    <w:p w14:paraId="45D7DA0F" w14:textId="50596913" w:rsidR="00BC5387" w:rsidRDefault="0052195D">
      <w:pPr>
        <w:pStyle w:val="TOC3"/>
        <w:tabs>
          <w:tab w:val="left" w:pos="660"/>
          <w:tab w:val="right" w:pos="9016"/>
        </w:tabs>
        <w:rPr>
          <w:rFonts w:eastAsiaTheme="minorEastAsia"/>
          <w:noProof/>
          <w:sz w:val="22"/>
          <w:szCs w:val="22"/>
          <w:lang w:eastAsia="en-AU"/>
        </w:rPr>
      </w:pPr>
      <w:hyperlink w:anchor="_Toc486247211" w:history="1">
        <w:r w:rsidR="00BC5387" w:rsidRPr="00794C0B">
          <w:rPr>
            <w:rStyle w:val="Hyperlink"/>
            <w:noProof/>
          </w:rPr>
          <w:t>3.4.</w:t>
        </w:r>
        <w:r w:rsidR="00BC5387">
          <w:rPr>
            <w:rFonts w:eastAsiaTheme="minorEastAsia"/>
            <w:noProof/>
            <w:sz w:val="22"/>
            <w:szCs w:val="22"/>
            <w:lang w:eastAsia="en-AU"/>
          </w:rPr>
          <w:tab/>
        </w:r>
        <w:r w:rsidR="00BC5387" w:rsidRPr="00794C0B">
          <w:rPr>
            <w:rStyle w:val="Hyperlink"/>
            <w:noProof/>
          </w:rPr>
          <w:t>Supporting Collective Action, and Policy and Institutional Changes</w:t>
        </w:r>
        <w:r w:rsidR="00BC5387">
          <w:rPr>
            <w:noProof/>
            <w:webHidden/>
          </w:rPr>
          <w:tab/>
        </w:r>
        <w:r w:rsidR="00BC5387">
          <w:rPr>
            <w:noProof/>
            <w:webHidden/>
          </w:rPr>
          <w:fldChar w:fldCharType="begin"/>
        </w:r>
        <w:r w:rsidR="00BC5387">
          <w:rPr>
            <w:noProof/>
            <w:webHidden/>
          </w:rPr>
          <w:instrText xml:space="preserve"> PAGEREF _Toc486247211 \h </w:instrText>
        </w:r>
        <w:r w:rsidR="00BC5387">
          <w:rPr>
            <w:noProof/>
            <w:webHidden/>
          </w:rPr>
        </w:r>
        <w:r w:rsidR="00BC5387">
          <w:rPr>
            <w:noProof/>
            <w:webHidden/>
          </w:rPr>
          <w:fldChar w:fldCharType="separate"/>
        </w:r>
        <w:r>
          <w:rPr>
            <w:noProof/>
            <w:webHidden/>
          </w:rPr>
          <w:t>21</w:t>
        </w:r>
        <w:r w:rsidR="00BC5387">
          <w:rPr>
            <w:noProof/>
            <w:webHidden/>
          </w:rPr>
          <w:fldChar w:fldCharType="end"/>
        </w:r>
      </w:hyperlink>
    </w:p>
    <w:p w14:paraId="04D549F2" w14:textId="370F4285" w:rsidR="00BC5387" w:rsidRDefault="0052195D">
      <w:pPr>
        <w:pStyle w:val="TOC3"/>
        <w:tabs>
          <w:tab w:val="left" w:pos="660"/>
          <w:tab w:val="right" w:pos="9016"/>
        </w:tabs>
        <w:rPr>
          <w:rFonts w:eastAsiaTheme="minorEastAsia"/>
          <w:noProof/>
          <w:sz w:val="22"/>
          <w:szCs w:val="22"/>
          <w:lang w:eastAsia="en-AU"/>
        </w:rPr>
      </w:pPr>
      <w:hyperlink w:anchor="_Toc486247212" w:history="1">
        <w:r w:rsidR="00BC5387" w:rsidRPr="00794C0B">
          <w:rPr>
            <w:rStyle w:val="Hyperlink"/>
            <w:noProof/>
          </w:rPr>
          <w:t>3.5.</w:t>
        </w:r>
        <w:r w:rsidR="00BC5387">
          <w:rPr>
            <w:rFonts w:eastAsiaTheme="minorEastAsia"/>
            <w:noProof/>
            <w:sz w:val="22"/>
            <w:szCs w:val="22"/>
            <w:lang w:eastAsia="en-AU"/>
          </w:rPr>
          <w:tab/>
        </w:r>
        <w:r w:rsidR="00BC5387" w:rsidRPr="00794C0B">
          <w:rPr>
            <w:rStyle w:val="Hyperlink"/>
            <w:noProof/>
          </w:rPr>
          <w:t>Gender Equality</w:t>
        </w:r>
        <w:r w:rsidR="00BC5387">
          <w:rPr>
            <w:noProof/>
            <w:webHidden/>
          </w:rPr>
          <w:tab/>
        </w:r>
        <w:r w:rsidR="00BC5387">
          <w:rPr>
            <w:noProof/>
            <w:webHidden/>
          </w:rPr>
          <w:fldChar w:fldCharType="begin"/>
        </w:r>
        <w:r w:rsidR="00BC5387">
          <w:rPr>
            <w:noProof/>
            <w:webHidden/>
          </w:rPr>
          <w:instrText xml:space="preserve"> PAGEREF _Toc486247212 \h </w:instrText>
        </w:r>
        <w:r w:rsidR="00BC5387">
          <w:rPr>
            <w:noProof/>
            <w:webHidden/>
          </w:rPr>
        </w:r>
        <w:r w:rsidR="00BC5387">
          <w:rPr>
            <w:noProof/>
            <w:webHidden/>
          </w:rPr>
          <w:fldChar w:fldCharType="separate"/>
        </w:r>
        <w:r>
          <w:rPr>
            <w:noProof/>
            <w:webHidden/>
          </w:rPr>
          <w:t>29</w:t>
        </w:r>
        <w:r w:rsidR="00BC5387">
          <w:rPr>
            <w:noProof/>
            <w:webHidden/>
          </w:rPr>
          <w:fldChar w:fldCharType="end"/>
        </w:r>
      </w:hyperlink>
    </w:p>
    <w:p w14:paraId="058269E3" w14:textId="0F0D1978" w:rsidR="00BC5387" w:rsidRDefault="0052195D">
      <w:pPr>
        <w:pStyle w:val="TOC3"/>
        <w:tabs>
          <w:tab w:val="left" w:pos="660"/>
          <w:tab w:val="right" w:pos="9016"/>
        </w:tabs>
        <w:rPr>
          <w:rFonts w:eastAsiaTheme="minorEastAsia"/>
          <w:noProof/>
          <w:sz w:val="22"/>
          <w:szCs w:val="22"/>
          <w:lang w:eastAsia="en-AU"/>
        </w:rPr>
      </w:pPr>
      <w:hyperlink w:anchor="_Toc486247213" w:history="1">
        <w:r w:rsidR="00BC5387" w:rsidRPr="00794C0B">
          <w:rPr>
            <w:rStyle w:val="Hyperlink"/>
            <w:noProof/>
          </w:rPr>
          <w:t>3.6.</w:t>
        </w:r>
        <w:r w:rsidR="00BC5387">
          <w:rPr>
            <w:rFonts w:eastAsiaTheme="minorEastAsia"/>
            <w:noProof/>
            <w:sz w:val="22"/>
            <w:szCs w:val="22"/>
            <w:lang w:eastAsia="en-AU"/>
          </w:rPr>
          <w:tab/>
        </w:r>
        <w:r w:rsidR="00BC5387" w:rsidRPr="00794C0B">
          <w:rPr>
            <w:rStyle w:val="Hyperlink"/>
            <w:noProof/>
          </w:rPr>
          <w:t>Value for Money</w:t>
        </w:r>
        <w:r w:rsidR="00BC5387">
          <w:rPr>
            <w:noProof/>
            <w:webHidden/>
          </w:rPr>
          <w:tab/>
        </w:r>
        <w:r w:rsidR="00BC5387">
          <w:rPr>
            <w:noProof/>
            <w:webHidden/>
          </w:rPr>
          <w:fldChar w:fldCharType="begin"/>
        </w:r>
        <w:r w:rsidR="00BC5387">
          <w:rPr>
            <w:noProof/>
            <w:webHidden/>
          </w:rPr>
          <w:instrText xml:space="preserve"> PAGEREF _Toc486247213 \h </w:instrText>
        </w:r>
        <w:r w:rsidR="00BC5387">
          <w:rPr>
            <w:noProof/>
            <w:webHidden/>
          </w:rPr>
        </w:r>
        <w:r w:rsidR="00BC5387">
          <w:rPr>
            <w:noProof/>
            <w:webHidden/>
          </w:rPr>
          <w:fldChar w:fldCharType="separate"/>
        </w:r>
        <w:r>
          <w:rPr>
            <w:noProof/>
            <w:webHidden/>
          </w:rPr>
          <w:t>29</w:t>
        </w:r>
        <w:r w:rsidR="00BC5387">
          <w:rPr>
            <w:noProof/>
            <w:webHidden/>
          </w:rPr>
          <w:fldChar w:fldCharType="end"/>
        </w:r>
      </w:hyperlink>
    </w:p>
    <w:p w14:paraId="7724D9F1" w14:textId="24FE4E75" w:rsidR="00BC5387" w:rsidRDefault="0052195D">
      <w:pPr>
        <w:pStyle w:val="TOC3"/>
        <w:tabs>
          <w:tab w:val="left" w:pos="660"/>
          <w:tab w:val="right" w:pos="9016"/>
        </w:tabs>
        <w:rPr>
          <w:rFonts w:eastAsiaTheme="minorEastAsia"/>
          <w:noProof/>
          <w:sz w:val="22"/>
          <w:szCs w:val="22"/>
          <w:lang w:eastAsia="en-AU"/>
        </w:rPr>
      </w:pPr>
      <w:hyperlink w:anchor="_Toc486247214" w:history="1">
        <w:r w:rsidR="00BC5387" w:rsidRPr="00794C0B">
          <w:rPr>
            <w:rStyle w:val="Hyperlink"/>
            <w:noProof/>
          </w:rPr>
          <w:t>3.7.</w:t>
        </w:r>
        <w:r w:rsidR="00BC5387">
          <w:rPr>
            <w:rFonts w:eastAsiaTheme="minorEastAsia"/>
            <w:noProof/>
            <w:sz w:val="22"/>
            <w:szCs w:val="22"/>
            <w:lang w:eastAsia="en-AU"/>
          </w:rPr>
          <w:tab/>
        </w:r>
        <w:r w:rsidR="00BC5387" w:rsidRPr="00794C0B">
          <w:rPr>
            <w:rStyle w:val="Hyperlink"/>
            <w:noProof/>
          </w:rPr>
          <w:t>Sustainability</w:t>
        </w:r>
        <w:r w:rsidR="00BC5387">
          <w:rPr>
            <w:noProof/>
            <w:webHidden/>
          </w:rPr>
          <w:tab/>
        </w:r>
        <w:r w:rsidR="00BC5387">
          <w:rPr>
            <w:noProof/>
            <w:webHidden/>
          </w:rPr>
          <w:fldChar w:fldCharType="begin"/>
        </w:r>
        <w:r w:rsidR="00BC5387">
          <w:rPr>
            <w:noProof/>
            <w:webHidden/>
          </w:rPr>
          <w:instrText xml:space="preserve"> PAGEREF _Toc486247214 \h </w:instrText>
        </w:r>
        <w:r w:rsidR="00BC5387">
          <w:rPr>
            <w:noProof/>
            <w:webHidden/>
          </w:rPr>
        </w:r>
        <w:r w:rsidR="00BC5387">
          <w:rPr>
            <w:noProof/>
            <w:webHidden/>
          </w:rPr>
          <w:fldChar w:fldCharType="separate"/>
        </w:r>
        <w:r>
          <w:rPr>
            <w:noProof/>
            <w:webHidden/>
          </w:rPr>
          <w:t>31</w:t>
        </w:r>
        <w:r w:rsidR="00BC5387">
          <w:rPr>
            <w:noProof/>
            <w:webHidden/>
          </w:rPr>
          <w:fldChar w:fldCharType="end"/>
        </w:r>
      </w:hyperlink>
    </w:p>
    <w:p w14:paraId="5BC9E065" w14:textId="71DD3D13" w:rsidR="00BC5387" w:rsidRDefault="0052195D">
      <w:pPr>
        <w:pStyle w:val="TOC2"/>
        <w:tabs>
          <w:tab w:val="left" w:pos="660"/>
          <w:tab w:val="right" w:pos="9016"/>
        </w:tabs>
        <w:rPr>
          <w:rFonts w:eastAsiaTheme="minorEastAsia"/>
          <w:b w:val="0"/>
          <w:bCs w:val="0"/>
          <w:noProof/>
          <w:sz w:val="22"/>
          <w:szCs w:val="22"/>
          <w:lang w:eastAsia="en-AU"/>
        </w:rPr>
      </w:pPr>
      <w:hyperlink w:anchor="_Toc486247215" w:history="1">
        <w:r w:rsidR="00BC5387" w:rsidRPr="00794C0B">
          <w:rPr>
            <w:rStyle w:val="Hyperlink"/>
            <w:noProof/>
          </w:rPr>
          <w:t>4.</w:t>
        </w:r>
        <w:r w:rsidR="00BC5387">
          <w:rPr>
            <w:rFonts w:eastAsiaTheme="minorEastAsia"/>
            <w:b w:val="0"/>
            <w:bCs w:val="0"/>
            <w:noProof/>
            <w:sz w:val="22"/>
            <w:szCs w:val="22"/>
            <w:lang w:eastAsia="en-AU"/>
          </w:rPr>
          <w:tab/>
        </w:r>
        <w:r w:rsidR="00BC5387" w:rsidRPr="00794C0B">
          <w:rPr>
            <w:rStyle w:val="Hyperlink"/>
            <w:noProof/>
          </w:rPr>
          <w:t>Options and Recommendations</w:t>
        </w:r>
        <w:r w:rsidR="00BC5387">
          <w:rPr>
            <w:noProof/>
            <w:webHidden/>
          </w:rPr>
          <w:tab/>
        </w:r>
        <w:r w:rsidR="00BC5387">
          <w:rPr>
            <w:noProof/>
            <w:webHidden/>
          </w:rPr>
          <w:fldChar w:fldCharType="begin"/>
        </w:r>
        <w:r w:rsidR="00BC5387">
          <w:rPr>
            <w:noProof/>
            <w:webHidden/>
          </w:rPr>
          <w:instrText xml:space="preserve"> PAGEREF _Toc486247215 \h </w:instrText>
        </w:r>
        <w:r w:rsidR="00BC5387">
          <w:rPr>
            <w:noProof/>
            <w:webHidden/>
          </w:rPr>
        </w:r>
        <w:r w:rsidR="00BC5387">
          <w:rPr>
            <w:noProof/>
            <w:webHidden/>
          </w:rPr>
          <w:fldChar w:fldCharType="separate"/>
        </w:r>
        <w:r>
          <w:rPr>
            <w:noProof/>
            <w:webHidden/>
          </w:rPr>
          <w:t>33</w:t>
        </w:r>
        <w:r w:rsidR="00BC5387">
          <w:rPr>
            <w:noProof/>
            <w:webHidden/>
          </w:rPr>
          <w:fldChar w:fldCharType="end"/>
        </w:r>
      </w:hyperlink>
    </w:p>
    <w:p w14:paraId="6AB2679E" w14:textId="0673BDD7" w:rsidR="00BC5387" w:rsidRDefault="0052195D">
      <w:pPr>
        <w:pStyle w:val="TOC3"/>
        <w:tabs>
          <w:tab w:val="left" w:pos="660"/>
          <w:tab w:val="right" w:pos="9016"/>
        </w:tabs>
        <w:rPr>
          <w:rFonts w:eastAsiaTheme="minorEastAsia"/>
          <w:noProof/>
          <w:sz w:val="22"/>
          <w:szCs w:val="22"/>
          <w:lang w:eastAsia="en-AU"/>
        </w:rPr>
      </w:pPr>
      <w:hyperlink w:anchor="_Toc486247216" w:history="1">
        <w:r w:rsidR="00BC5387" w:rsidRPr="00794C0B">
          <w:rPr>
            <w:rStyle w:val="Hyperlink"/>
            <w:noProof/>
          </w:rPr>
          <w:t>4.1.</w:t>
        </w:r>
        <w:r w:rsidR="00BC5387">
          <w:rPr>
            <w:rFonts w:eastAsiaTheme="minorEastAsia"/>
            <w:noProof/>
            <w:sz w:val="22"/>
            <w:szCs w:val="22"/>
            <w:lang w:eastAsia="en-AU"/>
          </w:rPr>
          <w:tab/>
        </w:r>
        <w:r w:rsidR="00BC5387" w:rsidRPr="00794C0B">
          <w:rPr>
            <w:rStyle w:val="Hyperlink"/>
            <w:noProof/>
          </w:rPr>
          <w:t>Options</w:t>
        </w:r>
        <w:r w:rsidR="00BC5387">
          <w:rPr>
            <w:noProof/>
            <w:webHidden/>
          </w:rPr>
          <w:tab/>
        </w:r>
        <w:r w:rsidR="00BC5387">
          <w:rPr>
            <w:noProof/>
            <w:webHidden/>
          </w:rPr>
          <w:fldChar w:fldCharType="begin"/>
        </w:r>
        <w:r w:rsidR="00BC5387">
          <w:rPr>
            <w:noProof/>
            <w:webHidden/>
          </w:rPr>
          <w:instrText xml:space="preserve"> PAGEREF _Toc486247216 \h </w:instrText>
        </w:r>
        <w:r w:rsidR="00BC5387">
          <w:rPr>
            <w:noProof/>
            <w:webHidden/>
          </w:rPr>
        </w:r>
        <w:r w:rsidR="00BC5387">
          <w:rPr>
            <w:noProof/>
            <w:webHidden/>
          </w:rPr>
          <w:fldChar w:fldCharType="separate"/>
        </w:r>
        <w:r>
          <w:rPr>
            <w:noProof/>
            <w:webHidden/>
          </w:rPr>
          <w:t>33</w:t>
        </w:r>
        <w:r w:rsidR="00BC5387">
          <w:rPr>
            <w:noProof/>
            <w:webHidden/>
          </w:rPr>
          <w:fldChar w:fldCharType="end"/>
        </w:r>
      </w:hyperlink>
    </w:p>
    <w:p w14:paraId="593E0BF0" w14:textId="2B8E0C00" w:rsidR="00BC5387" w:rsidRDefault="0052195D">
      <w:pPr>
        <w:pStyle w:val="TOC3"/>
        <w:tabs>
          <w:tab w:val="left" w:pos="660"/>
          <w:tab w:val="right" w:pos="9016"/>
        </w:tabs>
        <w:rPr>
          <w:rFonts w:eastAsiaTheme="minorEastAsia"/>
          <w:noProof/>
          <w:sz w:val="22"/>
          <w:szCs w:val="22"/>
          <w:lang w:eastAsia="en-AU"/>
        </w:rPr>
      </w:pPr>
      <w:hyperlink w:anchor="_Toc486247217" w:history="1">
        <w:r w:rsidR="00BC5387" w:rsidRPr="00794C0B">
          <w:rPr>
            <w:rStyle w:val="Hyperlink"/>
            <w:noProof/>
          </w:rPr>
          <w:t>4.2.</w:t>
        </w:r>
        <w:r w:rsidR="00BC5387">
          <w:rPr>
            <w:rFonts w:eastAsiaTheme="minorEastAsia"/>
            <w:noProof/>
            <w:sz w:val="22"/>
            <w:szCs w:val="22"/>
            <w:lang w:eastAsia="en-AU"/>
          </w:rPr>
          <w:tab/>
        </w:r>
        <w:r w:rsidR="00BC5387" w:rsidRPr="00794C0B">
          <w:rPr>
            <w:rStyle w:val="Hyperlink"/>
            <w:noProof/>
          </w:rPr>
          <w:t>Recommendations</w:t>
        </w:r>
        <w:r w:rsidR="00BC5387">
          <w:rPr>
            <w:noProof/>
            <w:webHidden/>
          </w:rPr>
          <w:tab/>
        </w:r>
        <w:r w:rsidR="00BC5387">
          <w:rPr>
            <w:noProof/>
            <w:webHidden/>
          </w:rPr>
          <w:fldChar w:fldCharType="begin"/>
        </w:r>
        <w:r w:rsidR="00BC5387">
          <w:rPr>
            <w:noProof/>
            <w:webHidden/>
          </w:rPr>
          <w:instrText xml:space="preserve"> PAGEREF _Toc486247217 \h </w:instrText>
        </w:r>
        <w:r w:rsidR="00BC5387">
          <w:rPr>
            <w:noProof/>
            <w:webHidden/>
          </w:rPr>
        </w:r>
        <w:r w:rsidR="00BC5387">
          <w:rPr>
            <w:noProof/>
            <w:webHidden/>
          </w:rPr>
          <w:fldChar w:fldCharType="separate"/>
        </w:r>
        <w:r>
          <w:rPr>
            <w:noProof/>
            <w:webHidden/>
          </w:rPr>
          <w:t>34</w:t>
        </w:r>
        <w:r w:rsidR="00BC5387">
          <w:rPr>
            <w:noProof/>
            <w:webHidden/>
          </w:rPr>
          <w:fldChar w:fldCharType="end"/>
        </w:r>
      </w:hyperlink>
    </w:p>
    <w:p w14:paraId="3C5CD379" w14:textId="5B603710" w:rsidR="00BC5387" w:rsidRDefault="0052195D" w:rsidP="00BC5387">
      <w:pPr>
        <w:pStyle w:val="TOC2"/>
        <w:tabs>
          <w:tab w:val="right" w:pos="9016"/>
        </w:tabs>
        <w:spacing w:before="120"/>
        <w:rPr>
          <w:rFonts w:eastAsiaTheme="minorEastAsia"/>
          <w:b w:val="0"/>
          <w:bCs w:val="0"/>
          <w:noProof/>
          <w:sz w:val="22"/>
          <w:szCs w:val="22"/>
          <w:lang w:eastAsia="en-AU"/>
        </w:rPr>
      </w:pPr>
      <w:hyperlink w:anchor="_Toc486247218" w:history="1">
        <w:r w:rsidR="00BC5387" w:rsidRPr="00794C0B">
          <w:rPr>
            <w:rStyle w:val="Hyperlink"/>
            <w:noProof/>
          </w:rPr>
          <w:t>Annex 1: Summary Terms of Reference</w:t>
        </w:r>
        <w:r w:rsidR="00BC5387">
          <w:rPr>
            <w:noProof/>
            <w:webHidden/>
          </w:rPr>
          <w:tab/>
        </w:r>
        <w:r w:rsidR="00BC5387">
          <w:rPr>
            <w:noProof/>
            <w:webHidden/>
          </w:rPr>
          <w:fldChar w:fldCharType="begin"/>
        </w:r>
        <w:r w:rsidR="00BC5387">
          <w:rPr>
            <w:noProof/>
            <w:webHidden/>
          </w:rPr>
          <w:instrText xml:space="preserve"> PAGEREF _Toc486247218 \h </w:instrText>
        </w:r>
        <w:r w:rsidR="00BC5387">
          <w:rPr>
            <w:noProof/>
            <w:webHidden/>
          </w:rPr>
        </w:r>
        <w:r w:rsidR="00BC5387">
          <w:rPr>
            <w:noProof/>
            <w:webHidden/>
          </w:rPr>
          <w:fldChar w:fldCharType="separate"/>
        </w:r>
        <w:r>
          <w:rPr>
            <w:noProof/>
            <w:webHidden/>
          </w:rPr>
          <w:t>38</w:t>
        </w:r>
        <w:r w:rsidR="00BC5387">
          <w:rPr>
            <w:noProof/>
            <w:webHidden/>
          </w:rPr>
          <w:fldChar w:fldCharType="end"/>
        </w:r>
      </w:hyperlink>
    </w:p>
    <w:p w14:paraId="5029A844" w14:textId="044C7D8A" w:rsidR="00BC5387" w:rsidRDefault="0052195D" w:rsidP="00BC5387">
      <w:pPr>
        <w:pStyle w:val="TOC2"/>
        <w:tabs>
          <w:tab w:val="right" w:pos="9016"/>
        </w:tabs>
        <w:spacing w:before="120"/>
        <w:rPr>
          <w:rFonts w:eastAsiaTheme="minorEastAsia"/>
          <w:b w:val="0"/>
          <w:bCs w:val="0"/>
          <w:noProof/>
          <w:sz w:val="22"/>
          <w:szCs w:val="22"/>
          <w:lang w:eastAsia="en-AU"/>
        </w:rPr>
      </w:pPr>
      <w:hyperlink w:anchor="_Toc486247219" w:history="1">
        <w:r w:rsidR="00BC5387" w:rsidRPr="00794C0B">
          <w:rPr>
            <w:rStyle w:val="Hyperlink"/>
            <w:noProof/>
          </w:rPr>
          <w:t>Annex 2: Theory of Change</w:t>
        </w:r>
        <w:r w:rsidR="00BC5387">
          <w:rPr>
            <w:noProof/>
            <w:webHidden/>
          </w:rPr>
          <w:tab/>
        </w:r>
        <w:r w:rsidR="00BC5387">
          <w:rPr>
            <w:noProof/>
            <w:webHidden/>
          </w:rPr>
          <w:fldChar w:fldCharType="begin"/>
        </w:r>
        <w:r w:rsidR="00BC5387">
          <w:rPr>
            <w:noProof/>
            <w:webHidden/>
          </w:rPr>
          <w:instrText xml:space="preserve"> PAGEREF _Toc486247219 \h </w:instrText>
        </w:r>
        <w:r w:rsidR="00BC5387">
          <w:rPr>
            <w:noProof/>
            <w:webHidden/>
          </w:rPr>
        </w:r>
        <w:r w:rsidR="00BC5387">
          <w:rPr>
            <w:noProof/>
            <w:webHidden/>
          </w:rPr>
          <w:fldChar w:fldCharType="separate"/>
        </w:r>
        <w:r>
          <w:rPr>
            <w:noProof/>
            <w:webHidden/>
          </w:rPr>
          <w:t>41</w:t>
        </w:r>
        <w:r w:rsidR="00BC5387">
          <w:rPr>
            <w:noProof/>
            <w:webHidden/>
          </w:rPr>
          <w:fldChar w:fldCharType="end"/>
        </w:r>
      </w:hyperlink>
    </w:p>
    <w:p w14:paraId="69291457" w14:textId="0809DCF1" w:rsidR="00BC5387" w:rsidRDefault="0052195D" w:rsidP="00BC5387">
      <w:pPr>
        <w:pStyle w:val="TOC2"/>
        <w:tabs>
          <w:tab w:val="right" w:pos="9016"/>
        </w:tabs>
        <w:spacing w:before="120"/>
        <w:rPr>
          <w:rFonts w:eastAsiaTheme="minorEastAsia"/>
          <w:b w:val="0"/>
          <w:bCs w:val="0"/>
          <w:noProof/>
          <w:sz w:val="22"/>
          <w:szCs w:val="22"/>
          <w:lang w:eastAsia="en-AU"/>
        </w:rPr>
      </w:pPr>
      <w:hyperlink w:anchor="_Toc486247220" w:history="1">
        <w:r w:rsidR="00BC5387" w:rsidRPr="00794C0B">
          <w:rPr>
            <w:rStyle w:val="Hyperlink"/>
            <w:noProof/>
          </w:rPr>
          <w:t>Annex 3: Core Evaluation Questions</w:t>
        </w:r>
        <w:r w:rsidR="00BC5387">
          <w:rPr>
            <w:noProof/>
            <w:webHidden/>
          </w:rPr>
          <w:tab/>
        </w:r>
        <w:r w:rsidR="00BC5387">
          <w:rPr>
            <w:noProof/>
            <w:webHidden/>
          </w:rPr>
          <w:fldChar w:fldCharType="begin"/>
        </w:r>
        <w:r w:rsidR="00BC5387">
          <w:rPr>
            <w:noProof/>
            <w:webHidden/>
          </w:rPr>
          <w:instrText xml:space="preserve"> PAGEREF _Toc486247220 \h </w:instrText>
        </w:r>
        <w:r w:rsidR="00BC5387">
          <w:rPr>
            <w:noProof/>
            <w:webHidden/>
          </w:rPr>
        </w:r>
        <w:r w:rsidR="00BC5387">
          <w:rPr>
            <w:noProof/>
            <w:webHidden/>
          </w:rPr>
          <w:fldChar w:fldCharType="separate"/>
        </w:r>
        <w:r>
          <w:rPr>
            <w:noProof/>
            <w:webHidden/>
          </w:rPr>
          <w:t>42</w:t>
        </w:r>
        <w:r w:rsidR="00BC5387">
          <w:rPr>
            <w:noProof/>
            <w:webHidden/>
          </w:rPr>
          <w:fldChar w:fldCharType="end"/>
        </w:r>
      </w:hyperlink>
    </w:p>
    <w:p w14:paraId="67FE2D10" w14:textId="735BC558" w:rsidR="00BC5387" w:rsidRDefault="0052195D" w:rsidP="00BC5387">
      <w:pPr>
        <w:pStyle w:val="TOC2"/>
        <w:tabs>
          <w:tab w:val="right" w:pos="9016"/>
        </w:tabs>
        <w:spacing w:before="120"/>
        <w:rPr>
          <w:rFonts w:eastAsiaTheme="minorEastAsia"/>
          <w:b w:val="0"/>
          <w:bCs w:val="0"/>
          <w:noProof/>
          <w:sz w:val="22"/>
          <w:szCs w:val="22"/>
          <w:lang w:eastAsia="en-AU"/>
        </w:rPr>
      </w:pPr>
      <w:hyperlink w:anchor="_Toc486247221" w:history="1">
        <w:r w:rsidR="00BC5387" w:rsidRPr="00794C0B">
          <w:rPr>
            <w:rStyle w:val="Hyperlink"/>
            <w:noProof/>
          </w:rPr>
          <w:t>Annex 4: Timeline of PLP</w:t>
        </w:r>
        <w:r w:rsidR="00BC5387">
          <w:rPr>
            <w:noProof/>
            <w:webHidden/>
          </w:rPr>
          <w:tab/>
        </w:r>
        <w:r w:rsidR="00BC5387">
          <w:rPr>
            <w:noProof/>
            <w:webHidden/>
          </w:rPr>
          <w:fldChar w:fldCharType="begin"/>
        </w:r>
        <w:r w:rsidR="00BC5387">
          <w:rPr>
            <w:noProof/>
            <w:webHidden/>
          </w:rPr>
          <w:instrText xml:space="preserve"> PAGEREF _Toc486247221 \h </w:instrText>
        </w:r>
        <w:r w:rsidR="00BC5387">
          <w:rPr>
            <w:noProof/>
            <w:webHidden/>
          </w:rPr>
        </w:r>
        <w:r w:rsidR="00BC5387">
          <w:rPr>
            <w:noProof/>
            <w:webHidden/>
          </w:rPr>
          <w:fldChar w:fldCharType="separate"/>
        </w:r>
        <w:r>
          <w:rPr>
            <w:noProof/>
            <w:webHidden/>
          </w:rPr>
          <w:t>43</w:t>
        </w:r>
        <w:r w:rsidR="00BC5387">
          <w:rPr>
            <w:noProof/>
            <w:webHidden/>
          </w:rPr>
          <w:fldChar w:fldCharType="end"/>
        </w:r>
      </w:hyperlink>
    </w:p>
    <w:p w14:paraId="1D13A864" w14:textId="25524571" w:rsidR="00BC5387" w:rsidRDefault="0052195D" w:rsidP="00BC5387">
      <w:pPr>
        <w:pStyle w:val="TOC2"/>
        <w:tabs>
          <w:tab w:val="right" w:pos="9016"/>
        </w:tabs>
        <w:spacing w:before="120"/>
        <w:rPr>
          <w:rFonts w:eastAsiaTheme="minorEastAsia"/>
          <w:b w:val="0"/>
          <w:bCs w:val="0"/>
          <w:noProof/>
          <w:sz w:val="22"/>
          <w:szCs w:val="22"/>
          <w:lang w:eastAsia="en-AU"/>
        </w:rPr>
      </w:pPr>
      <w:hyperlink w:anchor="_Toc486247222" w:history="1">
        <w:r w:rsidR="00BC5387" w:rsidRPr="00794C0B">
          <w:rPr>
            <w:rStyle w:val="Hyperlink"/>
            <w:noProof/>
          </w:rPr>
          <w:t>Annex 5: List of Greg Urwin Awardees</w:t>
        </w:r>
        <w:r w:rsidR="00BC5387">
          <w:rPr>
            <w:noProof/>
            <w:webHidden/>
          </w:rPr>
          <w:tab/>
        </w:r>
        <w:r w:rsidR="00BC5387">
          <w:rPr>
            <w:noProof/>
            <w:webHidden/>
          </w:rPr>
          <w:fldChar w:fldCharType="begin"/>
        </w:r>
        <w:r w:rsidR="00BC5387">
          <w:rPr>
            <w:noProof/>
            <w:webHidden/>
          </w:rPr>
          <w:instrText xml:space="preserve"> PAGEREF _Toc486247222 \h </w:instrText>
        </w:r>
        <w:r w:rsidR="00BC5387">
          <w:rPr>
            <w:noProof/>
            <w:webHidden/>
          </w:rPr>
        </w:r>
        <w:r w:rsidR="00BC5387">
          <w:rPr>
            <w:noProof/>
            <w:webHidden/>
          </w:rPr>
          <w:fldChar w:fldCharType="separate"/>
        </w:r>
        <w:r>
          <w:rPr>
            <w:noProof/>
            <w:webHidden/>
          </w:rPr>
          <w:t>44</w:t>
        </w:r>
        <w:r w:rsidR="00BC5387">
          <w:rPr>
            <w:noProof/>
            <w:webHidden/>
          </w:rPr>
          <w:fldChar w:fldCharType="end"/>
        </w:r>
      </w:hyperlink>
    </w:p>
    <w:p w14:paraId="162FB52F" w14:textId="6106ED60" w:rsidR="00BC5387" w:rsidRDefault="0052195D" w:rsidP="00BC5387">
      <w:pPr>
        <w:pStyle w:val="TOC2"/>
        <w:tabs>
          <w:tab w:val="right" w:pos="9016"/>
        </w:tabs>
        <w:spacing w:before="120"/>
        <w:rPr>
          <w:rFonts w:eastAsiaTheme="minorEastAsia"/>
          <w:b w:val="0"/>
          <w:bCs w:val="0"/>
          <w:noProof/>
          <w:sz w:val="22"/>
          <w:szCs w:val="22"/>
          <w:lang w:eastAsia="en-AU"/>
        </w:rPr>
      </w:pPr>
      <w:hyperlink w:anchor="_Toc486247223" w:history="1">
        <w:r w:rsidR="00BC5387" w:rsidRPr="00794C0B">
          <w:rPr>
            <w:rStyle w:val="Hyperlink"/>
            <w:noProof/>
          </w:rPr>
          <w:t>Annex 6: Adaptive Leadership Participants</w:t>
        </w:r>
        <w:r w:rsidR="00BC5387">
          <w:rPr>
            <w:noProof/>
            <w:webHidden/>
          </w:rPr>
          <w:tab/>
        </w:r>
        <w:r w:rsidR="00BC5387">
          <w:rPr>
            <w:noProof/>
            <w:webHidden/>
          </w:rPr>
          <w:fldChar w:fldCharType="begin"/>
        </w:r>
        <w:r w:rsidR="00BC5387">
          <w:rPr>
            <w:noProof/>
            <w:webHidden/>
          </w:rPr>
          <w:instrText xml:space="preserve"> PAGEREF _Toc486247223 \h </w:instrText>
        </w:r>
        <w:r w:rsidR="00BC5387">
          <w:rPr>
            <w:noProof/>
            <w:webHidden/>
          </w:rPr>
        </w:r>
        <w:r w:rsidR="00BC5387">
          <w:rPr>
            <w:noProof/>
            <w:webHidden/>
          </w:rPr>
          <w:fldChar w:fldCharType="separate"/>
        </w:r>
        <w:r>
          <w:rPr>
            <w:noProof/>
            <w:webHidden/>
          </w:rPr>
          <w:t>49</w:t>
        </w:r>
        <w:r w:rsidR="00BC5387">
          <w:rPr>
            <w:noProof/>
            <w:webHidden/>
          </w:rPr>
          <w:fldChar w:fldCharType="end"/>
        </w:r>
      </w:hyperlink>
    </w:p>
    <w:p w14:paraId="3F469009" w14:textId="21888F2D" w:rsidR="00BC5387" w:rsidRDefault="0052195D" w:rsidP="00BC5387">
      <w:pPr>
        <w:pStyle w:val="TOC2"/>
        <w:tabs>
          <w:tab w:val="right" w:pos="9016"/>
        </w:tabs>
        <w:spacing w:before="120"/>
        <w:rPr>
          <w:rFonts w:eastAsiaTheme="minorEastAsia"/>
          <w:b w:val="0"/>
          <w:bCs w:val="0"/>
          <w:noProof/>
          <w:sz w:val="22"/>
          <w:szCs w:val="22"/>
          <w:lang w:eastAsia="en-AU"/>
        </w:rPr>
      </w:pPr>
      <w:hyperlink w:anchor="_Toc486247224" w:history="1">
        <w:r w:rsidR="00BC5387" w:rsidRPr="00794C0B">
          <w:rPr>
            <w:rStyle w:val="Hyperlink"/>
            <w:noProof/>
          </w:rPr>
          <w:t>Annex 7: Research Products</w:t>
        </w:r>
        <w:r w:rsidR="00BC5387">
          <w:rPr>
            <w:noProof/>
            <w:webHidden/>
          </w:rPr>
          <w:tab/>
        </w:r>
        <w:r w:rsidR="00BC5387">
          <w:rPr>
            <w:noProof/>
            <w:webHidden/>
          </w:rPr>
          <w:fldChar w:fldCharType="begin"/>
        </w:r>
        <w:r w:rsidR="00BC5387">
          <w:rPr>
            <w:noProof/>
            <w:webHidden/>
          </w:rPr>
          <w:instrText xml:space="preserve"> PAGEREF _Toc486247224 \h </w:instrText>
        </w:r>
        <w:r w:rsidR="00BC5387">
          <w:rPr>
            <w:noProof/>
            <w:webHidden/>
          </w:rPr>
        </w:r>
        <w:r w:rsidR="00BC5387">
          <w:rPr>
            <w:noProof/>
            <w:webHidden/>
          </w:rPr>
          <w:fldChar w:fldCharType="separate"/>
        </w:r>
        <w:r>
          <w:rPr>
            <w:noProof/>
            <w:webHidden/>
          </w:rPr>
          <w:t>52</w:t>
        </w:r>
        <w:r w:rsidR="00BC5387">
          <w:rPr>
            <w:noProof/>
            <w:webHidden/>
          </w:rPr>
          <w:fldChar w:fldCharType="end"/>
        </w:r>
      </w:hyperlink>
    </w:p>
    <w:p w14:paraId="11107972" w14:textId="2B941B67" w:rsidR="00BC5387" w:rsidRDefault="0052195D" w:rsidP="00BC5387">
      <w:pPr>
        <w:pStyle w:val="TOC2"/>
        <w:tabs>
          <w:tab w:val="right" w:pos="9016"/>
        </w:tabs>
        <w:spacing w:before="120"/>
        <w:rPr>
          <w:rFonts w:eastAsiaTheme="minorEastAsia"/>
          <w:b w:val="0"/>
          <w:bCs w:val="0"/>
          <w:noProof/>
          <w:sz w:val="22"/>
          <w:szCs w:val="22"/>
          <w:lang w:eastAsia="en-AU"/>
        </w:rPr>
      </w:pPr>
      <w:hyperlink w:anchor="_Toc486247225" w:history="1">
        <w:r w:rsidR="00BC5387" w:rsidRPr="00794C0B">
          <w:rPr>
            <w:rStyle w:val="Hyperlink"/>
            <w:noProof/>
          </w:rPr>
          <w:t>Annex 8: People Consulted</w:t>
        </w:r>
        <w:r w:rsidR="00BC5387">
          <w:rPr>
            <w:noProof/>
            <w:webHidden/>
          </w:rPr>
          <w:tab/>
        </w:r>
        <w:r w:rsidR="00BC5387">
          <w:rPr>
            <w:noProof/>
            <w:webHidden/>
          </w:rPr>
          <w:fldChar w:fldCharType="begin"/>
        </w:r>
        <w:r w:rsidR="00BC5387">
          <w:rPr>
            <w:noProof/>
            <w:webHidden/>
          </w:rPr>
          <w:instrText xml:space="preserve"> PAGEREF _Toc486247225 \h </w:instrText>
        </w:r>
        <w:r w:rsidR="00BC5387">
          <w:rPr>
            <w:noProof/>
            <w:webHidden/>
          </w:rPr>
        </w:r>
        <w:r w:rsidR="00BC5387">
          <w:rPr>
            <w:noProof/>
            <w:webHidden/>
          </w:rPr>
          <w:fldChar w:fldCharType="separate"/>
        </w:r>
        <w:r>
          <w:rPr>
            <w:noProof/>
            <w:webHidden/>
          </w:rPr>
          <w:t>55</w:t>
        </w:r>
        <w:r w:rsidR="00BC5387">
          <w:rPr>
            <w:noProof/>
            <w:webHidden/>
          </w:rPr>
          <w:fldChar w:fldCharType="end"/>
        </w:r>
      </w:hyperlink>
    </w:p>
    <w:p w14:paraId="400FCB87" w14:textId="58FBA9B6" w:rsidR="00BC5387" w:rsidRDefault="0052195D" w:rsidP="00BC5387">
      <w:pPr>
        <w:pStyle w:val="TOC2"/>
        <w:tabs>
          <w:tab w:val="right" w:pos="9016"/>
        </w:tabs>
        <w:spacing w:before="120"/>
        <w:rPr>
          <w:rFonts w:eastAsiaTheme="minorEastAsia"/>
          <w:b w:val="0"/>
          <w:bCs w:val="0"/>
          <w:noProof/>
          <w:sz w:val="22"/>
          <w:szCs w:val="22"/>
          <w:lang w:eastAsia="en-AU"/>
        </w:rPr>
      </w:pPr>
      <w:hyperlink w:anchor="_Toc486247226" w:history="1">
        <w:r w:rsidR="00BC5387" w:rsidRPr="00794C0B">
          <w:rPr>
            <w:rStyle w:val="Hyperlink"/>
            <w:noProof/>
          </w:rPr>
          <w:t>Annex 9: Documents Reviewed</w:t>
        </w:r>
        <w:r w:rsidR="00BC5387">
          <w:rPr>
            <w:noProof/>
            <w:webHidden/>
          </w:rPr>
          <w:tab/>
        </w:r>
        <w:r w:rsidR="00BC5387">
          <w:rPr>
            <w:noProof/>
            <w:webHidden/>
          </w:rPr>
          <w:fldChar w:fldCharType="begin"/>
        </w:r>
        <w:r w:rsidR="00BC5387">
          <w:rPr>
            <w:noProof/>
            <w:webHidden/>
          </w:rPr>
          <w:instrText xml:space="preserve"> PAGEREF _Toc486247226 \h </w:instrText>
        </w:r>
        <w:r w:rsidR="00BC5387">
          <w:rPr>
            <w:noProof/>
            <w:webHidden/>
          </w:rPr>
        </w:r>
        <w:r w:rsidR="00BC5387">
          <w:rPr>
            <w:noProof/>
            <w:webHidden/>
          </w:rPr>
          <w:fldChar w:fldCharType="separate"/>
        </w:r>
        <w:r>
          <w:rPr>
            <w:noProof/>
            <w:webHidden/>
          </w:rPr>
          <w:t>59</w:t>
        </w:r>
        <w:r w:rsidR="00BC5387">
          <w:rPr>
            <w:noProof/>
            <w:webHidden/>
          </w:rPr>
          <w:fldChar w:fldCharType="end"/>
        </w:r>
      </w:hyperlink>
    </w:p>
    <w:p w14:paraId="38FFCDF7" w14:textId="77777777" w:rsidR="00615E40" w:rsidRDefault="001B3ECA" w:rsidP="00826984">
      <w:pPr>
        <w:pStyle w:val="TOC2"/>
        <w:tabs>
          <w:tab w:val="right" w:pos="9016"/>
        </w:tabs>
        <w:spacing w:before="120"/>
        <w:rPr>
          <w:rFonts w:ascii="Calibri" w:eastAsiaTheme="majorEastAsia" w:hAnsi="Calibri" w:cstheme="majorBidi"/>
          <w:b w:val="0"/>
          <w:bCs w:val="0"/>
          <w:color w:val="757575"/>
          <w:sz w:val="50"/>
          <w:szCs w:val="26"/>
        </w:rPr>
      </w:pPr>
      <w:r>
        <w:rPr>
          <w:rFonts w:asciiTheme="majorHAnsi" w:hAnsiTheme="majorHAnsi"/>
          <w:caps/>
          <w:szCs w:val="24"/>
        </w:rPr>
        <w:fldChar w:fldCharType="end"/>
      </w:r>
      <w:r w:rsidR="00615E40">
        <w:br w:type="page"/>
      </w:r>
    </w:p>
    <w:p w14:paraId="488D40FD" w14:textId="77777777" w:rsidR="00B60CA1" w:rsidRPr="00B60CA1" w:rsidRDefault="00767BE5" w:rsidP="001C3654">
      <w:pPr>
        <w:pStyle w:val="Heading2"/>
        <w:spacing w:before="240" w:after="120"/>
        <w:ind w:left="431" w:hanging="431"/>
      </w:pPr>
      <w:bookmarkStart w:id="4" w:name="_Toc486247196"/>
      <w:r>
        <w:t>Introduction</w:t>
      </w:r>
      <w:bookmarkEnd w:id="4"/>
      <w:r>
        <w:t xml:space="preserve"> </w:t>
      </w:r>
    </w:p>
    <w:p w14:paraId="6E0315F4" w14:textId="77777777" w:rsidR="00124239" w:rsidRPr="001C3654" w:rsidRDefault="00CA5C0E" w:rsidP="00124239">
      <w:pPr>
        <w:pStyle w:val="SDAbulletpoints"/>
        <w:numPr>
          <w:ilvl w:val="0"/>
          <w:numId w:val="0"/>
        </w:numPr>
      </w:pPr>
      <w:bookmarkStart w:id="5" w:name="_Toc484406180"/>
      <w:bookmarkStart w:id="6" w:name="_Toc484406237"/>
      <w:bookmarkStart w:id="7" w:name="_Toc484609492"/>
      <w:r w:rsidRPr="001C3654">
        <w:t xml:space="preserve">The </w:t>
      </w:r>
      <w:r w:rsidRPr="001C3654">
        <w:rPr>
          <w:b/>
        </w:rPr>
        <w:t>purpose of this report</w:t>
      </w:r>
      <w:r w:rsidRPr="001C3654">
        <w:t xml:space="preserve"> is to present the findings and recommendations from an </w:t>
      </w:r>
      <w:r w:rsidR="00B7394D" w:rsidRPr="001C3654">
        <w:t xml:space="preserve">independent </w:t>
      </w:r>
      <w:r w:rsidRPr="001C3654">
        <w:t xml:space="preserve">evaluation of the Pacific Leadership Program </w:t>
      </w:r>
      <w:r w:rsidR="00A1037D" w:rsidRPr="001C3654">
        <w:t xml:space="preserve">Phase 3 </w:t>
      </w:r>
      <w:r w:rsidRPr="001C3654">
        <w:t>(P</w:t>
      </w:r>
      <w:r w:rsidR="00A1037D" w:rsidRPr="001C3654">
        <w:t>LP3</w:t>
      </w:r>
      <w:r w:rsidRPr="001C3654">
        <w:t xml:space="preserve">). </w:t>
      </w:r>
    </w:p>
    <w:p w14:paraId="076E2F00" w14:textId="77777777" w:rsidR="00124239" w:rsidRPr="003B1998" w:rsidRDefault="00124239" w:rsidP="00124239">
      <w:pPr>
        <w:pStyle w:val="SDANumberedheading2"/>
        <w:ind w:left="709" w:hanging="709"/>
      </w:pPr>
      <w:bookmarkStart w:id="8" w:name="_Toc486247197"/>
      <w:r w:rsidRPr="003B1998">
        <w:t>Evaluation Purpose and Scope</w:t>
      </w:r>
      <w:bookmarkEnd w:id="8"/>
    </w:p>
    <w:p w14:paraId="290DC222" w14:textId="77777777" w:rsidR="00124239" w:rsidRPr="001C3654" w:rsidRDefault="00124239" w:rsidP="00124239">
      <w:pPr>
        <w:pStyle w:val="SDAbodytext"/>
      </w:pPr>
      <w:r w:rsidRPr="001C3654">
        <w:t>The</w:t>
      </w:r>
      <w:r w:rsidRPr="001C3654">
        <w:rPr>
          <w:b/>
        </w:rPr>
        <w:t xml:space="preserve"> purpose of this evaluation </w:t>
      </w:r>
      <w:r w:rsidRPr="001C3654">
        <w:t>was twofold:</w:t>
      </w:r>
    </w:p>
    <w:p w14:paraId="0FDD4F7F" w14:textId="77777777" w:rsidR="00124239" w:rsidRPr="001C3654" w:rsidRDefault="00124239" w:rsidP="00124239">
      <w:pPr>
        <w:pStyle w:val="SDAbulletpoints"/>
      </w:pPr>
      <w:r w:rsidRPr="001C3654">
        <w:t xml:space="preserve">To assess the continuing </w:t>
      </w:r>
      <w:r w:rsidRPr="001C3654">
        <w:rPr>
          <w:i/>
        </w:rPr>
        <w:t>relevance</w:t>
      </w:r>
      <w:r w:rsidRPr="001C3654">
        <w:t xml:space="preserve"> of PLP3 and its various components to key stakeholders (including DFAT and PLP’s Pacific partners), and </w:t>
      </w:r>
    </w:p>
    <w:p w14:paraId="383F7701" w14:textId="77777777" w:rsidR="00124239" w:rsidRPr="001C3654" w:rsidRDefault="00124239" w:rsidP="00124239">
      <w:pPr>
        <w:pStyle w:val="SDAbulletpoints"/>
      </w:pPr>
      <w:r w:rsidRPr="001C3654">
        <w:t xml:space="preserve">To assess the </w:t>
      </w:r>
      <w:r w:rsidRPr="001C3654">
        <w:rPr>
          <w:i/>
        </w:rPr>
        <w:t>effectiveness</w:t>
      </w:r>
      <w:r w:rsidRPr="001C3654">
        <w:t xml:space="preserve"> of PLP3 and its components and determine whether the </w:t>
      </w:r>
      <w:r w:rsidR="004E2BBB" w:rsidRPr="001C3654">
        <w:t>p</w:t>
      </w:r>
      <w:r w:rsidRPr="001C3654">
        <w:t xml:space="preserve">rogram is on track to achieve its expected results. </w:t>
      </w:r>
    </w:p>
    <w:p w14:paraId="75C54038" w14:textId="77777777" w:rsidR="00124239" w:rsidRPr="001C3654" w:rsidRDefault="00124239" w:rsidP="00124239">
      <w:pPr>
        <w:pStyle w:val="SDAbodytext"/>
      </w:pPr>
      <w:r w:rsidRPr="001C3654">
        <w:t xml:space="preserve">The </w:t>
      </w:r>
      <w:r w:rsidRPr="001C3654">
        <w:rPr>
          <w:b/>
        </w:rPr>
        <w:t>primary focus of this evaluation is on learning</w:t>
      </w:r>
      <w:r w:rsidRPr="001C3654">
        <w:t>. The secondary focus of the evaluation is on accountability. The</w:t>
      </w:r>
      <w:r w:rsidRPr="001C3654">
        <w:rPr>
          <w:b/>
        </w:rPr>
        <w:t xml:space="preserve"> primary audience</w:t>
      </w:r>
      <w:r w:rsidRPr="001C3654">
        <w:t xml:space="preserve"> for this report is: </w:t>
      </w:r>
    </w:p>
    <w:p w14:paraId="2B3DA2E6" w14:textId="77777777" w:rsidR="00124239" w:rsidRPr="001C3654" w:rsidRDefault="00124239" w:rsidP="00124239">
      <w:pPr>
        <w:pStyle w:val="SDAbulletpoints"/>
      </w:pPr>
      <w:r w:rsidRPr="001C3654">
        <w:t>DFAT (Pacific Division</w:t>
      </w:r>
      <w:r w:rsidR="009D179F" w:rsidRPr="001C3654">
        <w:t xml:space="preserve"> (including relevant DFAT Pacific Posts) </w:t>
      </w:r>
      <w:r w:rsidRPr="001C3654">
        <w:t>and the Governance, Fragility and Water Branch)</w:t>
      </w:r>
    </w:p>
    <w:p w14:paraId="769F2373" w14:textId="77777777" w:rsidR="00124239" w:rsidRPr="001C3654" w:rsidRDefault="00124239" w:rsidP="00124239">
      <w:pPr>
        <w:pStyle w:val="SDAbulletpoints"/>
      </w:pPr>
      <w:r w:rsidRPr="001C3654">
        <w:t>The Pacific Leadership Program team</w:t>
      </w:r>
    </w:p>
    <w:p w14:paraId="521FE112" w14:textId="77777777" w:rsidR="00124239" w:rsidRPr="001C3654" w:rsidRDefault="00124239" w:rsidP="00124239">
      <w:pPr>
        <w:pStyle w:val="SDAbulletpoints"/>
      </w:pPr>
      <w:r w:rsidRPr="001C3654">
        <w:t xml:space="preserve">Cardno Emerging Markets, as the managing contractor. </w:t>
      </w:r>
    </w:p>
    <w:p w14:paraId="2C0A57C4" w14:textId="77777777" w:rsidR="00124239" w:rsidRPr="001C3654" w:rsidRDefault="00124239" w:rsidP="00124239">
      <w:pPr>
        <w:pStyle w:val="SDAbodytext"/>
      </w:pPr>
      <w:r w:rsidRPr="001C3654">
        <w:t xml:space="preserve">A summary of the </w:t>
      </w:r>
      <w:r w:rsidRPr="001C3654">
        <w:rPr>
          <w:b/>
        </w:rPr>
        <w:t>terms of reference for the evaluation</w:t>
      </w:r>
      <w:r w:rsidRPr="001C3654">
        <w:t xml:space="preserve"> of PLP3 is set out in </w:t>
      </w:r>
      <w:r w:rsidRPr="001C3654">
        <w:rPr>
          <w:u w:val="single"/>
        </w:rPr>
        <w:t>annex 1</w:t>
      </w:r>
      <w:r w:rsidRPr="001C3654">
        <w:t xml:space="preserve">.  Key points to note in relation to the </w:t>
      </w:r>
      <w:r w:rsidRPr="001C3654">
        <w:rPr>
          <w:b/>
        </w:rPr>
        <w:t>scope</w:t>
      </w:r>
      <w:r w:rsidRPr="001C3654">
        <w:t xml:space="preserve"> include:</w:t>
      </w:r>
    </w:p>
    <w:p w14:paraId="23D5C715" w14:textId="77777777" w:rsidR="00124239" w:rsidRPr="001C3654" w:rsidRDefault="00124239" w:rsidP="00124239">
      <w:pPr>
        <w:pStyle w:val="SDAbulletpoints"/>
      </w:pPr>
      <w:r w:rsidRPr="001C3654">
        <w:t>This evaluation covers the period under PLP Phase 3: from July 2014 to December 2017. However, the evaluation team recognises that PLP3 is part of a longer story.</w:t>
      </w:r>
    </w:p>
    <w:p w14:paraId="5B43320A" w14:textId="77777777" w:rsidR="00124239" w:rsidRPr="001C3654" w:rsidRDefault="00124239" w:rsidP="00124239">
      <w:pPr>
        <w:pStyle w:val="SDAbulletpoints"/>
      </w:pPr>
      <w:r w:rsidRPr="001C3654">
        <w:t>The evaluation focused primarily on questions around relevance and effectiveness, with a secondary focus on sustainability and efficiency.</w:t>
      </w:r>
    </w:p>
    <w:p w14:paraId="3BE3996D" w14:textId="77777777" w:rsidR="00124239" w:rsidRDefault="00124239" w:rsidP="00124239">
      <w:pPr>
        <w:pStyle w:val="SDANumberedheading2"/>
        <w:ind w:left="709" w:hanging="709"/>
      </w:pPr>
      <w:bookmarkStart w:id="9" w:name="_Toc486247198"/>
      <w:bookmarkEnd w:id="5"/>
      <w:bookmarkEnd w:id="6"/>
      <w:bookmarkEnd w:id="7"/>
      <w:r>
        <w:t>Pacific Leadership Program Phase 3</w:t>
      </w:r>
      <w:bookmarkEnd w:id="9"/>
    </w:p>
    <w:p w14:paraId="2581C4BD" w14:textId="77777777" w:rsidR="001F4152" w:rsidRPr="001C3654" w:rsidRDefault="00124239" w:rsidP="001F4152">
      <w:pPr>
        <w:pStyle w:val="SDANumberedheading2"/>
        <w:numPr>
          <w:ilvl w:val="0"/>
          <w:numId w:val="0"/>
        </w:numPr>
        <w:rPr>
          <w:rFonts w:eastAsiaTheme="minorHAnsi" w:cstheme="minorBidi"/>
          <w:b w:val="0"/>
          <w:noProof w:val="0"/>
          <w:color w:val="auto"/>
          <w:sz w:val="22"/>
          <w:szCs w:val="22"/>
          <w:lang w:eastAsia="en-US"/>
        </w:rPr>
      </w:pPr>
      <w:bookmarkStart w:id="10" w:name="_Toc484721007"/>
      <w:bookmarkStart w:id="11" w:name="_Toc484724753"/>
      <w:bookmarkStart w:id="12" w:name="_Toc484805557"/>
      <w:bookmarkStart w:id="13" w:name="_Toc484805814"/>
      <w:bookmarkStart w:id="14" w:name="_Toc484806805"/>
      <w:bookmarkStart w:id="15" w:name="_Toc484971552"/>
      <w:bookmarkStart w:id="16" w:name="_Toc485126941"/>
      <w:bookmarkStart w:id="17" w:name="_Toc485159265"/>
      <w:bookmarkStart w:id="18" w:name="_Toc486247199"/>
      <w:r w:rsidRPr="001C3654">
        <w:rPr>
          <w:rFonts w:eastAsiaTheme="minorHAnsi" w:cstheme="minorBidi"/>
          <w:b w:val="0"/>
          <w:noProof w:val="0"/>
          <w:color w:val="auto"/>
          <w:sz w:val="22"/>
          <w:szCs w:val="22"/>
          <w:lang w:eastAsia="en-US"/>
        </w:rPr>
        <w:t xml:space="preserve">The </w:t>
      </w:r>
      <w:r w:rsidRPr="001C3654">
        <w:rPr>
          <w:rFonts w:eastAsiaTheme="minorHAnsi" w:cstheme="minorBidi"/>
          <w:noProof w:val="0"/>
          <w:color w:val="auto"/>
          <w:sz w:val="22"/>
          <w:szCs w:val="22"/>
          <w:lang w:eastAsia="en-US"/>
        </w:rPr>
        <w:t>Pacific Leadership Program</w:t>
      </w:r>
      <w:r w:rsidRPr="001C3654">
        <w:rPr>
          <w:rFonts w:eastAsiaTheme="minorHAnsi" w:cstheme="minorBidi"/>
          <w:b w:val="0"/>
          <w:noProof w:val="0"/>
          <w:color w:val="auto"/>
          <w:sz w:val="22"/>
          <w:szCs w:val="22"/>
          <w:lang w:eastAsia="en-US"/>
        </w:rPr>
        <w:t xml:space="preserve"> is a regional governance initiative that recognises the pivotal role of leadership in development.</w:t>
      </w:r>
      <w:r w:rsidRPr="009D179F">
        <w:rPr>
          <w:rStyle w:val="FootnoteReference"/>
          <w:sz w:val="22"/>
          <w:szCs w:val="22"/>
          <w:lang w:eastAsia="en-US"/>
        </w:rPr>
        <w:footnoteReference w:id="24"/>
      </w:r>
      <w:r w:rsidRPr="009D179F">
        <w:rPr>
          <w:rStyle w:val="FootnoteReference"/>
          <w:sz w:val="22"/>
          <w:szCs w:val="22"/>
          <w:lang w:eastAsia="en-US"/>
        </w:rPr>
        <w:t xml:space="preserve"> </w:t>
      </w:r>
      <w:r w:rsidRPr="001C3654">
        <w:rPr>
          <w:rFonts w:eastAsiaTheme="minorHAnsi" w:cstheme="minorBidi"/>
          <w:b w:val="0"/>
          <w:noProof w:val="0"/>
          <w:color w:val="auto"/>
          <w:sz w:val="22"/>
          <w:szCs w:val="22"/>
          <w:lang w:eastAsia="en-US"/>
        </w:rPr>
        <w:t xml:space="preserve">  The Program began in 2008. Phase 3 began in July 2014 and is scheduled to conclude in December 2017.</w:t>
      </w:r>
      <w:bookmarkStart w:id="19" w:name="_Toc484406183"/>
      <w:bookmarkStart w:id="20" w:name="_Toc484406240"/>
      <w:bookmarkStart w:id="21" w:name="_Toc484609495"/>
      <w:bookmarkStart w:id="22" w:name="_Toc484703513"/>
      <w:r w:rsidR="001F4152" w:rsidRPr="001C3654">
        <w:rPr>
          <w:rFonts w:eastAsiaTheme="minorHAnsi" w:cstheme="minorBidi"/>
          <w:b w:val="0"/>
          <w:noProof w:val="0"/>
          <w:color w:val="auto"/>
          <w:sz w:val="22"/>
          <w:szCs w:val="22"/>
          <w:lang w:eastAsia="en-US"/>
        </w:rPr>
        <w:t xml:space="preserve"> The </w:t>
      </w:r>
      <w:r w:rsidR="001F4152" w:rsidRPr="001C3654">
        <w:rPr>
          <w:rFonts w:eastAsiaTheme="minorHAnsi" w:cstheme="minorBidi"/>
          <w:noProof w:val="0"/>
          <w:color w:val="auto"/>
          <w:sz w:val="22"/>
          <w:szCs w:val="22"/>
          <w:lang w:eastAsia="en-US"/>
        </w:rPr>
        <w:t>budget for PLP3</w:t>
      </w:r>
      <w:r w:rsidR="001F4152" w:rsidRPr="001C3654">
        <w:rPr>
          <w:rFonts w:eastAsiaTheme="minorHAnsi" w:cstheme="minorBidi"/>
          <w:b w:val="0"/>
          <w:noProof w:val="0"/>
          <w:color w:val="auto"/>
          <w:sz w:val="22"/>
          <w:szCs w:val="22"/>
          <w:lang w:eastAsia="en-US"/>
        </w:rPr>
        <w:t xml:space="preserve"> is </w:t>
      </w:r>
      <w:bookmarkEnd w:id="19"/>
      <w:bookmarkEnd w:id="20"/>
      <w:r w:rsidR="001F4152" w:rsidRPr="001C3654">
        <w:rPr>
          <w:rFonts w:eastAsiaTheme="minorHAnsi" w:cstheme="minorBidi"/>
          <w:b w:val="0"/>
          <w:noProof w:val="0"/>
          <w:color w:val="auto"/>
          <w:sz w:val="22"/>
          <w:szCs w:val="22"/>
          <w:lang w:eastAsia="en-US"/>
        </w:rPr>
        <w:t>approximately AUD15 million (2014 – 2017).</w:t>
      </w:r>
      <w:bookmarkEnd w:id="10"/>
      <w:bookmarkEnd w:id="11"/>
      <w:bookmarkEnd w:id="12"/>
      <w:bookmarkEnd w:id="13"/>
      <w:bookmarkEnd w:id="14"/>
      <w:bookmarkEnd w:id="15"/>
      <w:bookmarkEnd w:id="16"/>
      <w:bookmarkEnd w:id="17"/>
      <w:bookmarkEnd w:id="18"/>
      <w:bookmarkEnd w:id="21"/>
      <w:bookmarkEnd w:id="22"/>
    </w:p>
    <w:p w14:paraId="7E654DD7" w14:textId="77777777" w:rsidR="00124239" w:rsidRPr="001C3654" w:rsidRDefault="001F4152" w:rsidP="00124239">
      <w:pPr>
        <w:pStyle w:val="SDAbulletpoints"/>
        <w:numPr>
          <w:ilvl w:val="0"/>
          <w:numId w:val="0"/>
        </w:numPr>
      </w:pPr>
      <w:r w:rsidRPr="001C3654">
        <w:t>PLP3</w:t>
      </w:r>
      <w:r w:rsidR="00124239" w:rsidRPr="001C3654">
        <w:t xml:space="preserve"> is based on an </w:t>
      </w:r>
      <w:r w:rsidR="00124239" w:rsidRPr="001C3654">
        <w:rPr>
          <w:b/>
        </w:rPr>
        <w:t>understanding of change which involves a donor</w:t>
      </w:r>
      <w:r w:rsidR="00124239" w:rsidRPr="001C3654">
        <w:t xml:space="preserve"> (i.e. Australia) </w:t>
      </w:r>
      <w:r w:rsidR="00124239" w:rsidRPr="001C3654">
        <w:rPr>
          <w:b/>
        </w:rPr>
        <w:t>bringing resources of various types</w:t>
      </w:r>
      <w:r w:rsidR="00124239" w:rsidRPr="001C3654">
        <w:t xml:space="preserve"> (knowledge and research, </w:t>
      </w:r>
      <w:r w:rsidR="0012173D" w:rsidRPr="001C3654">
        <w:t>funding</w:t>
      </w:r>
      <w:r w:rsidR="00124239" w:rsidRPr="001C3654">
        <w:t xml:space="preserve">, communication, tools, mentoring, coaching, etc.) </w:t>
      </w:r>
      <w:r w:rsidR="00124239" w:rsidRPr="001C3654">
        <w:rPr>
          <w:b/>
        </w:rPr>
        <w:t>to partners</w:t>
      </w:r>
      <w:r w:rsidR="00124239" w:rsidRPr="001C3654">
        <w:t xml:space="preserve"> (organisations, leaders, change agents, coalitions) </w:t>
      </w:r>
      <w:r w:rsidR="00124239" w:rsidRPr="001C3654">
        <w:rPr>
          <w:b/>
        </w:rPr>
        <w:t>to support them to achieve positive social change</w:t>
      </w:r>
      <w:r w:rsidR="00124239" w:rsidRPr="001C3654">
        <w:t xml:space="preserve">. </w:t>
      </w:r>
    </w:p>
    <w:p w14:paraId="0F682061" w14:textId="77777777" w:rsidR="00124239" w:rsidRPr="001C3654" w:rsidRDefault="00124239" w:rsidP="00124239">
      <w:pPr>
        <w:pStyle w:val="SDAbulletpoints"/>
        <w:numPr>
          <w:ilvl w:val="0"/>
          <w:numId w:val="0"/>
        </w:numPr>
      </w:pPr>
      <w:r w:rsidRPr="001C3654">
        <w:t xml:space="preserve">The </w:t>
      </w:r>
      <w:r w:rsidRPr="001C3654">
        <w:rPr>
          <w:b/>
        </w:rPr>
        <w:t>high-level objective of PLP3 is to contribute to developmental leadership</w:t>
      </w:r>
      <w:r w:rsidRPr="001C3654">
        <w:t xml:space="preserve"> that achieves transformational change to promote stability, effective governance and economic growth.</w:t>
      </w:r>
      <w:r w:rsidRPr="009D179F">
        <w:rPr>
          <w:rStyle w:val="FootnoteReference"/>
        </w:rPr>
        <w:footnoteReference w:id="25"/>
      </w:r>
      <w:r w:rsidRPr="001C3654">
        <w:t xml:space="preserve"> </w:t>
      </w:r>
      <w:r w:rsidRPr="009D179F">
        <w:rPr>
          <w:rStyle w:val="FootnoteReference"/>
        </w:rPr>
        <w:t xml:space="preserve"> </w:t>
      </w:r>
      <w:r w:rsidRPr="001C3654">
        <w:t>Developmental leadership is understood as a political process, ‘involving the legitimacy, authority and capacity to mobilise people and resources, and to forge coalitions, in pursuit of developmental goals’.</w:t>
      </w:r>
      <w:r w:rsidRPr="001C3654">
        <w:rPr>
          <w:rStyle w:val="FootnoteReference"/>
        </w:rPr>
        <w:footnoteReference w:id="26"/>
      </w:r>
      <w:r w:rsidRPr="001C3654">
        <w:t xml:space="preserve">  </w:t>
      </w:r>
    </w:p>
    <w:p w14:paraId="28AED2AD" w14:textId="77777777" w:rsidR="00124239" w:rsidRPr="001C3654" w:rsidRDefault="00124239" w:rsidP="00124239">
      <w:pPr>
        <w:pStyle w:val="SDAbulletpoints"/>
        <w:numPr>
          <w:ilvl w:val="0"/>
          <w:numId w:val="0"/>
        </w:numPr>
      </w:pPr>
      <w:r w:rsidRPr="001C3654">
        <w:t xml:space="preserve">The </w:t>
      </w:r>
      <w:r w:rsidRPr="001C3654">
        <w:rPr>
          <w:b/>
        </w:rPr>
        <w:t>Theory of Change for PLP3</w:t>
      </w:r>
      <w:r w:rsidRPr="001C3654">
        <w:t xml:space="preserve"> can be found at </w:t>
      </w:r>
      <w:r w:rsidRPr="001C3654">
        <w:rPr>
          <w:u w:val="single"/>
        </w:rPr>
        <w:t>annex 2</w:t>
      </w:r>
      <w:r w:rsidRPr="001C3654">
        <w:t>.</w:t>
      </w:r>
    </w:p>
    <w:p w14:paraId="55D4FB7B" w14:textId="77777777" w:rsidR="00124239" w:rsidRPr="001C3654" w:rsidRDefault="00124239" w:rsidP="00124239">
      <w:pPr>
        <w:pStyle w:val="SDANumberedheading2"/>
        <w:numPr>
          <w:ilvl w:val="0"/>
          <w:numId w:val="0"/>
        </w:numPr>
        <w:rPr>
          <w:sz w:val="22"/>
          <w:szCs w:val="22"/>
        </w:rPr>
      </w:pPr>
      <w:bookmarkStart w:id="23" w:name="_Toc484406184"/>
      <w:bookmarkStart w:id="24" w:name="_Toc484406241"/>
      <w:bookmarkStart w:id="25" w:name="_Toc484609496"/>
      <w:bookmarkStart w:id="26" w:name="_Toc484703514"/>
      <w:bookmarkStart w:id="27" w:name="_Toc484721008"/>
      <w:bookmarkStart w:id="28" w:name="_Toc484724754"/>
      <w:bookmarkStart w:id="29" w:name="_Toc484805558"/>
      <w:bookmarkStart w:id="30" w:name="_Toc484805815"/>
      <w:bookmarkStart w:id="31" w:name="_Toc484806806"/>
      <w:bookmarkStart w:id="32" w:name="_Toc484971553"/>
      <w:bookmarkStart w:id="33" w:name="_Toc485126942"/>
      <w:bookmarkStart w:id="34" w:name="_Toc485159266"/>
      <w:bookmarkStart w:id="35" w:name="_Toc486247200"/>
      <w:r w:rsidRPr="001C3654">
        <w:rPr>
          <w:rFonts w:eastAsiaTheme="minorHAnsi" w:cstheme="minorBidi"/>
          <w:noProof w:val="0"/>
          <w:color w:val="auto"/>
          <w:sz w:val="22"/>
          <w:szCs w:val="22"/>
          <w:lang w:eastAsia="en-US"/>
        </w:rPr>
        <w:t>PLP3 works with multiple Pacific partners, and operates in four countries</w:t>
      </w:r>
      <w:r w:rsidRPr="001C3654">
        <w:rPr>
          <w:rFonts w:eastAsiaTheme="minorHAnsi" w:cstheme="minorBidi"/>
          <w:b w:val="0"/>
          <w:noProof w:val="0"/>
          <w:color w:val="auto"/>
          <w:sz w:val="22"/>
          <w:szCs w:val="22"/>
          <w:lang w:eastAsia="en-US"/>
        </w:rPr>
        <w:t xml:space="preserve"> </w:t>
      </w:r>
      <w:r w:rsidR="006B20D0">
        <w:rPr>
          <w:rFonts w:eastAsiaTheme="minorHAnsi" w:cstheme="minorBidi"/>
          <w:b w:val="0"/>
          <w:noProof w:val="0"/>
          <w:color w:val="auto"/>
          <w:sz w:val="22"/>
          <w:szCs w:val="22"/>
          <w:lang w:eastAsia="en-US"/>
        </w:rPr>
        <w:t xml:space="preserve">– </w:t>
      </w:r>
      <w:r w:rsidRPr="001C3654">
        <w:rPr>
          <w:rFonts w:eastAsiaTheme="minorHAnsi" w:cstheme="minorBidi"/>
          <w:b w:val="0"/>
          <w:noProof w:val="0"/>
          <w:color w:val="auto"/>
          <w:sz w:val="22"/>
          <w:szCs w:val="22"/>
          <w:lang w:eastAsia="en-US"/>
        </w:rPr>
        <w:t>Samoa, Solomon Islands, Tonga and Vanuatu</w:t>
      </w:r>
      <w:r w:rsidR="006B20D0">
        <w:rPr>
          <w:rFonts w:eastAsiaTheme="minorHAnsi" w:cstheme="minorBidi"/>
          <w:b w:val="0"/>
          <w:noProof w:val="0"/>
          <w:color w:val="auto"/>
          <w:sz w:val="22"/>
          <w:szCs w:val="22"/>
          <w:lang w:eastAsia="en-US"/>
        </w:rPr>
        <w:t xml:space="preserve"> – and at the regional level</w:t>
      </w:r>
      <w:r w:rsidRPr="001C3654">
        <w:rPr>
          <w:rFonts w:eastAsiaTheme="minorHAnsi" w:cstheme="minorBidi"/>
          <w:b w:val="0"/>
          <w:noProof w:val="0"/>
          <w:color w:val="auto"/>
          <w:sz w:val="22"/>
          <w:szCs w:val="22"/>
          <w:lang w:eastAsia="en-US"/>
        </w:rPr>
        <w:t xml:space="preserve">. The Program has a regional office in Suva (Fiji) and four country representatives in Port Vila, Nuku’alofa, Apia and Honiara. PLP3 is delivered </w:t>
      </w:r>
      <w:r w:rsidR="00253910" w:rsidRPr="001C3654">
        <w:rPr>
          <w:rFonts w:eastAsiaTheme="minorHAnsi" w:cstheme="minorBidi"/>
          <w:b w:val="0"/>
          <w:noProof w:val="0"/>
          <w:color w:val="auto"/>
          <w:sz w:val="22"/>
          <w:szCs w:val="22"/>
          <w:lang w:eastAsia="en-US"/>
        </w:rPr>
        <w:t>through</w:t>
      </w:r>
      <w:r w:rsidRPr="001C3654">
        <w:rPr>
          <w:rFonts w:eastAsiaTheme="minorHAnsi" w:cstheme="minorBidi"/>
          <w:b w:val="0"/>
          <w:noProof w:val="0"/>
          <w:color w:val="auto"/>
          <w:sz w:val="22"/>
          <w:szCs w:val="22"/>
          <w:lang w:eastAsia="en-US"/>
        </w:rPr>
        <w:t xml:space="preserve"> a managing contractor (Cardno Emerging Markets (Australia)). PLP’s theory of change manifests itself differe</w:t>
      </w:r>
      <w:r w:rsidR="004E2BBB" w:rsidRPr="001C3654">
        <w:rPr>
          <w:rFonts w:eastAsiaTheme="minorHAnsi" w:cstheme="minorBidi"/>
          <w:b w:val="0"/>
          <w:noProof w:val="0"/>
          <w:color w:val="auto"/>
          <w:sz w:val="22"/>
          <w:szCs w:val="22"/>
          <w:lang w:eastAsia="en-US"/>
        </w:rPr>
        <w:t>ntly in each country where the p</w:t>
      </w:r>
      <w:r w:rsidRPr="001C3654">
        <w:rPr>
          <w:rFonts w:eastAsiaTheme="minorHAnsi" w:cstheme="minorBidi"/>
          <w:b w:val="0"/>
          <w:noProof w:val="0"/>
          <w:color w:val="auto"/>
          <w:sz w:val="22"/>
          <w:szCs w:val="22"/>
          <w:lang w:eastAsia="en-US"/>
        </w:rPr>
        <w:t>rogram operates, as each country context is different.</w:t>
      </w:r>
      <w:bookmarkEnd w:id="23"/>
      <w:bookmarkEnd w:id="24"/>
      <w:bookmarkEnd w:id="25"/>
      <w:bookmarkEnd w:id="26"/>
      <w:bookmarkEnd w:id="27"/>
      <w:bookmarkEnd w:id="28"/>
      <w:bookmarkEnd w:id="29"/>
      <w:bookmarkEnd w:id="30"/>
      <w:bookmarkEnd w:id="31"/>
      <w:bookmarkEnd w:id="32"/>
      <w:bookmarkEnd w:id="33"/>
      <w:bookmarkEnd w:id="34"/>
      <w:bookmarkEnd w:id="35"/>
    </w:p>
    <w:p w14:paraId="66C08635" w14:textId="77777777" w:rsidR="00124239" w:rsidRPr="001C3654" w:rsidRDefault="00124239" w:rsidP="00124239">
      <w:pPr>
        <w:pStyle w:val="SDAbodytext"/>
      </w:pPr>
      <w:r w:rsidRPr="001C3654">
        <w:t xml:space="preserve">The </w:t>
      </w:r>
      <w:r w:rsidRPr="001C3654">
        <w:rPr>
          <w:b/>
        </w:rPr>
        <w:t>program design</w:t>
      </w:r>
      <w:r w:rsidRPr="001C3654">
        <w:t xml:space="preserve"> for PLP3 is structured around </w:t>
      </w:r>
      <w:r w:rsidRPr="001C3654">
        <w:rPr>
          <w:b/>
        </w:rPr>
        <w:t>four interrelated objectives or result streams</w:t>
      </w:r>
      <w:r w:rsidRPr="001C3654">
        <w:t xml:space="preserve"> as follows: </w:t>
      </w:r>
    </w:p>
    <w:p w14:paraId="02E98802" w14:textId="77777777" w:rsidR="00124239" w:rsidRPr="001C3654" w:rsidRDefault="00124239" w:rsidP="003703DB">
      <w:pPr>
        <w:pStyle w:val="SDAbodytext"/>
        <w:numPr>
          <w:ilvl w:val="0"/>
          <w:numId w:val="14"/>
        </w:numPr>
      </w:pPr>
      <w:r w:rsidRPr="001C3654">
        <w:t xml:space="preserve">High quality and ongoing </w:t>
      </w:r>
      <w:r w:rsidRPr="001C3654">
        <w:rPr>
          <w:b/>
        </w:rPr>
        <w:t>knowledge</w:t>
      </w:r>
      <w:r w:rsidRPr="001C3654">
        <w:t xml:space="preserve"> of developmental leadership across the Pacific. </w:t>
      </w:r>
    </w:p>
    <w:p w14:paraId="541365A7" w14:textId="77777777" w:rsidR="00124239" w:rsidRPr="001C3654" w:rsidRDefault="00124239" w:rsidP="003703DB">
      <w:pPr>
        <w:pStyle w:val="SDAbodytext"/>
        <w:numPr>
          <w:ilvl w:val="0"/>
          <w:numId w:val="14"/>
        </w:numPr>
      </w:pPr>
      <w:r w:rsidRPr="001C3654">
        <w:rPr>
          <w:b/>
        </w:rPr>
        <w:t>Collective action</w:t>
      </w:r>
      <w:r w:rsidRPr="001C3654">
        <w:t xml:space="preserve"> by Pacific Island leaders in pursuit of policy and institutional changes and reforms to promote stability, effective governance and economic growth at the regional, national and sub-national level. </w:t>
      </w:r>
    </w:p>
    <w:p w14:paraId="072FA8F7" w14:textId="77777777" w:rsidR="00124239" w:rsidRPr="001C3654" w:rsidRDefault="00124239" w:rsidP="003703DB">
      <w:pPr>
        <w:pStyle w:val="SDAbodytext"/>
        <w:numPr>
          <w:ilvl w:val="0"/>
          <w:numId w:val="14"/>
        </w:numPr>
      </w:pPr>
      <w:r w:rsidRPr="001C3654">
        <w:t xml:space="preserve">Identifiable </w:t>
      </w:r>
      <w:r w:rsidRPr="001C3654">
        <w:rPr>
          <w:b/>
        </w:rPr>
        <w:t>policy and institutional changes</w:t>
      </w:r>
      <w:r w:rsidRPr="001C3654">
        <w:t xml:space="preserve"> across the Pacific for the public good. </w:t>
      </w:r>
    </w:p>
    <w:p w14:paraId="4A71C86C" w14:textId="77777777" w:rsidR="00124239" w:rsidRPr="001C3654" w:rsidRDefault="00124239" w:rsidP="003703DB">
      <w:pPr>
        <w:pStyle w:val="SDAbodytext"/>
        <w:numPr>
          <w:ilvl w:val="0"/>
          <w:numId w:val="14"/>
        </w:numPr>
      </w:pPr>
      <w:r w:rsidRPr="001C3654">
        <w:t xml:space="preserve">High quality and </w:t>
      </w:r>
      <w:r w:rsidRPr="001C3654">
        <w:rPr>
          <w:b/>
        </w:rPr>
        <w:t>influential communication</w:t>
      </w:r>
      <w:r w:rsidRPr="001C3654">
        <w:t xml:space="preserve"> within DFAT, across the Pacific and internationally on the nature of developmental leadership in addressing development issues and challenges in the Pacific. </w:t>
      </w:r>
    </w:p>
    <w:p w14:paraId="0A22B606" w14:textId="77777777" w:rsidR="00124239" w:rsidRPr="001C3654" w:rsidRDefault="00124239" w:rsidP="00124239">
      <w:pPr>
        <w:pStyle w:val="SDAbodytext"/>
      </w:pPr>
      <w:r w:rsidRPr="001C3654">
        <w:t>The program design also structures PLP</w:t>
      </w:r>
      <w:r w:rsidR="004E2BBB" w:rsidRPr="001C3654">
        <w:t>3</w:t>
      </w:r>
      <w:r w:rsidRPr="001C3654">
        <w:t xml:space="preserve">’s work </w:t>
      </w:r>
      <w:r w:rsidR="009D179F">
        <w:t xml:space="preserve">across three governance levels (regionally, nationally and sub-nationally) and </w:t>
      </w:r>
      <w:r w:rsidRPr="001C3654">
        <w:rPr>
          <w:b/>
        </w:rPr>
        <w:t>six priority areas</w:t>
      </w:r>
      <w:r w:rsidRPr="001C3654">
        <w:t xml:space="preserve"> which align with the </w:t>
      </w:r>
      <w:r w:rsidR="00845CA7" w:rsidRPr="001C3654">
        <w:t xml:space="preserve">Australian </w:t>
      </w:r>
      <w:r w:rsidRPr="001C3654">
        <w:t>Government</w:t>
      </w:r>
      <w:r w:rsidR="00845CA7" w:rsidRPr="001C3654">
        <w:t>’s</w:t>
      </w:r>
      <w:r w:rsidRPr="001C3654">
        <w:t xml:space="preserve"> development priorities in the Pacific. These are:</w:t>
      </w:r>
    </w:p>
    <w:p w14:paraId="70ADAF09" w14:textId="77777777" w:rsidR="00124239" w:rsidRPr="001C3654" w:rsidRDefault="00124239" w:rsidP="003703DB">
      <w:pPr>
        <w:pStyle w:val="SDAbodytext"/>
        <w:numPr>
          <w:ilvl w:val="0"/>
          <w:numId w:val="9"/>
        </w:numPr>
      </w:pPr>
      <w:r w:rsidRPr="001C3654">
        <w:t>Women’s leadership</w:t>
      </w:r>
    </w:p>
    <w:p w14:paraId="5220E893" w14:textId="77777777" w:rsidR="00124239" w:rsidRPr="001C3654" w:rsidRDefault="00124239" w:rsidP="003703DB">
      <w:pPr>
        <w:pStyle w:val="SDAbodytext"/>
        <w:numPr>
          <w:ilvl w:val="0"/>
          <w:numId w:val="9"/>
        </w:numPr>
      </w:pPr>
      <w:r w:rsidRPr="001C3654">
        <w:t>Private sector leadership</w:t>
      </w:r>
    </w:p>
    <w:p w14:paraId="5387366E" w14:textId="77777777" w:rsidR="00124239" w:rsidRPr="001C3654" w:rsidRDefault="00124239" w:rsidP="003703DB">
      <w:pPr>
        <w:pStyle w:val="SDAbodytext"/>
        <w:numPr>
          <w:ilvl w:val="0"/>
          <w:numId w:val="9"/>
        </w:numPr>
      </w:pPr>
      <w:r w:rsidRPr="001C3654">
        <w:t>Future developmental leadership</w:t>
      </w:r>
    </w:p>
    <w:p w14:paraId="053FEA70" w14:textId="77777777" w:rsidR="00124239" w:rsidRPr="001C3654" w:rsidRDefault="00124239" w:rsidP="003703DB">
      <w:pPr>
        <w:pStyle w:val="SDAbodytext"/>
        <w:numPr>
          <w:ilvl w:val="0"/>
          <w:numId w:val="9"/>
        </w:numPr>
      </w:pPr>
      <w:r w:rsidRPr="001C3654">
        <w:t>Political-bureaucratic leadership interface</w:t>
      </w:r>
    </w:p>
    <w:p w14:paraId="00118151" w14:textId="77777777" w:rsidR="00124239" w:rsidRPr="001C3654" w:rsidRDefault="00124239" w:rsidP="003703DB">
      <w:pPr>
        <w:pStyle w:val="SDAbodytext"/>
        <w:numPr>
          <w:ilvl w:val="0"/>
          <w:numId w:val="9"/>
        </w:numPr>
      </w:pPr>
      <w:r w:rsidRPr="001C3654">
        <w:t xml:space="preserve">Community leadership; and </w:t>
      </w:r>
    </w:p>
    <w:p w14:paraId="3A9A9D80" w14:textId="77777777" w:rsidR="009D179F" w:rsidRDefault="00124239" w:rsidP="001C3654">
      <w:pPr>
        <w:pStyle w:val="SDAbodytext"/>
        <w:numPr>
          <w:ilvl w:val="0"/>
          <w:numId w:val="9"/>
        </w:numPr>
      </w:pPr>
      <w:r w:rsidRPr="001C3654">
        <w:t xml:space="preserve">Melanesian leadership. </w:t>
      </w:r>
    </w:p>
    <w:p w14:paraId="5898FD42" w14:textId="33105D4F" w:rsidR="009D179F" w:rsidRPr="009D179F" w:rsidRDefault="009D179F" w:rsidP="001C3654">
      <w:pPr>
        <w:pStyle w:val="SDAbodytext"/>
      </w:pPr>
      <w:r w:rsidRPr="009D179F">
        <w:t>T</w:t>
      </w:r>
      <w:r w:rsidRPr="002D545D">
        <w:t>he PLP3 design furt</w:t>
      </w:r>
      <w:r w:rsidR="003B1998">
        <w:t>her instructs that across all of</w:t>
      </w:r>
      <w:r w:rsidRPr="002D545D">
        <w:t xml:space="preserve"> its</w:t>
      </w:r>
      <w:r w:rsidRPr="001C3654">
        <w:rPr>
          <w:rFonts w:ascii="Calibri" w:eastAsia="Calibri" w:hAnsi="Calibri"/>
          <w:color w:val="000000"/>
        </w:rPr>
        <w:t xml:space="preserve"> programming, PLP3 should </w:t>
      </w:r>
      <w:r w:rsidR="007428EC">
        <w:rPr>
          <w:rFonts w:ascii="Calibri" w:eastAsia="Calibri" w:hAnsi="Calibri"/>
          <w:color w:val="000000"/>
        </w:rPr>
        <w:t>work with</w:t>
      </w:r>
      <w:r w:rsidRPr="001C3654">
        <w:rPr>
          <w:rFonts w:ascii="Calibri" w:eastAsia="Calibri" w:hAnsi="Calibri"/>
          <w:color w:val="000000"/>
        </w:rPr>
        <w:t xml:space="preserve"> developmental leadership coalitions.</w:t>
      </w:r>
      <w:r w:rsidR="002D545D">
        <w:rPr>
          <w:rStyle w:val="FootnoteReference"/>
          <w:rFonts w:ascii="Calibri" w:eastAsia="Calibri" w:hAnsi="Calibri"/>
          <w:color w:val="000000"/>
        </w:rPr>
        <w:footnoteReference w:id="27"/>
      </w:r>
    </w:p>
    <w:p w14:paraId="0038B894" w14:textId="77777777" w:rsidR="00233B5D" w:rsidRDefault="00B40DD8" w:rsidP="00233B5D">
      <w:pPr>
        <w:pStyle w:val="SDANumberedheading2"/>
        <w:ind w:left="709" w:hanging="709"/>
      </w:pPr>
      <w:bookmarkStart w:id="36" w:name="_Toc486247201"/>
      <w:r>
        <w:t>Evaluation Approach</w:t>
      </w:r>
      <w:bookmarkEnd w:id="36"/>
    </w:p>
    <w:p w14:paraId="1B0DB2F3" w14:textId="77777777" w:rsidR="00651292" w:rsidRPr="001C3654" w:rsidRDefault="00594706" w:rsidP="00F64989">
      <w:pPr>
        <w:pStyle w:val="SDAbodytext"/>
      </w:pPr>
      <w:r w:rsidRPr="001C3654">
        <w:t>The evaluation team developed a</w:t>
      </w:r>
      <w:r w:rsidR="00CA5C0E" w:rsidRPr="001C3654">
        <w:t xml:space="preserve">n </w:t>
      </w:r>
      <w:r w:rsidR="00CA5C0E" w:rsidRPr="001C3654">
        <w:rPr>
          <w:b/>
        </w:rPr>
        <w:t>evaluation plan</w:t>
      </w:r>
      <w:r w:rsidRPr="001C3654">
        <w:t xml:space="preserve"> which sets out the approach. This plan was ag</w:t>
      </w:r>
      <w:r w:rsidR="00CA5C0E" w:rsidRPr="001C3654">
        <w:t>reed to by DFAT</w:t>
      </w:r>
      <w:r w:rsidR="001B100D" w:rsidRPr="001C3654">
        <w:t>.</w:t>
      </w:r>
      <w:r w:rsidR="001B100D" w:rsidRPr="001C3654">
        <w:rPr>
          <w:rStyle w:val="FootnoteReference"/>
        </w:rPr>
        <w:footnoteReference w:id="28"/>
      </w:r>
    </w:p>
    <w:p w14:paraId="7796DC0F" w14:textId="77777777" w:rsidR="009C682F" w:rsidRPr="001C3654" w:rsidRDefault="009C682F" w:rsidP="009C682F">
      <w:pPr>
        <w:spacing w:before="120"/>
      </w:pPr>
      <w:r w:rsidRPr="001C3654">
        <w:rPr>
          <w:b/>
        </w:rPr>
        <w:t>The evaluation took place between April and June 2017</w:t>
      </w:r>
      <w:r w:rsidRPr="001C3654">
        <w:t xml:space="preserve">. The evaluation team’s work included a desk-based review of relevant documentation. The interrogation of existing program data was supplemented by new information collected through stakeholder interviews, a short online survey and in-country fieldwork. Fieldwork took place in Fiji, Tonga and the Solomon Islands. Face-to-face interviews with a selection of stakeholders also took place in Samoa. A limited range of teleconferences were undertaken with key stakeholders in Vanuatu. </w:t>
      </w:r>
    </w:p>
    <w:p w14:paraId="7185141F" w14:textId="77777777" w:rsidR="00594706" w:rsidRPr="001C3654" w:rsidRDefault="00594706" w:rsidP="00F64989">
      <w:pPr>
        <w:pStyle w:val="SDAbodytext"/>
      </w:pPr>
      <w:r w:rsidRPr="001C3654">
        <w:t xml:space="preserve">The </w:t>
      </w:r>
      <w:r w:rsidRPr="001C3654">
        <w:rPr>
          <w:b/>
        </w:rPr>
        <w:t xml:space="preserve">main </w:t>
      </w:r>
      <w:r w:rsidR="00F64989" w:rsidRPr="001C3654">
        <w:rPr>
          <w:b/>
        </w:rPr>
        <w:t>method of data collection</w:t>
      </w:r>
      <w:r w:rsidR="00F64989" w:rsidRPr="001C3654">
        <w:t xml:space="preserve"> during the evaluation was</w:t>
      </w:r>
      <w:r w:rsidRPr="001C3654">
        <w:t xml:space="preserve"> secondary documentation data review and interviews with key stakeholders. Data was collected from four main sources:</w:t>
      </w:r>
    </w:p>
    <w:p w14:paraId="1961E007" w14:textId="77777777" w:rsidR="00594706" w:rsidRPr="001C3654" w:rsidRDefault="00594706" w:rsidP="003703DB">
      <w:pPr>
        <w:pStyle w:val="SDAbodytext"/>
        <w:numPr>
          <w:ilvl w:val="0"/>
          <w:numId w:val="10"/>
        </w:numPr>
      </w:pPr>
      <w:r w:rsidRPr="001C3654">
        <w:t>Relevant existing program documentation</w:t>
      </w:r>
    </w:p>
    <w:p w14:paraId="5ADC1C45" w14:textId="6654DA5E" w:rsidR="00594706" w:rsidRPr="001C3654" w:rsidRDefault="00594706" w:rsidP="003703DB">
      <w:pPr>
        <w:pStyle w:val="SDAbodytext"/>
        <w:numPr>
          <w:ilvl w:val="0"/>
          <w:numId w:val="10"/>
        </w:numPr>
      </w:pPr>
      <w:r w:rsidRPr="001C3654">
        <w:t>Two short qualitative and quantitative reports prepared by the PLP</w:t>
      </w:r>
      <w:r w:rsidR="00AC77B7">
        <w:t>3</w:t>
      </w:r>
      <w:r w:rsidRPr="001C3654">
        <w:t xml:space="preserve"> team for this evaluation </w:t>
      </w:r>
    </w:p>
    <w:p w14:paraId="493577F4" w14:textId="77777777" w:rsidR="00594706" w:rsidRPr="001C3654" w:rsidRDefault="00594706" w:rsidP="003703DB">
      <w:pPr>
        <w:pStyle w:val="SDAbodytext"/>
        <w:numPr>
          <w:ilvl w:val="0"/>
          <w:numId w:val="10"/>
        </w:numPr>
      </w:pPr>
      <w:r w:rsidRPr="001C3654">
        <w:t>Semi-structured interviews with selected stakeholders</w:t>
      </w:r>
    </w:p>
    <w:p w14:paraId="2347B345" w14:textId="77777777" w:rsidR="00594706" w:rsidRPr="001C3654" w:rsidRDefault="00594706" w:rsidP="003703DB">
      <w:pPr>
        <w:pStyle w:val="SDAbodytext"/>
        <w:numPr>
          <w:ilvl w:val="0"/>
          <w:numId w:val="10"/>
        </w:numPr>
      </w:pPr>
      <w:r w:rsidRPr="001C3654">
        <w:t>Field visits for interviews with key stakeholders including country partners, individual leaders, government officials and DFAT Post staff.</w:t>
      </w:r>
    </w:p>
    <w:p w14:paraId="10B51990" w14:textId="77777777" w:rsidR="00594706" w:rsidRPr="001C3654" w:rsidRDefault="00594706" w:rsidP="00DC33BA">
      <w:pPr>
        <w:pStyle w:val="SDAbodytext"/>
      </w:pPr>
      <w:r w:rsidRPr="001C3654">
        <w:t>The full terms of reference for the evaluation provide a list of stakeholders. These stakeholders can be grouped under the following broad headings:</w:t>
      </w:r>
    </w:p>
    <w:p w14:paraId="0EA26555" w14:textId="77777777" w:rsidR="00594706" w:rsidRPr="001C3654" w:rsidRDefault="00594706" w:rsidP="00DC33BA">
      <w:pPr>
        <w:pStyle w:val="SDAbodytext"/>
        <w:numPr>
          <w:ilvl w:val="0"/>
          <w:numId w:val="10"/>
        </w:numPr>
      </w:pPr>
      <w:r w:rsidRPr="001C3654">
        <w:rPr>
          <w:b/>
        </w:rPr>
        <w:t>PLP3 team</w:t>
      </w:r>
      <w:r w:rsidRPr="001C3654">
        <w:t>: including members of the PLP Advisory Board; PLP3 team (in Suva and in the region); and Cardno as the managing contractor for PLP3</w:t>
      </w:r>
    </w:p>
    <w:p w14:paraId="07163451" w14:textId="77777777" w:rsidR="00594706" w:rsidRPr="001C3654" w:rsidRDefault="00594706" w:rsidP="00DC33BA">
      <w:pPr>
        <w:pStyle w:val="SDAbodytext"/>
        <w:numPr>
          <w:ilvl w:val="0"/>
          <w:numId w:val="10"/>
        </w:numPr>
      </w:pPr>
      <w:r w:rsidRPr="001C3654">
        <w:rPr>
          <w:b/>
        </w:rPr>
        <w:t>DFAT</w:t>
      </w:r>
      <w:r w:rsidRPr="001C3654">
        <w:t xml:space="preserve"> (Canberra, Suva, and </w:t>
      </w:r>
      <w:r w:rsidR="005F49BC" w:rsidRPr="001C3654">
        <w:t>the four bilateral</w:t>
      </w:r>
      <w:r w:rsidRPr="001C3654">
        <w:t xml:space="preserve"> Posts in the Pacific)</w:t>
      </w:r>
    </w:p>
    <w:p w14:paraId="79E1B102" w14:textId="77777777" w:rsidR="00594706" w:rsidRPr="001C3654" w:rsidRDefault="00594706" w:rsidP="00DC33BA">
      <w:pPr>
        <w:pStyle w:val="SDAbodytext"/>
        <w:numPr>
          <w:ilvl w:val="0"/>
          <w:numId w:val="10"/>
        </w:numPr>
      </w:pPr>
      <w:r w:rsidRPr="001C3654">
        <w:rPr>
          <w:b/>
        </w:rPr>
        <w:t>Pacific partner organisations</w:t>
      </w:r>
      <w:r w:rsidRPr="001C3654">
        <w:t>, including country partners</w:t>
      </w:r>
    </w:p>
    <w:p w14:paraId="625092A9" w14:textId="77777777" w:rsidR="00594706" w:rsidRPr="001C3654" w:rsidRDefault="00594706" w:rsidP="00DC33BA">
      <w:pPr>
        <w:pStyle w:val="SDAbodytext"/>
        <w:numPr>
          <w:ilvl w:val="0"/>
          <w:numId w:val="10"/>
        </w:numPr>
      </w:pPr>
      <w:r w:rsidRPr="001C3654">
        <w:rPr>
          <w:b/>
        </w:rPr>
        <w:t>Individual participants</w:t>
      </w:r>
      <w:r w:rsidRPr="001C3654">
        <w:t xml:space="preserve"> in PLP3 activities</w:t>
      </w:r>
    </w:p>
    <w:p w14:paraId="48173DD4" w14:textId="77777777" w:rsidR="00594706" w:rsidRPr="001C3654" w:rsidRDefault="00594706" w:rsidP="00DC33BA">
      <w:pPr>
        <w:pStyle w:val="SDAbodytext"/>
        <w:numPr>
          <w:ilvl w:val="0"/>
          <w:numId w:val="10"/>
        </w:numPr>
      </w:pPr>
      <w:r w:rsidRPr="001C3654">
        <w:rPr>
          <w:b/>
        </w:rPr>
        <w:t>External stakeholders</w:t>
      </w:r>
      <w:r w:rsidRPr="001C3654">
        <w:t xml:space="preserve"> (i.e. </w:t>
      </w:r>
      <w:r w:rsidR="005F49BC" w:rsidRPr="001C3654">
        <w:t>academic institutions</w:t>
      </w:r>
      <w:r w:rsidRPr="001C3654">
        <w:t>).</w:t>
      </w:r>
    </w:p>
    <w:p w14:paraId="3EABBF17" w14:textId="77777777" w:rsidR="00594706" w:rsidRPr="001C3654" w:rsidRDefault="00F64989" w:rsidP="00F64989">
      <w:pPr>
        <w:pStyle w:val="SDAbodytext"/>
      </w:pPr>
      <w:r w:rsidRPr="001C3654">
        <w:rPr>
          <w:b/>
        </w:rPr>
        <w:t xml:space="preserve">Stakeholder </w:t>
      </w:r>
      <w:r w:rsidR="00594706" w:rsidRPr="001C3654">
        <w:rPr>
          <w:b/>
        </w:rPr>
        <w:t>consultation</w:t>
      </w:r>
      <w:r w:rsidRPr="001C3654">
        <w:rPr>
          <w:b/>
        </w:rPr>
        <w:t>s</w:t>
      </w:r>
      <w:r w:rsidR="00594706" w:rsidRPr="001C3654">
        <w:t xml:space="preserve"> were guided by a set of critical focus questions developed by the evaluation team. The evaluation used a </w:t>
      </w:r>
      <w:r w:rsidR="00594706" w:rsidRPr="001C3654">
        <w:rPr>
          <w:b/>
        </w:rPr>
        <w:t>short online survey</w:t>
      </w:r>
      <w:r w:rsidR="00594706" w:rsidRPr="001C3654">
        <w:t xml:space="preserve"> to collect data from a sample of key stakeholders to supplement data gathered from other sources. </w:t>
      </w:r>
    </w:p>
    <w:p w14:paraId="5DCE9D5C" w14:textId="77777777" w:rsidR="00CC3A01" w:rsidRPr="001C3654" w:rsidRDefault="00CC3A01" w:rsidP="00F64989">
      <w:pPr>
        <w:pStyle w:val="SDAbodytext"/>
      </w:pPr>
      <w:r w:rsidRPr="001C3654">
        <w:t xml:space="preserve">The core evaluation questions can be found at </w:t>
      </w:r>
      <w:r w:rsidRPr="001C3654">
        <w:rPr>
          <w:u w:val="single"/>
        </w:rPr>
        <w:t>annex 3</w:t>
      </w:r>
      <w:r w:rsidRPr="001C3654">
        <w:t>.</w:t>
      </w:r>
      <w:r w:rsidR="00845CA7" w:rsidRPr="001C3654">
        <w:t xml:space="preserve"> A list of people consulted and documents review</w:t>
      </w:r>
      <w:r w:rsidR="007E5679">
        <w:t>ed</w:t>
      </w:r>
      <w:r w:rsidR="00845CA7" w:rsidRPr="001C3654">
        <w:t xml:space="preserve"> can be found at </w:t>
      </w:r>
      <w:r w:rsidR="00845CA7" w:rsidRPr="001C3654">
        <w:rPr>
          <w:u w:val="single"/>
        </w:rPr>
        <w:t>annex</w:t>
      </w:r>
      <w:r w:rsidR="007E5679">
        <w:rPr>
          <w:u w:val="single"/>
        </w:rPr>
        <w:t>es</w:t>
      </w:r>
      <w:r w:rsidR="00845CA7" w:rsidRPr="001C3654">
        <w:rPr>
          <w:u w:val="single"/>
        </w:rPr>
        <w:t xml:space="preserve"> 8 and 9</w:t>
      </w:r>
      <w:r w:rsidR="00845CA7" w:rsidRPr="001C3654">
        <w:t xml:space="preserve"> respectively. </w:t>
      </w:r>
    </w:p>
    <w:p w14:paraId="5A77C19D" w14:textId="77777777" w:rsidR="00F64989" w:rsidRPr="00F64989" w:rsidRDefault="00F64989" w:rsidP="00F64989">
      <w:pPr>
        <w:pStyle w:val="SDANumberedheading2"/>
        <w:ind w:left="709" w:hanging="709"/>
      </w:pPr>
      <w:bookmarkStart w:id="37" w:name="_Toc486247202"/>
      <w:r w:rsidRPr="00F64989">
        <w:t>Limitations</w:t>
      </w:r>
      <w:bookmarkEnd w:id="37"/>
    </w:p>
    <w:p w14:paraId="3F4B9327" w14:textId="77777777" w:rsidR="00F64989" w:rsidRPr="001C3654" w:rsidRDefault="00F64989" w:rsidP="00F64989">
      <w:r w:rsidRPr="001C3654">
        <w:rPr>
          <w:b/>
        </w:rPr>
        <w:t>Time was a limiting factor</w:t>
      </w:r>
      <w:r w:rsidRPr="001C3654">
        <w:t>. A relatively rapid evaluation of a program aimed at strengthening developmental leadership for transformational change is a challenging exercise.</w:t>
      </w:r>
      <w:r w:rsidRPr="001C3654">
        <w:rPr>
          <w:rStyle w:val="FootnoteReference"/>
        </w:rPr>
        <w:footnoteReference w:id="29"/>
      </w:r>
      <w:r w:rsidRPr="001C3654">
        <w:t xml:space="preserve"> </w:t>
      </w:r>
    </w:p>
    <w:p w14:paraId="51592751" w14:textId="77777777" w:rsidR="00F64989" w:rsidRPr="001C3654" w:rsidRDefault="007E5679" w:rsidP="00F64989">
      <w:r>
        <w:t>A</w:t>
      </w:r>
      <w:r w:rsidRPr="001C3654">
        <w:t xml:space="preserve"> </w:t>
      </w:r>
      <w:r w:rsidR="00F64989" w:rsidRPr="001C3654">
        <w:t xml:space="preserve">potential </w:t>
      </w:r>
      <w:r w:rsidR="00D54D71" w:rsidRPr="001C3654">
        <w:t>risk</w:t>
      </w:r>
      <w:r w:rsidR="00F64989" w:rsidRPr="001C3654">
        <w:t xml:space="preserve"> was the availability of relevant stakeholders to participate in the process within the short timeframe in which the evaluation </w:t>
      </w:r>
      <w:r w:rsidR="009207CB" w:rsidRPr="001C3654">
        <w:t>was</w:t>
      </w:r>
      <w:r w:rsidR="00F64989" w:rsidRPr="001C3654">
        <w:t xml:space="preserve"> conducted.  We address</w:t>
      </w:r>
      <w:r w:rsidR="009207CB" w:rsidRPr="001C3654">
        <w:t>ed</w:t>
      </w:r>
      <w:r w:rsidR="00F64989" w:rsidRPr="001C3654">
        <w:t xml:space="preserve"> </w:t>
      </w:r>
      <w:r w:rsidR="009207CB" w:rsidRPr="001C3654">
        <w:t>this</w:t>
      </w:r>
      <w:r w:rsidR="00F64989" w:rsidRPr="001C3654">
        <w:t xml:space="preserve"> constraint by giving stakeholders multiple opportunities to input into the process.  </w:t>
      </w:r>
    </w:p>
    <w:p w14:paraId="64463AB2" w14:textId="77777777" w:rsidR="00F64989" w:rsidRPr="001C3654" w:rsidRDefault="009207CB" w:rsidP="00F64989">
      <w:r w:rsidRPr="001C3654">
        <w:t xml:space="preserve">The </w:t>
      </w:r>
      <w:r w:rsidR="00F64989" w:rsidRPr="001C3654">
        <w:rPr>
          <w:b/>
        </w:rPr>
        <w:t>ability of the team to collect new data</w:t>
      </w:r>
      <w:r w:rsidRPr="001C3654">
        <w:rPr>
          <w:b/>
        </w:rPr>
        <w:t xml:space="preserve"> was </w:t>
      </w:r>
      <w:r w:rsidR="00CC3A01" w:rsidRPr="001C3654">
        <w:rPr>
          <w:b/>
        </w:rPr>
        <w:t xml:space="preserve">also </w:t>
      </w:r>
      <w:r w:rsidRPr="001C3654">
        <w:rPr>
          <w:b/>
        </w:rPr>
        <w:t>limited</w:t>
      </w:r>
      <w:r w:rsidR="00F64989" w:rsidRPr="001C3654">
        <w:t xml:space="preserve">. However, this </w:t>
      </w:r>
      <w:r w:rsidR="009E54C7" w:rsidRPr="001C3654">
        <w:t xml:space="preserve">limitation </w:t>
      </w:r>
      <w:r w:rsidRPr="001C3654">
        <w:t xml:space="preserve">was </w:t>
      </w:r>
      <w:r w:rsidR="00F64989" w:rsidRPr="001C3654">
        <w:t xml:space="preserve">mitigated by using existing data, recognising that a good quantity and quality of data </w:t>
      </w:r>
      <w:r w:rsidRPr="001C3654">
        <w:t>could</w:t>
      </w:r>
      <w:r w:rsidR="00F64989" w:rsidRPr="001C3654">
        <w:t xml:space="preserve"> be provided b</w:t>
      </w:r>
      <w:r w:rsidR="00CC3A01" w:rsidRPr="001C3654">
        <w:t>y the p</w:t>
      </w:r>
      <w:r w:rsidR="00F64989" w:rsidRPr="001C3654">
        <w:t xml:space="preserve">rogram, by DFAT and by informed external stakeholders including the Developmental Leadership Program. </w:t>
      </w:r>
      <w:r w:rsidR="002D545D">
        <w:t xml:space="preserve">The team was limited in its ability to assess the program’s value for money, in part due to not having access to financial and result data from comparable programs. </w:t>
      </w:r>
    </w:p>
    <w:p w14:paraId="7546AA8F" w14:textId="77777777" w:rsidR="00594706" w:rsidRPr="001C3654" w:rsidRDefault="00594706" w:rsidP="00F64989">
      <w:pPr>
        <w:pStyle w:val="SDAbodytext"/>
      </w:pPr>
      <w:r w:rsidRPr="001C3654">
        <w:t xml:space="preserve">The evaluation team developed core evaluation questions based on the terms of reference. </w:t>
      </w:r>
      <w:r w:rsidR="0098706D" w:rsidRPr="001C3654">
        <w:t xml:space="preserve">The evaluation team </w:t>
      </w:r>
      <w:r w:rsidR="0098706D" w:rsidRPr="001C3654">
        <w:rPr>
          <w:b/>
        </w:rPr>
        <w:t xml:space="preserve">examined </w:t>
      </w:r>
      <w:r w:rsidRPr="001C3654">
        <w:rPr>
          <w:b/>
        </w:rPr>
        <w:t xml:space="preserve">achievements and lessons under the six priority areas </w:t>
      </w:r>
      <w:r w:rsidR="0098706D" w:rsidRPr="001C3654">
        <w:rPr>
          <w:b/>
        </w:rPr>
        <w:t xml:space="preserve">only </w:t>
      </w:r>
      <w:r w:rsidRPr="001C3654">
        <w:rPr>
          <w:b/>
        </w:rPr>
        <w:t>in so far as they relate</w:t>
      </w:r>
      <w:r w:rsidR="0098706D" w:rsidRPr="001C3654">
        <w:rPr>
          <w:b/>
        </w:rPr>
        <w:t>d</w:t>
      </w:r>
      <w:r w:rsidRPr="001C3654">
        <w:rPr>
          <w:b/>
        </w:rPr>
        <w:t xml:space="preserve"> to answering the core evaluation questions.</w:t>
      </w:r>
      <w:r w:rsidRPr="001C3654">
        <w:t xml:space="preserve"> </w:t>
      </w:r>
    </w:p>
    <w:p w14:paraId="330A1F5E" w14:textId="77777777" w:rsidR="00AB0684" w:rsidRDefault="00AB0684">
      <w:pPr>
        <w:rPr>
          <w:rFonts w:ascii="Calibri" w:eastAsiaTheme="majorEastAsia" w:hAnsi="Calibri" w:cstheme="majorBidi"/>
          <w:b/>
          <w:bCs/>
          <w:color w:val="757575"/>
          <w:sz w:val="50"/>
          <w:szCs w:val="26"/>
        </w:rPr>
      </w:pPr>
      <w:bookmarkStart w:id="38" w:name="_Toc486247203"/>
      <w:r>
        <w:br w:type="page"/>
      </w:r>
    </w:p>
    <w:p w14:paraId="266236E3" w14:textId="77777777" w:rsidR="00B40DD8" w:rsidRDefault="0042547F" w:rsidP="00AB0684">
      <w:pPr>
        <w:pStyle w:val="Heading2"/>
        <w:spacing w:before="240" w:after="120"/>
        <w:ind w:left="431" w:hanging="431"/>
      </w:pPr>
      <w:r>
        <w:t>Background and Context</w:t>
      </w:r>
      <w:bookmarkEnd w:id="38"/>
    </w:p>
    <w:p w14:paraId="20E05EDC" w14:textId="77777777" w:rsidR="0042547F" w:rsidRDefault="0042547F" w:rsidP="0042547F">
      <w:pPr>
        <w:pStyle w:val="SDANumberedheading2"/>
        <w:ind w:left="709" w:hanging="709"/>
      </w:pPr>
      <w:bookmarkStart w:id="39" w:name="_Toc486247204"/>
      <w:r>
        <w:t>Background to PLP Phase 3</w:t>
      </w:r>
      <w:bookmarkEnd w:id="39"/>
    </w:p>
    <w:p w14:paraId="5AA3E0D5" w14:textId="77C14CFF" w:rsidR="0042547F" w:rsidRPr="001C3654" w:rsidRDefault="0042547F" w:rsidP="0042547F">
      <w:pPr>
        <w:pStyle w:val="SDAbulletpoints"/>
        <w:numPr>
          <w:ilvl w:val="0"/>
          <w:numId w:val="0"/>
        </w:numPr>
      </w:pPr>
      <w:r w:rsidRPr="001C3654">
        <w:t xml:space="preserve">The </w:t>
      </w:r>
      <w:r w:rsidRPr="001C3654">
        <w:rPr>
          <w:b/>
        </w:rPr>
        <w:t>Pacific Leadership Program (PLP) was conceived as a major initiative</w:t>
      </w:r>
      <w:r w:rsidRPr="001C3654">
        <w:t xml:space="preserve"> which came out of the 2006 White Paper: </w:t>
      </w:r>
      <w:r w:rsidRPr="001C3654">
        <w:rPr>
          <w:i/>
        </w:rPr>
        <w:t>Australian Aid: Promoting Growth and Stability</w:t>
      </w:r>
      <w:r w:rsidRPr="001C3654">
        <w:t>.</w:t>
      </w:r>
      <w:r w:rsidRPr="001C3654">
        <w:rPr>
          <w:rStyle w:val="FootnoteReference"/>
        </w:rPr>
        <w:footnoteReference w:id="30"/>
      </w:r>
      <w:r w:rsidR="00AC77B7">
        <w:t xml:space="preserve">  This White Paper had a</w:t>
      </w:r>
      <w:r w:rsidRPr="001C3654">
        <w:t xml:space="preserve"> focus on strengthened governance, tackling corruption and ‘fostering functioning and effective states.’</w:t>
      </w:r>
      <w:r w:rsidRPr="001C3654">
        <w:rPr>
          <w:rStyle w:val="FootnoteReference"/>
        </w:rPr>
        <w:footnoteReference w:id="31"/>
      </w:r>
      <w:r w:rsidRPr="001C3654">
        <w:t xml:space="preserve">  PLP was set to enhance existing governance support by ‘targeting leaders from all facets of society…and by building demand for better governance’.</w:t>
      </w:r>
      <w:r w:rsidRPr="001C3654">
        <w:rPr>
          <w:rStyle w:val="FootnoteReference"/>
        </w:rPr>
        <w:footnoteReference w:id="32"/>
      </w:r>
    </w:p>
    <w:p w14:paraId="5BF52D16" w14:textId="77777777" w:rsidR="0042547F" w:rsidRPr="001C3654" w:rsidRDefault="0042547F" w:rsidP="0042547F">
      <w:pPr>
        <w:pStyle w:val="SDAbulletpoints"/>
        <w:numPr>
          <w:ilvl w:val="0"/>
          <w:numId w:val="0"/>
        </w:numPr>
      </w:pPr>
      <w:r w:rsidRPr="001C3654">
        <w:t>Phase 1 started in April 2008</w:t>
      </w:r>
      <w:r w:rsidR="004E2BBB" w:rsidRPr="001C3654">
        <w:t xml:space="preserve"> and</w:t>
      </w:r>
      <w:r w:rsidRPr="001C3654">
        <w:t xml:space="preserve"> </w:t>
      </w:r>
      <w:r w:rsidRPr="001C3654">
        <w:rPr>
          <w:b/>
        </w:rPr>
        <w:t>focus</w:t>
      </w:r>
      <w:r w:rsidR="005C47D9" w:rsidRPr="001C3654">
        <w:rPr>
          <w:b/>
        </w:rPr>
        <w:t>sed</w:t>
      </w:r>
      <w:r w:rsidRPr="001C3654">
        <w:rPr>
          <w:b/>
        </w:rPr>
        <w:t xml:space="preserve"> on developing partnerships</w:t>
      </w:r>
      <w:r w:rsidRPr="001C3654">
        <w:t xml:space="preserve"> with a range of organisations perceived to have an ability to lead positive change. Phase 2 started in June 2009 bringing with it a stronger focus on </w:t>
      </w:r>
      <w:r w:rsidRPr="001C3654">
        <w:rPr>
          <w:b/>
        </w:rPr>
        <w:t xml:space="preserve">developmental leadership and the role of coalitions </w:t>
      </w:r>
      <w:r w:rsidRPr="001C3654">
        <w:t xml:space="preserve">in progressing change for the public good. Phase 3 began in July 2014 and in addition to a continuing focus on coalitions, included </w:t>
      </w:r>
      <w:r w:rsidR="005C47D9" w:rsidRPr="001C3654">
        <w:t>an emphasis</w:t>
      </w:r>
      <w:r w:rsidRPr="001C3654">
        <w:t xml:space="preserve"> on </w:t>
      </w:r>
      <w:r w:rsidRPr="001C3654">
        <w:rPr>
          <w:b/>
        </w:rPr>
        <w:t>generating and communicating knowledge</w:t>
      </w:r>
      <w:r w:rsidRPr="001C3654">
        <w:t xml:space="preserve"> on developmental leadership in the Pacific context. </w:t>
      </w:r>
    </w:p>
    <w:p w14:paraId="67CF796F" w14:textId="1FDB9D49" w:rsidR="0042547F" w:rsidRPr="001C3654" w:rsidRDefault="005C47D9" w:rsidP="0042547F">
      <w:pPr>
        <w:pStyle w:val="SDAbulletpoints"/>
        <w:numPr>
          <w:ilvl w:val="0"/>
          <w:numId w:val="0"/>
        </w:numPr>
      </w:pPr>
      <w:r w:rsidRPr="001C3654">
        <w:rPr>
          <w:b/>
        </w:rPr>
        <w:t>W</w:t>
      </w:r>
      <w:r w:rsidR="0042547F" w:rsidRPr="001C3654">
        <w:rPr>
          <w:b/>
        </w:rPr>
        <w:t xml:space="preserve">hile the program has evolved, two </w:t>
      </w:r>
      <w:r w:rsidR="00AC77B7" w:rsidRPr="001C3654">
        <w:rPr>
          <w:b/>
        </w:rPr>
        <w:t>objectives have</w:t>
      </w:r>
      <w:r w:rsidR="0042547F" w:rsidRPr="001C3654">
        <w:rPr>
          <w:b/>
        </w:rPr>
        <w:t xml:space="preserve"> been consistent</w:t>
      </w:r>
      <w:r w:rsidR="0042547F" w:rsidRPr="001C3654">
        <w:t xml:space="preserve"> </w:t>
      </w:r>
      <w:r w:rsidR="004E2BBB" w:rsidRPr="001C3654">
        <w:t>across all</w:t>
      </w:r>
      <w:r w:rsidR="0042547F" w:rsidRPr="001C3654">
        <w:t xml:space="preserve"> phase</w:t>
      </w:r>
      <w:r w:rsidR="004E2BBB" w:rsidRPr="001C3654">
        <w:t>s</w:t>
      </w:r>
      <w:r w:rsidR="0042547F" w:rsidRPr="001C3654">
        <w:t>:</w:t>
      </w:r>
    </w:p>
    <w:p w14:paraId="1D728C5D" w14:textId="77777777" w:rsidR="0042547F" w:rsidRPr="001C3654" w:rsidRDefault="0042547F" w:rsidP="003703DB">
      <w:pPr>
        <w:pStyle w:val="SDAbodytext"/>
        <w:numPr>
          <w:ilvl w:val="0"/>
          <w:numId w:val="9"/>
        </w:numPr>
      </w:pPr>
      <w:r w:rsidRPr="001C3654">
        <w:rPr>
          <w:b/>
        </w:rPr>
        <w:t>Helping to build the capacity</w:t>
      </w:r>
      <w:r w:rsidRPr="001C3654">
        <w:t xml:space="preserve"> of individuals, organisations and coalitions to exercise leadership for developmental change in the Pacific; </w:t>
      </w:r>
    </w:p>
    <w:p w14:paraId="4E7F9AFC" w14:textId="622C88E3" w:rsidR="0042547F" w:rsidRPr="001C3654" w:rsidRDefault="0042547F" w:rsidP="003703DB">
      <w:pPr>
        <w:pStyle w:val="SDAbodytext"/>
        <w:numPr>
          <w:ilvl w:val="0"/>
          <w:numId w:val="9"/>
        </w:numPr>
      </w:pPr>
      <w:r w:rsidRPr="001C3654">
        <w:rPr>
          <w:b/>
        </w:rPr>
        <w:t>Promoting learning</w:t>
      </w:r>
      <w:r w:rsidRPr="001C3654">
        <w:t xml:space="preserve"> on leadership and governance in the Pacific to influence practice in the broader Australian aid program and international community.</w:t>
      </w:r>
      <w:r w:rsidR="00AC77B7" w:rsidRPr="001C3654">
        <w:rPr>
          <w:rStyle w:val="FootnoteReference"/>
        </w:rPr>
        <w:footnoteReference w:id="33"/>
      </w:r>
      <w:r w:rsidR="00AC77B7" w:rsidRPr="001C3654">
        <w:rPr>
          <w:rStyle w:val="FootnoteReference"/>
        </w:rPr>
        <w:t xml:space="preserve"> </w:t>
      </w:r>
      <w:r w:rsidRPr="001C3654">
        <w:rPr>
          <w:rStyle w:val="FootnoteReference"/>
        </w:rPr>
        <w:t xml:space="preserve"> </w:t>
      </w:r>
    </w:p>
    <w:p w14:paraId="10698F2A" w14:textId="77777777" w:rsidR="005C47D9" w:rsidRPr="001C3654" w:rsidRDefault="005C47D9" w:rsidP="005C47D9">
      <w:pPr>
        <w:pStyle w:val="SDAbodytext"/>
      </w:pPr>
      <w:bookmarkStart w:id="40" w:name="_Hlk483932862"/>
      <w:r w:rsidRPr="001C3654">
        <w:rPr>
          <w:b/>
        </w:rPr>
        <w:t>PLP was established to trial new methods of supporting locally-driven positive change</w:t>
      </w:r>
      <w:r w:rsidRPr="001C3654">
        <w:t xml:space="preserve"> in the Pacific.  </w:t>
      </w:r>
      <w:r w:rsidRPr="001C3654">
        <w:rPr>
          <w:rFonts w:ascii="Calibri" w:hAnsi="Calibri"/>
        </w:rPr>
        <w:t xml:space="preserve">Australia’s work with partners to support developmental leadership in the Pacific is based on the recognition that there is an important interplay between leadership and the achievement of locally-led development outcomes, including reduced poverty. </w:t>
      </w:r>
    </w:p>
    <w:p w14:paraId="3CA5FB06" w14:textId="77777777" w:rsidR="0042547F" w:rsidRPr="001C3654" w:rsidRDefault="005C47D9" w:rsidP="0042547F">
      <w:pPr>
        <w:pStyle w:val="SDAbulletpoints"/>
        <w:numPr>
          <w:ilvl w:val="0"/>
          <w:numId w:val="0"/>
        </w:numPr>
      </w:pPr>
      <w:r w:rsidRPr="001C3654">
        <w:rPr>
          <w:rFonts w:eastAsia="Calibri" w:cs="Times New Roman"/>
          <w:b/>
        </w:rPr>
        <w:t xml:space="preserve">Essentially, </w:t>
      </w:r>
      <w:r w:rsidR="0042547F" w:rsidRPr="001C3654">
        <w:rPr>
          <w:rFonts w:eastAsia="Calibri" w:cs="Times New Roman"/>
          <w:b/>
        </w:rPr>
        <w:t>PLP is about doing development differently</w:t>
      </w:r>
      <w:r w:rsidR="00B70D2C" w:rsidRPr="001C3654">
        <w:rPr>
          <w:rFonts w:eastAsia="Calibri" w:cs="Times New Roman"/>
          <w:b/>
        </w:rPr>
        <w:t>.</w:t>
      </w:r>
      <w:r w:rsidR="004E2BBB" w:rsidRPr="001C3654">
        <w:rPr>
          <w:rFonts w:eastAsia="Calibri" w:cs="Times New Roman"/>
        </w:rPr>
        <w:t xml:space="preserve"> </w:t>
      </w:r>
      <w:r w:rsidR="00B70D2C" w:rsidRPr="001C3654">
        <w:rPr>
          <w:rFonts w:eastAsia="Calibri" w:cs="Times New Roman"/>
        </w:rPr>
        <w:t xml:space="preserve"> T</w:t>
      </w:r>
      <w:r w:rsidR="0042547F" w:rsidRPr="001C3654">
        <w:rPr>
          <w:rFonts w:eastAsia="Calibri" w:cs="Times New Roman"/>
        </w:rPr>
        <w:t xml:space="preserve">here are many ways you can describe </w:t>
      </w:r>
      <w:r w:rsidRPr="001C3654">
        <w:rPr>
          <w:rFonts w:eastAsia="Calibri" w:cs="Times New Roman"/>
        </w:rPr>
        <w:t>such an approach</w:t>
      </w:r>
      <w:r w:rsidR="0042547F" w:rsidRPr="001C3654">
        <w:rPr>
          <w:rFonts w:eastAsia="Calibri" w:cs="Times New Roman"/>
        </w:rPr>
        <w:t>.</w:t>
      </w:r>
      <w:r w:rsidR="0042547F" w:rsidRPr="001C3654">
        <w:rPr>
          <w:rFonts w:eastAsia="Calibri" w:cs="Times New Roman"/>
          <w:vertAlign w:val="superscript"/>
        </w:rPr>
        <w:footnoteReference w:id="34"/>
      </w:r>
      <w:r w:rsidR="0042547F" w:rsidRPr="001C3654">
        <w:rPr>
          <w:rFonts w:eastAsia="Calibri" w:cs="Times New Roman"/>
        </w:rPr>
        <w:t xml:space="preserve"> </w:t>
      </w:r>
      <w:r w:rsidR="004E2BBB" w:rsidRPr="001C3654">
        <w:rPr>
          <w:rFonts w:eastAsia="Calibri" w:cs="Times New Roman"/>
        </w:rPr>
        <w:t xml:space="preserve"> </w:t>
      </w:r>
      <w:r w:rsidR="0042547F" w:rsidRPr="001C3654">
        <w:rPr>
          <w:rFonts w:eastAsia="Calibri" w:cs="Times New Roman"/>
        </w:rPr>
        <w:t>Common to these approaches, however, is an emphasis on providing flexible, iterative and tailored support that ‘does not begin with pre-determined solutions and is tolerant of a certain level of risk in order to achieve developmental change’.</w:t>
      </w:r>
      <w:r w:rsidR="0042547F" w:rsidRPr="001C3654">
        <w:rPr>
          <w:rFonts w:eastAsia="Calibri" w:cs="Times New Roman"/>
          <w:vertAlign w:val="superscript"/>
        </w:rPr>
        <w:footnoteReference w:id="35"/>
      </w:r>
      <w:r w:rsidR="0042547F" w:rsidRPr="001C3654">
        <w:rPr>
          <w:rFonts w:eastAsia="Calibri" w:cs="Times New Roman"/>
        </w:rPr>
        <w:t xml:space="preserve">  </w:t>
      </w:r>
      <w:r w:rsidR="0042547F" w:rsidRPr="001C3654">
        <w:t>This approach stands in contrast to more conventional aid approaches which emphasise sector-defined, and technical methods of bringing about change.</w:t>
      </w:r>
      <w:r w:rsidR="0042547F" w:rsidRPr="001C3654">
        <w:rPr>
          <w:rStyle w:val="FootnoteReference"/>
        </w:rPr>
        <w:footnoteReference w:id="36"/>
      </w:r>
      <w:r w:rsidR="0042547F" w:rsidRPr="002D545D">
        <w:rPr>
          <w:rStyle w:val="FootnoteReference"/>
        </w:rPr>
        <w:t xml:space="preserve"> </w:t>
      </w:r>
      <w:r w:rsidR="0042547F" w:rsidRPr="001C3654">
        <w:t xml:space="preserve"> Aware of the limitations of conventional approaches to aid, PLP seeks to experiment with new types of partners and partnerships to explore new ways for an external donor to support </w:t>
      </w:r>
      <w:r w:rsidRPr="001C3654">
        <w:t xml:space="preserve">leadership for </w:t>
      </w:r>
      <w:r w:rsidR="0042547F" w:rsidRPr="001C3654">
        <w:t xml:space="preserve">locally-driven change.  </w:t>
      </w:r>
    </w:p>
    <w:bookmarkEnd w:id="40"/>
    <w:p w14:paraId="469BFAEF" w14:textId="77777777" w:rsidR="00514701" w:rsidRDefault="007E77EC" w:rsidP="001C3654">
      <w:pPr>
        <w:pStyle w:val="SDAbodytext"/>
      </w:pPr>
      <w:r w:rsidRPr="001C3654">
        <w:rPr>
          <w:b/>
        </w:rPr>
        <w:t>One way to understand PLP’s approach is to reflect on the experience of The Asia Foundation</w:t>
      </w:r>
      <w:r>
        <w:t xml:space="preserve"> which, over several decades, has been implementing “highly responsive, politically informed, iterative, ‘searching’</w:t>
      </w:r>
      <w:r w:rsidR="00A66045">
        <w:t xml:space="preserve"> </w:t>
      </w:r>
      <w:r>
        <w:t>models of assistance”.</w:t>
      </w:r>
      <w:r>
        <w:rPr>
          <w:rStyle w:val="FootnoteReference"/>
        </w:rPr>
        <w:footnoteReference w:id="37"/>
      </w:r>
      <w:r>
        <w:t xml:space="preserve">  While each program is different, these approaches, like PLP, share similar characteristics including a</w:t>
      </w:r>
      <w:r w:rsidR="00AB0684">
        <w:t xml:space="preserve">n </w:t>
      </w:r>
      <w:r>
        <w:t xml:space="preserve">emphasis on </w:t>
      </w:r>
      <w:r w:rsidR="00AB0684">
        <w:t>“</w:t>
      </w:r>
      <w:r>
        <w:t>contextual knowledge and relationships, combined with multiple small, nuanced and carefully targeted interventions, working closely with local partners”.</w:t>
      </w:r>
      <w:r>
        <w:rPr>
          <w:rStyle w:val="FootnoteReference"/>
        </w:rPr>
        <w:footnoteReference w:id="38"/>
      </w:r>
      <w:r>
        <w:t xml:space="preserve">  </w:t>
      </w:r>
    </w:p>
    <w:p w14:paraId="68F66FEC" w14:textId="77777777" w:rsidR="006F723E" w:rsidRPr="001C3654" w:rsidRDefault="007E77EC" w:rsidP="006F723E">
      <w:r w:rsidRPr="001C3654">
        <w:rPr>
          <w:b/>
        </w:rPr>
        <w:t xml:space="preserve">The </w:t>
      </w:r>
      <w:r w:rsidR="00AB0684">
        <w:rPr>
          <w:b/>
        </w:rPr>
        <w:t xml:space="preserve">design of </w:t>
      </w:r>
      <w:r w:rsidRPr="001C3654">
        <w:rPr>
          <w:b/>
        </w:rPr>
        <w:t xml:space="preserve">phase 3 was </w:t>
      </w:r>
      <w:r w:rsidR="00AB0684">
        <w:rPr>
          <w:b/>
        </w:rPr>
        <w:t xml:space="preserve">a </w:t>
      </w:r>
      <w:r w:rsidRPr="001C3654">
        <w:rPr>
          <w:b/>
        </w:rPr>
        <w:t>lengthy</w:t>
      </w:r>
      <w:r w:rsidR="00AB0684">
        <w:rPr>
          <w:b/>
        </w:rPr>
        <w:t xml:space="preserve"> process</w:t>
      </w:r>
      <w:r w:rsidRPr="001C3654">
        <w:rPr>
          <w:b/>
        </w:rPr>
        <w:t>, and involved many different people</w:t>
      </w:r>
      <w:r>
        <w:t xml:space="preserve">, in part due to the </w:t>
      </w:r>
      <w:r w:rsidRPr="006F723E">
        <w:t xml:space="preserve">fact that the process ran over </w:t>
      </w:r>
      <w:r w:rsidR="00514701" w:rsidRPr="006F723E">
        <w:t>a</w:t>
      </w:r>
      <w:r w:rsidRPr="006F723E">
        <w:t xml:space="preserve"> period </w:t>
      </w:r>
      <w:r w:rsidR="00514701" w:rsidRPr="006F723E">
        <w:t xml:space="preserve">of significant change for the aid program, with </w:t>
      </w:r>
      <w:r w:rsidRPr="006F723E">
        <w:t xml:space="preserve">the integration of AusAID </w:t>
      </w:r>
      <w:r w:rsidRPr="004131CE">
        <w:t xml:space="preserve">into DFAT, </w:t>
      </w:r>
      <w:r w:rsidRPr="00CD7569">
        <w:t xml:space="preserve">and </w:t>
      </w:r>
      <w:r w:rsidR="00514701" w:rsidRPr="00CD7569">
        <w:t xml:space="preserve">the </w:t>
      </w:r>
      <w:r w:rsidR="00514701" w:rsidRPr="00CE099E">
        <w:t xml:space="preserve">announcement of </w:t>
      </w:r>
      <w:r w:rsidRPr="00E96E53">
        <w:t>budget cuts.</w:t>
      </w:r>
      <w:r w:rsidRPr="00E96E53">
        <w:rPr>
          <w:rStyle w:val="FootnoteReference"/>
        </w:rPr>
        <w:footnoteReference w:id="39"/>
      </w:r>
      <w:r w:rsidRPr="00E96E53">
        <w:t xml:space="preserve">  </w:t>
      </w:r>
      <w:r w:rsidR="00514701" w:rsidRPr="00E96E53">
        <w:rPr>
          <w:rFonts w:eastAsia="Calibri" w:cs="Times New Roman"/>
        </w:rPr>
        <w:t>In</w:t>
      </w:r>
      <w:r w:rsidR="00514701" w:rsidRPr="00401A35">
        <w:rPr>
          <w:rFonts w:eastAsia="Calibri" w:cs="Times New Roman"/>
        </w:rPr>
        <w:t xml:space="preserve"> </w:t>
      </w:r>
      <w:r w:rsidR="00514701" w:rsidRPr="006F723E">
        <w:rPr>
          <w:rFonts w:eastAsia="Calibri" w:cs="Times New Roman"/>
        </w:rPr>
        <w:t>hindsight, the design for phase 3 appears over</w:t>
      </w:r>
      <w:r w:rsidR="007E5679">
        <w:rPr>
          <w:rFonts w:eastAsia="Calibri" w:cs="Times New Roman"/>
        </w:rPr>
        <w:t>ly</w:t>
      </w:r>
      <w:r w:rsidR="00514701" w:rsidRPr="006F723E">
        <w:rPr>
          <w:rFonts w:eastAsia="Calibri" w:cs="Times New Roman"/>
        </w:rPr>
        <w:t xml:space="preserve"> ambitious</w:t>
      </w:r>
      <w:r w:rsidR="00514701" w:rsidRPr="006F723E">
        <w:rPr>
          <w:rStyle w:val="FootnoteReference"/>
          <w:rFonts w:eastAsia="Calibri" w:cs="Times New Roman"/>
        </w:rPr>
        <w:footnoteReference w:id="40"/>
      </w:r>
      <w:r w:rsidR="00514701" w:rsidRPr="006F723E">
        <w:rPr>
          <w:rFonts w:eastAsia="Calibri" w:cs="Times New Roman"/>
        </w:rPr>
        <w:t xml:space="preserve"> </w:t>
      </w:r>
      <w:r w:rsidR="00514701" w:rsidRPr="006F723E">
        <w:rPr>
          <w:rFonts w:ascii="Calibri" w:eastAsia="Calibri" w:hAnsi="Calibri"/>
          <w:color w:val="000000"/>
        </w:rPr>
        <w:t>when considered against the changed institutional context within DFAT</w:t>
      </w:r>
      <w:r w:rsidR="00514701" w:rsidRPr="006F723E">
        <w:rPr>
          <w:rFonts w:ascii="Calibri" w:eastAsia="Calibri" w:hAnsi="Calibri"/>
          <w:i/>
          <w:color w:val="000000"/>
        </w:rPr>
        <w:t>.</w:t>
      </w:r>
      <w:r w:rsidR="00514701" w:rsidRPr="006F723E">
        <w:rPr>
          <w:rFonts w:eastAsia="Calibri" w:cs="Times New Roman"/>
        </w:rPr>
        <w:t xml:space="preserve"> </w:t>
      </w:r>
      <w:r w:rsidR="006F723E" w:rsidRPr="006F723E">
        <w:rPr>
          <w:rFonts w:eastAsia="Calibri" w:cs="Times New Roman"/>
        </w:rPr>
        <w:t>For example, as a number of stakeholders explained</w:t>
      </w:r>
      <w:r w:rsidR="00514701" w:rsidRPr="006F723E">
        <w:rPr>
          <w:rFonts w:eastAsia="Calibri" w:cs="Times New Roman"/>
        </w:rPr>
        <w:t xml:space="preserve">, </w:t>
      </w:r>
      <w:r w:rsidR="006F723E" w:rsidRPr="006F723E">
        <w:rPr>
          <w:rFonts w:eastAsia="Calibri" w:cs="Times New Roman"/>
        </w:rPr>
        <w:t>“</w:t>
      </w:r>
      <w:r w:rsidR="006F723E" w:rsidRPr="001C3654">
        <w:rPr>
          <w:i/>
        </w:rPr>
        <w:t>PLP3 was told to lift its visibility and influence within DFAT – at the very time when (most of) DFAT began to look the other way</w:t>
      </w:r>
      <w:r w:rsidR="006F723E" w:rsidRPr="001C3654">
        <w:t>”.</w:t>
      </w:r>
      <w:r w:rsidR="006F723E" w:rsidRPr="001C3654">
        <w:rPr>
          <w:rStyle w:val="FootnoteReference"/>
        </w:rPr>
        <w:footnoteReference w:id="41"/>
      </w:r>
      <w:r w:rsidR="006F723E" w:rsidRPr="001C3654">
        <w:t xml:space="preserve"> </w:t>
      </w:r>
    </w:p>
    <w:p w14:paraId="5130AD6A" w14:textId="77777777" w:rsidR="0042547F" w:rsidRPr="001C3654" w:rsidRDefault="0042547F" w:rsidP="0042547F">
      <w:pPr>
        <w:pStyle w:val="SDAbodytext"/>
      </w:pPr>
      <w:r w:rsidRPr="001C3654">
        <w:t xml:space="preserve">Key dates </w:t>
      </w:r>
      <w:r w:rsidR="00253910" w:rsidRPr="001C3654">
        <w:t xml:space="preserve">in </w:t>
      </w:r>
      <w:r w:rsidRPr="001C3654">
        <w:t xml:space="preserve">the evolution of the Pacific Leadership Program can be found at </w:t>
      </w:r>
      <w:r w:rsidRPr="001C3654">
        <w:rPr>
          <w:u w:val="single"/>
        </w:rPr>
        <w:t xml:space="preserve">annex </w:t>
      </w:r>
      <w:r w:rsidR="00CC3A01" w:rsidRPr="001C3654">
        <w:rPr>
          <w:u w:val="single"/>
        </w:rPr>
        <w:t>4</w:t>
      </w:r>
      <w:r w:rsidRPr="001C3654">
        <w:t>.</w:t>
      </w:r>
      <w:r w:rsidRPr="001C3654">
        <w:rPr>
          <w:rStyle w:val="FootnoteReference"/>
          <w:rFonts w:ascii="Calibri" w:hAnsi="Calibri"/>
        </w:rPr>
        <w:footnoteReference w:id="42"/>
      </w:r>
    </w:p>
    <w:p w14:paraId="53799EF0" w14:textId="77777777" w:rsidR="00485229" w:rsidRPr="00485229" w:rsidRDefault="005C47D9" w:rsidP="00485229">
      <w:pPr>
        <w:pStyle w:val="SDANumberedheading2"/>
        <w:ind w:left="709" w:hanging="709"/>
      </w:pPr>
      <w:bookmarkStart w:id="41" w:name="_Toc486247205"/>
      <w:r>
        <w:t xml:space="preserve">Australian </w:t>
      </w:r>
      <w:r w:rsidR="00485229" w:rsidRPr="00485229">
        <w:t>Policy Context</w:t>
      </w:r>
      <w:bookmarkEnd w:id="41"/>
    </w:p>
    <w:p w14:paraId="7BD33872" w14:textId="77777777" w:rsidR="007D3BE9" w:rsidRPr="001C3654" w:rsidRDefault="007D3BE9" w:rsidP="0042547F">
      <w:pPr>
        <w:pStyle w:val="SDAbodytext"/>
        <w:rPr>
          <w:rFonts w:ascii="Calibri" w:hAnsi="Calibri"/>
        </w:rPr>
      </w:pPr>
      <w:r w:rsidRPr="001C3654">
        <w:rPr>
          <w:rFonts w:ascii="Calibri" w:hAnsi="Calibri"/>
        </w:rPr>
        <w:t>Australia has a “</w:t>
      </w:r>
      <w:r w:rsidRPr="001C3654">
        <w:rPr>
          <w:rFonts w:ascii="Calibri" w:hAnsi="Calibri"/>
          <w:b/>
        </w:rPr>
        <w:t>long-term commitment as a major and reliable partner on strategic, security, economic and development issues in the Pacific region</w:t>
      </w:r>
      <w:r w:rsidRPr="001C3654">
        <w:rPr>
          <w:rFonts w:ascii="Calibri" w:hAnsi="Calibri"/>
        </w:rPr>
        <w:t>”.</w:t>
      </w:r>
      <w:r w:rsidRPr="001C3654">
        <w:rPr>
          <w:rStyle w:val="FootnoteReference"/>
        </w:rPr>
        <w:footnoteReference w:id="43"/>
      </w:r>
      <w:r w:rsidR="00D54D71" w:rsidRPr="001C3654">
        <w:rPr>
          <w:rFonts w:ascii="Calibri" w:hAnsi="Calibri"/>
        </w:rPr>
        <w:t xml:space="preserve">  Australia also recognis</w:t>
      </w:r>
      <w:r w:rsidRPr="001C3654">
        <w:rPr>
          <w:rFonts w:ascii="Calibri" w:hAnsi="Calibri"/>
        </w:rPr>
        <w:t>es that the region is an increasingly crowded and complex place when it comes to the changing geopolitical environment, and Australia’s level of influence within that environment.</w:t>
      </w:r>
      <w:r w:rsidRPr="001C3654">
        <w:rPr>
          <w:rStyle w:val="FootnoteReference"/>
        </w:rPr>
        <w:footnoteReference w:id="44"/>
      </w:r>
    </w:p>
    <w:p w14:paraId="712976C1" w14:textId="77777777" w:rsidR="00D54D71" w:rsidRPr="001C3654" w:rsidRDefault="00594706" w:rsidP="0042547F">
      <w:pPr>
        <w:pStyle w:val="Default"/>
        <w:spacing w:before="120" w:after="120"/>
        <w:rPr>
          <w:rFonts w:ascii="Calibri" w:hAnsi="Calibri"/>
          <w:sz w:val="22"/>
          <w:szCs w:val="22"/>
        </w:rPr>
      </w:pPr>
      <w:r w:rsidRPr="001C3654">
        <w:rPr>
          <w:rFonts w:ascii="Calibri" w:hAnsi="Calibri"/>
          <w:sz w:val="22"/>
          <w:szCs w:val="22"/>
        </w:rPr>
        <w:t xml:space="preserve">The </w:t>
      </w:r>
      <w:r w:rsidRPr="001C3654">
        <w:rPr>
          <w:rFonts w:ascii="Calibri" w:hAnsi="Calibri"/>
          <w:b/>
          <w:sz w:val="22"/>
          <w:szCs w:val="22"/>
        </w:rPr>
        <w:t>Australian Government’s development policy</w:t>
      </w:r>
      <w:r w:rsidRPr="001C3654">
        <w:rPr>
          <w:rFonts w:ascii="Calibri" w:hAnsi="Calibri"/>
          <w:sz w:val="22"/>
          <w:szCs w:val="22"/>
        </w:rPr>
        <w:t xml:space="preserve">, </w:t>
      </w:r>
      <w:r w:rsidRPr="001C3654">
        <w:rPr>
          <w:rFonts w:ascii="Calibri" w:hAnsi="Calibri"/>
          <w:i/>
          <w:sz w:val="22"/>
          <w:szCs w:val="22"/>
        </w:rPr>
        <w:t>Australian Aid: Promoting Prosperity, Reducing Poverty and Enhancing Stability</w:t>
      </w:r>
      <w:r w:rsidRPr="001C3654">
        <w:rPr>
          <w:rFonts w:ascii="Calibri" w:hAnsi="Calibri"/>
          <w:sz w:val="22"/>
          <w:szCs w:val="22"/>
        </w:rPr>
        <w:t>, includes effective governance as one of its six investment priorities. DFAT promotes effective governance at national and regional levels through a range of initiatives</w:t>
      </w:r>
      <w:r w:rsidR="00F04F65" w:rsidRPr="001C3654">
        <w:rPr>
          <w:rFonts w:ascii="Calibri" w:hAnsi="Calibri"/>
          <w:sz w:val="22"/>
          <w:szCs w:val="22"/>
        </w:rPr>
        <w:t xml:space="preserve">. </w:t>
      </w:r>
    </w:p>
    <w:p w14:paraId="5EBDC85E" w14:textId="77777777" w:rsidR="00F04F65" w:rsidRPr="001C3654" w:rsidRDefault="00F04F65" w:rsidP="0042547F">
      <w:pPr>
        <w:pStyle w:val="Default"/>
        <w:spacing w:before="120" w:after="120"/>
        <w:rPr>
          <w:sz w:val="22"/>
          <w:szCs w:val="22"/>
        </w:rPr>
      </w:pPr>
      <w:r w:rsidRPr="001C3654">
        <w:rPr>
          <w:rFonts w:ascii="Calibri" w:hAnsi="Calibri"/>
          <w:b/>
          <w:sz w:val="22"/>
          <w:szCs w:val="22"/>
        </w:rPr>
        <w:t xml:space="preserve">DFAT’s </w:t>
      </w:r>
      <w:r w:rsidRPr="001C3654">
        <w:rPr>
          <w:rFonts w:ascii="Calibri" w:hAnsi="Calibri"/>
          <w:b/>
          <w:i/>
          <w:sz w:val="22"/>
          <w:szCs w:val="22"/>
        </w:rPr>
        <w:t>Effective Governance</w:t>
      </w:r>
      <w:r w:rsidRPr="001C3654">
        <w:rPr>
          <w:rFonts w:ascii="Calibri" w:hAnsi="Calibri"/>
          <w:b/>
          <w:sz w:val="22"/>
          <w:szCs w:val="22"/>
        </w:rPr>
        <w:t xml:space="preserve"> stra</w:t>
      </w:r>
      <w:r w:rsidR="00485229" w:rsidRPr="001C3654">
        <w:rPr>
          <w:rFonts w:ascii="Calibri" w:hAnsi="Calibri"/>
          <w:b/>
          <w:sz w:val="22"/>
          <w:szCs w:val="22"/>
        </w:rPr>
        <w:t>tegy</w:t>
      </w:r>
      <w:r w:rsidR="00485229" w:rsidRPr="001C3654">
        <w:rPr>
          <w:rFonts w:ascii="Calibri" w:hAnsi="Calibri"/>
          <w:sz w:val="22"/>
          <w:szCs w:val="22"/>
        </w:rPr>
        <w:t xml:space="preserve"> explicitly recognises that</w:t>
      </w:r>
      <w:r w:rsidRPr="001C3654">
        <w:rPr>
          <w:rFonts w:ascii="Calibri" w:hAnsi="Calibri"/>
          <w:sz w:val="22"/>
          <w:szCs w:val="22"/>
        </w:rPr>
        <w:t xml:space="preserve"> </w:t>
      </w:r>
      <w:r w:rsidR="00485229" w:rsidRPr="001C3654">
        <w:rPr>
          <w:rFonts w:ascii="Calibri" w:hAnsi="Calibri"/>
          <w:sz w:val="22"/>
          <w:szCs w:val="22"/>
        </w:rPr>
        <w:t>governance investments require an understating of local</w:t>
      </w:r>
      <w:r w:rsidRPr="001C3654">
        <w:rPr>
          <w:rFonts w:ascii="Calibri" w:hAnsi="Calibri"/>
          <w:sz w:val="22"/>
          <w:szCs w:val="22"/>
        </w:rPr>
        <w:t xml:space="preserve"> power dynamics, </w:t>
      </w:r>
      <w:r w:rsidR="00485229" w:rsidRPr="001C3654">
        <w:rPr>
          <w:rFonts w:ascii="Calibri" w:hAnsi="Calibri"/>
          <w:sz w:val="22"/>
          <w:szCs w:val="22"/>
        </w:rPr>
        <w:t>the ability to work</w:t>
      </w:r>
      <w:r w:rsidRPr="001C3654">
        <w:rPr>
          <w:rFonts w:ascii="Calibri" w:hAnsi="Calibri"/>
          <w:sz w:val="22"/>
          <w:szCs w:val="22"/>
        </w:rPr>
        <w:t xml:space="preserve"> with local leaders on issues that are important locally, and </w:t>
      </w:r>
      <w:r w:rsidR="00D54D71" w:rsidRPr="001C3654">
        <w:rPr>
          <w:rFonts w:ascii="Calibri" w:hAnsi="Calibri"/>
          <w:sz w:val="22"/>
          <w:szCs w:val="22"/>
        </w:rPr>
        <w:t xml:space="preserve">the </w:t>
      </w:r>
      <w:r w:rsidRPr="001C3654">
        <w:rPr>
          <w:rFonts w:ascii="Calibri" w:hAnsi="Calibri"/>
          <w:sz w:val="22"/>
          <w:szCs w:val="22"/>
        </w:rPr>
        <w:t>potential power of brokering or facilitating coalitions of people with similar interests in supporting transformational change.</w:t>
      </w:r>
      <w:r w:rsidRPr="001C3654">
        <w:rPr>
          <w:rStyle w:val="FootnoteReference"/>
          <w:rFonts w:ascii="Calibri" w:hAnsi="Calibri"/>
          <w:sz w:val="22"/>
          <w:szCs w:val="22"/>
        </w:rPr>
        <w:footnoteReference w:id="45"/>
      </w:r>
      <w:r w:rsidRPr="001C3654">
        <w:rPr>
          <w:sz w:val="22"/>
          <w:szCs w:val="22"/>
        </w:rPr>
        <w:t xml:space="preserve"> </w:t>
      </w:r>
    </w:p>
    <w:p w14:paraId="31BC9A89" w14:textId="77777777" w:rsidR="001F4152" w:rsidRPr="001C3654" w:rsidRDefault="001F4152" w:rsidP="001F4152">
      <w:pPr>
        <w:pStyle w:val="SDAbodytext"/>
        <w:rPr>
          <w:rFonts w:ascii="Calibri" w:hAnsi="Calibri"/>
        </w:rPr>
      </w:pPr>
      <w:r w:rsidRPr="001C3654">
        <w:rPr>
          <w:rFonts w:ascii="Calibri" w:hAnsi="Calibri"/>
        </w:rPr>
        <w:t xml:space="preserve">The </w:t>
      </w:r>
      <w:r w:rsidRPr="001C3654">
        <w:rPr>
          <w:rFonts w:ascii="Calibri" w:hAnsi="Calibri"/>
          <w:b/>
        </w:rPr>
        <w:t>Pacific Leadership Program</w:t>
      </w:r>
      <w:r w:rsidRPr="001C3654">
        <w:rPr>
          <w:rFonts w:ascii="Calibri" w:hAnsi="Calibri"/>
        </w:rPr>
        <w:t xml:space="preserve">, as a regional governance initiative, sits under </w:t>
      </w:r>
      <w:r w:rsidRPr="001C3654">
        <w:rPr>
          <w:rFonts w:ascii="Calibri" w:hAnsi="Calibri"/>
          <w:b/>
        </w:rPr>
        <w:t xml:space="preserve">DFAT’s Pacific Regional Program. </w:t>
      </w:r>
      <w:r w:rsidRPr="001C3654">
        <w:rPr>
          <w:rFonts w:ascii="Calibri" w:hAnsi="Calibri"/>
        </w:rPr>
        <w:t xml:space="preserve">The Pacific Regional Program complements efforts at the bilateral level to support economic growth and poverty reduction in the region. The Pacific Regional Program has four objectives: increased economic growth; the development of more efficient regional institutions; healthy and resilient communities; and the empowerment of women and girls in the Pacific.  </w:t>
      </w:r>
    </w:p>
    <w:p w14:paraId="2B815230" w14:textId="77777777" w:rsidR="001F4152" w:rsidRPr="001C3654" w:rsidRDefault="001F4152" w:rsidP="001F4152">
      <w:pPr>
        <w:pStyle w:val="SDAbodytext"/>
        <w:rPr>
          <w:rFonts w:ascii="Calibri" w:hAnsi="Calibri"/>
        </w:rPr>
      </w:pPr>
      <w:r w:rsidRPr="001C3654">
        <w:rPr>
          <w:rFonts w:ascii="Calibri" w:hAnsi="Calibri"/>
        </w:rPr>
        <w:t xml:space="preserve">The Pacific Regional Program is also shaped by the </w:t>
      </w:r>
      <w:r w:rsidRPr="001C3654">
        <w:rPr>
          <w:rFonts w:ascii="Calibri" w:hAnsi="Calibri"/>
          <w:b/>
        </w:rPr>
        <w:t>Framework for Pacific Regionalism</w:t>
      </w:r>
      <w:r w:rsidRPr="001C3654">
        <w:rPr>
          <w:rFonts w:ascii="Calibri" w:hAnsi="Calibri"/>
        </w:rPr>
        <w:t>.</w:t>
      </w:r>
      <w:r w:rsidRPr="001C3654">
        <w:rPr>
          <w:rStyle w:val="FootnoteReference"/>
          <w:rFonts w:ascii="Calibri" w:hAnsi="Calibri"/>
        </w:rPr>
        <w:footnoteReference w:id="46"/>
      </w:r>
      <w:r w:rsidRPr="001C3654">
        <w:rPr>
          <w:rFonts w:ascii="Calibri" w:hAnsi="Calibri"/>
        </w:rPr>
        <w:t xml:space="preserve">  The Framework is a commitment from Pacific Islands Forum Leaders to pursue deeper forms of regionalism to address common challenges. Australia strongly supports the Framework, and works closely with Forum Member Countries in its implementation. The Pacific Regional Program is designed to be flexible enough to meet emerging needs and respond to the direction of Pacific leaders through the Framework process.</w:t>
      </w:r>
    </w:p>
    <w:p w14:paraId="1B3ABBCE" w14:textId="77777777" w:rsidR="005C47D9" w:rsidRPr="005C47D9" w:rsidRDefault="005C47D9" w:rsidP="005C47D9">
      <w:pPr>
        <w:pStyle w:val="SDANumberedheading2"/>
        <w:ind w:left="709" w:hanging="709"/>
      </w:pPr>
      <w:bookmarkStart w:id="42" w:name="_Toc486247206"/>
      <w:r w:rsidRPr="005C47D9">
        <w:t>Development Theory</w:t>
      </w:r>
      <w:bookmarkEnd w:id="42"/>
    </w:p>
    <w:p w14:paraId="37438270" w14:textId="77777777" w:rsidR="00342FA6" w:rsidRPr="001C3654" w:rsidRDefault="00CC3A01" w:rsidP="00F12B4C">
      <w:pPr>
        <w:spacing w:before="120"/>
        <w:rPr>
          <w:rFonts w:eastAsia="Calibri" w:cs="Times New Roman"/>
        </w:rPr>
      </w:pPr>
      <w:r w:rsidRPr="001C3654">
        <w:t>The design of PLP3</w:t>
      </w:r>
      <w:r w:rsidR="00A66421" w:rsidRPr="001C3654">
        <w:t xml:space="preserve"> and </w:t>
      </w:r>
      <w:r w:rsidR="00342FA6" w:rsidRPr="001C3654">
        <w:t xml:space="preserve">its approach in practice are </w:t>
      </w:r>
      <w:r w:rsidR="00342FA6" w:rsidRPr="001C3654">
        <w:rPr>
          <w:b/>
        </w:rPr>
        <w:t xml:space="preserve">supported by international research and evidence </w:t>
      </w:r>
      <w:r w:rsidR="00342FA6" w:rsidRPr="001C3654">
        <w:t xml:space="preserve">around governance, the role of leadership (including elites and coalitions), </w:t>
      </w:r>
      <w:r w:rsidR="00342FA6" w:rsidRPr="001C3654">
        <w:rPr>
          <w:rFonts w:eastAsia="Calibri" w:cs="Times New Roman"/>
        </w:rPr>
        <w:t>and how change i</w:t>
      </w:r>
      <w:r w:rsidR="001F4152" w:rsidRPr="001C3654">
        <w:rPr>
          <w:rFonts w:eastAsia="Calibri" w:cs="Times New Roman"/>
        </w:rPr>
        <w:t xml:space="preserve">s best shaped by local </w:t>
      </w:r>
      <w:r w:rsidR="00342FA6" w:rsidRPr="001C3654">
        <w:rPr>
          <w:rFonts w:eastAsia="Calibri" w:cs="Times New Roman"/>
        </w:rPr>
        <w:t>leaders/coalitions with a donor playing a facilitation role.</w:t>
      </w:r>
      <w:r w:rsidR="00342FA6" w:rsidRPr="001C3654">
        <w:rPr>
          <w:rStyle w:val="FootnoteReference"/>
        </w:rPr>
        <w:footnoteReference w:id="47"/>
      </w:r>
      <w:r w:rsidR="00342FA6" w:rsidRPr="001C3654">
        <w:rPr>
          <w:rFonts w:eastAsia="Calibri" w:cs="Times New Roman"/>
        </w:rPr>
        <w:t xml:space="preserve"> A growing body of </w:t>
      </w:r>
      <w:r w:rsidR="00342FA6" w:rsidRPr="001C3654">
        <w:rPr>
          <w:rFonts w:eastAsia="Calibri" w:cs="Times New Roman"/>
          <w:b/>
        </w:rPr>
        <w:t>research shows that coalitions are often critical in securing developmental reforms</w:t>
      </w:r>
      <w:r w:rsidR="00342FA6" w:rsidRPr="001C3654">
        <w:rPr>
          <w:rStyle w:val="FootnoteReference"/>
          <w:rFonts w:eastAsia="Calibri" w:cs="Times New Roman"/>
        </w:rPr>
        <w:footnoteReference w:id="48"/>
      </w:r>
      <w:r w:rsidR="00342FA6" w:rsidRPr="001C3654">
        <w:rPr>
          <w:rFonts w:eastAsia="Calibri" w:cs="Times New Roman"/>
        </w:rPr>
        <w:t xml:space="preserve"> and that effective governance programs require aid investments that are highly flexible and politically informed.</w:t>
      </w:r>
      <w:r w:rsidR="00A741A6" w:rsidRPr="001C3654">
        <w:rPr>
          <w:rStyle w:val="FootnoteReference"/>
          <w:rFonts w:eastAsia="Calibri" w:cs="Times New Roman"/>
        </w:rPr>
        <w:footnoteReference w:id="49"/>
      </w:r>
      <w:r w:rsidR="00342FA6" w:rsidRPr="001C3654">
        <w:rPr>
          <w:rFonts w:eastAsia="Calibri" w:cs="Times New Roman"/>
        </w:rPr>
        <w:t xml:space="preserve"> </w:t>
      </w:r>
    </w:p>
    <w:p w14:paraId="33EFC9CC" w14:textId="77777777" w:rsidR="00342FA6" w:rsidRPr="001C3654" w:rsidRDefault="001F4152" w:rsidP="00F12B4C">
      <w:pPr>
        <w:spacing w:before="120"/>
        <w:rPr>
          <w:rFonts w:eastAsia="Calibri" w:cs="Times New Roman"/>
        </w:rPr>
      </w:pPr>
      <w:r w:rsidRPr="001C3654">
        <w:rPr>
          <w:rFonts w:eastAsia="Calibri" w:cs="Times New Roman"/>
        </w:rPr>
        <w:t xml:space="preserve">When PLP commenced in 2008, </w:t>
      </w:r>
      <w:r w:rsidR="00B37227" w:rsidRPr="001C3654">
        <w:rPr>
          <w:rFonts w:eastAsia="Calibri" w:cs="Times New Roman"/>
        </w:rPr>
        <w:t xml:space="preserve">it </w:t>
      </w:r>
      <w:r w:rsidR="00342FA6" w:rsidRPr="001C3654">
        <w:rPr>
          <w:rFonts w:eastAsia="Calibri" w:cs="Times New Roman"/>
        </w:rPr>
        <w:t>was ahead of its time with its focus on developmental leadership</w:t>
      </w:r>
      <w:r w:rsidRPr="001C3654">
        <w:rPr>
          <w:rFonts w:eastAsia="Calibri" w:cs="Times New Roman"/>
        </w:rPr>
        <w:t xml:space="preserve">. </w:t>
      </w:r>
      <w:r w:rsidR="005C47D9" w:rsidRPr="001C3654">
        <w:rPr>
          <w:rFonts w:eastAsia="Calibri" w:cs="Times New Roman"/>
        </w:rPr>
        <w:t>T</w:t>
      </w:r>
      <w:r w:rsidRPr="001C3654">
        <w:rPr>
          <w:rFonts w:eastAsia="Calibri" w:cs="Times New Roman"/>
        </w:rPr>
        <w:t>oday</w:t>
      </w:r>
      <w:r w:rsidR="005C47D9" w:rsidRPr="001C3654">
        <w:rPr>
          <w:rFonts w:eastAsia="Calibri" w:cs="Times New Roman"/>
        </w:rPr>
        <w:t>, it</w:t>
      </w:r>
      <w:r w:rsidRPr="001C3654">
        <w:rPr>
          <w:rFonts w:eastAsia="Calibri" w:cs="Times New Roman"/>
        </w:rPr>
        <w:t xml:space="preserve"> sits among a small suite of similar interventions supported</w:t>
      </w:r>
      <w:r w:rsidR="00342FA6" w:rsidRPr="001C3654">
        <w:rPr>
          <w:rFonts w:eastAsia="Calibri" w:cs="Times New Roman"/>
        </w:rPr>
        <w:t xml:space="preserve"> </w:t>
      </w:r>
      <w:r w:rsidRPr="001C3654">
        <w:rPr>
          <w:rFonts w:eastAsia="Calibri" w:cs="Times New Roman"/>
        </w:rPr>
        <w:t>by Australia</w:t>
      </w:r>
      <w:r w:rsidRPr="001C3654">
        <w:rPr>
          <w:rStyle w:val="FootnoteReference"/>
          <w:rFonts w:eastAsia="Calibri" w:cs="Times New Roman"/>
        </w:rPr>
        <w:footnoteReference w:id="50"/>
      </w:r>
      <w:r w:rsidRPr="001C3654">
        <w:rPr>
          <w:rFonts w:eastAsia="Calibri" w:cs="Times New Roman"/>
        </w:rPr>
        <w:t xml:space="preserve">, </w:t>
      </w:r>
      <w:r w:rsidR="00B37227" w:rsidRPr="001C3654">
        <w:rPr>
          <w:rFonts w:eastAsia="Calibri" w:cs="Times New Roman"/>
        </w:rPr>
        <w:t xml:space="preserve">which are </w:t>
      </w:r>
      <w:r w:rsidR="00342FA6" w:rsidRPr="001C3654">
        <w:rPr>
          <w:rFonts w:eastAsia="Calibri" w:cs="Times New Roman"/>
        </w:rPr>
        <w:t>contribut</w:t>
      </w:r>
      <w:r w:rsidRPr="001C3654">
        <w:rPr>
          <w:rFonts w:eastAsia="Calibri" w:cs="Times New Roman"/>
        </w:rPr>
        <w:t>ing</w:t>
      </w:r>
      <w:r w:rsidR="00342FA6" w:rsidRPr="001C3654">
        <w:rPr>
          <w:rFonts w:eastAsia="Calibri" w:cs="Times New Roman"/>
        </w:rPr>
        <w:t xml:space="preserve"> knowledge to a development and academic community interested in exploring how leadership, power and political processes drive or block successful development.</w:t>
      </w:r>
      <w:r w:rsidR="00342FA6" w:rsidRPr="001C3654">
        <w:rPr>
          <w:rStyle w:val="FootnoteReference"/>
          <w:rFonts w:eastAsia="Calibri" w:cs="Times New Roman"/>
        </w:rPr>
        <w:footnoteReference w:id="51"/>
      </w:r>
      <w:r w:rsidR="00B37227" w:rsidRPr="001C3654">
        <w:rPr>
          <w:rFonts w:eastAsia="Calibri" w:cs="Times New Roman"/>
        </w:rPr>
        <w:t xml:space="preserve">  </w:t>
      </w:r>
    </w:p>
    <w:p w14:paraId="111D590D" w14:textId="77777777" w:rsidR="001007C1" w:rsidRPr="001007C1" w:rsidRDefault="00F12B4C" w:rsidP="001C3654">
      <w:pPr>
        <w:pStyle w:val="Heading2"/>
        <w:spacing w:before="240" w:after="120"/>
        <w:ind w:left="431" w:hanging="431"/>
      </w:pPr>
      <w:bookmarkStart w:id="43" w:name="_Toc486247207"/>
      <w:r>
        <w:t>T</w:t>
      </w:r>
      <w:r w:rsidR="00291303">
        <w:t>he Performance Story</w:t>
      </w:r>
      <w:bookmarkEnd w:id="43"/>
    </w:p>
    <w:p w14:paraId="2DEDF535" w14:textId="77777777" w:rsidR="004B032B" w:rsidRPr="00686DCB" w:rsidRDefault="008E6E03" w:rsidP="00686DCB">
      <w:pPr>
        <w:pStyle w:val="SDANumberedheading2"/>
        <w:ind w:left="709" w:hanging="709"/>
      </w:pPr>
      <w:bookmarkStart w:id="44" w:name="_Toc486247208"/>
      <w:r>
        <w:t>Introduction</w:t>
      </w:r>
      <w:bookmarkEnd w:id="44"/>
    </w:p>
    <w:p w14:paraId="1CE4AF8C" w14:textId="77777777" w:rsidR="00686DCB" w:rsidRPr="001C3654" w:rsidRDefault="007B3018" w:rsidP="00AB0684">
      <w:pPr>
        <w:spacing w:before="120"/>
        <w:outlineLvl w:val="1"/>
        <w:rPr>
          <w:rFonts w:eastAsia="Calibri" w:cs="Times New Roman"/>
        </w:rPr>
      </w:pPr>
      <w:r w:rsidRPr="001C3654">
        <w:rPr>
          <w:rFonts w:eastAsia="Calibri" w:cs="Times New Roman"/>
          <w:b/>
        </w:rPr>
        <w:t xml:space="preserve">Overall, </w:t>
      </w:r>
      <w:r w:rsidR="00686DCB" w:rsidRPr="001C3654">
        <w:rPr>
          <w:rFonts w:eastAsia="Calibri" w:cs="Times New Roman"/>
          <w:b/>
        </w:rPr>
        <w:t>PLP3 scores well for relevance, with mixed results in terms of effectiveness.</w:t>
      </w:r>
      <w:r w:rsidR="00686DCB" w:rsidRPr="001C3654">
        <w:rPr>
          <w:rFonts w:eastAsia="Calibri" w:cs="Times New Roman"/>
        </w:rPr>
        <w:t xml:space="preserve">  The PLP approach remains highly relevant to DFAT and the Pacific region, especially when con</w:t>
      </w:r>
      <w:r w:rsidR="00A3345C" w:rsidRPr="001C3654">
        <w:rPr>
          <w:rFonts w:eastAsia="Calibri" w:cs="Times New Roman"/>
        </w:rPr>
        <w:t>ceived as a tool for innovation.</w:t>
      </w:r>
      <w:r w:rsidR="004D5051" w:rsidRPr="001C3654">
        <w:rPr>
          <w:rFonts w:eastAsia="Calibri" w:cs="Times New Roman"/>
        </w:rPr>
        <w:t xml:space="preserve">  PLP's effectiveness has been mixed </w:t>
      </w:r>
      <w:r w:rsidR="003F1D04" w:rsidRPr="001C3654">
        <w:rPr>
          <w:rFonts w:eastAsia="Calibri" w:cs="Times New Roman"/>
        </w:rPr>
        <w:t>during Phase 3</w:t>
      </w:r>
      <w:r w:rsidR="00686DCB" w:rsidRPr="001C3654">
        <w:rPr>
          <w:rFonts w:eastAsia="Calibri" w:cs="Times New Roman"/>
        </w:rPr>
        <w:t xml:space="preserve">.  It has supported </w:t>
      </w:r>
      <w:r w:rsidR="004131CE">
        <w:rPr>
          <w:rFonts w:eastAsia="Calibri" w:cs="Times New Roman"/>
        </w:rPr>
        <w:t>a number of</w:t>
      </w:r>
      <w:r w:rsidR="004131CE" w:rsidRPr="001C3654">
        <w:rPr>
          <w:rFonts w:eastAsia="Calibri" w:cs="Times New Roman"/>
        </w:rPr>
        <w:t xml:space="preserve"> </w:t>
      </w:r>
      <w:r w:rsidR="004131CE">
        <w:rPr>
          <w:rFonts w:eastAsia="Calibri" w:cs="Times New Roman"/>
        </w:rPr>
        <w:t>developmental</w:t>
      </w:r>
      <w:r w:rsidR="004131CE" w:rsidRPr="001C3654">
        <w:rPr>
          <w:rFonts w:eastAsia="Calibri" w:cs="Times New Roman"/>
        </w:rPr>
        <w:t xml:space="preserve"> </w:t>
      </w:r>
      <w:r w:rsidR="003F1D04" w:rsidRPr="001C3654">
        <w:rPr>
          <w:rFonts w:eastAsia="Calibri" w:cs="Times New Roman"/>
        </w:rPr>
        <w:t xml:space="preserve">coalitions, </w:t>
      </w:r>
      <w:r w:rsidR="008D2B37" w:rsidRPr="001C3654">
        <w:rPr>
          <w:rFonts w:eastAsia="Calibri" w:cs="Times New Roman"/>
        </w:rPr>
        <w:t xml:space="preserve">and can claim to have </w:t>
      </w:r>
      <w:r w:rsidR="004131CE">
        <w:rPr>
          <w:rFonts w:eastAsia="Calibri" w:cs="Times New Roman"/>
        </w:rPr>
        <w:t>contributed to</w:t>
      </w:r>
      <w:r w:rsidR="008D2B37" w:rsidRPr="001C3654">
        <w:rPr>
          <w:rFonts w:eastAsia="Calibri" w:cs="Times New Roman"/>
        </w:rPr>
        <w:t xml:space="preserve"> six </w:t>
      </w:r>
      <w:r w:rsidR="004D5051" w:rsidRPr="001C3654">
        <w:rPr>
          <w:rFonts w:eastAsia="Calibri" w:cs="Times New Roman"/>
        </w:rPr>
        <w:t xml:space="preserve">identifiable </w:t>
      </w:r>
      <w:r w:rsidR="008D2B37" w:rsidRPr="001C3654">
        <w:rPr>
          <w:rFonts w:eastAsia="Calibri" w:cs="Times New Roman"/>
        </w:rPr>
        <w:t>policy and institution</w:t>
      </w:r>
      <w:r w:rsidR="004D5051" w:rsidRPr="001C3654">
        <w:rPr>
          <w:rFonts w:eastAsia="Calibri" w:cs="Times New Roman"/>
        </w:rPr>
        <w:t>al changes.</w:t>
      </w:r>
      <w:r w:rsidR="008D2B37" w:rsidRPr="001C3654">
        <w:rPr>
          <w:rStyle w:val="FootnoteReference"/>
          <w:rFonts w:eastAsia="Calibri" w:cs="Times New Roman"/>
        </w:rPr>
        <w:footnoteReference w:id="52"/>
      </w:r>
      <w:r w:rsidR="004D5051" w:rsidRPr="001C3654">
        <w:rPr>
          <w:rFonts w:eastAsia="Calibri" w:cs="Times New Roman"/>
        </w:rPr>
        <w:t xml:space="preserve"> </w:t>
      </w:r>
      <w:r w:rsidR="00A741A6" w:rsidRPr="001C3654">
        <w:rPr>
          <w:rFonts w:eastAsia="Calibri" w:cs="Times New Roman"/>
        </w:rPr>
        <w:t xml:space="preserve"> </w:t>
      </w:r>
      <w:r w:rsidR="004131CE">
        <w:rPr>
          <w:rFonts w:eastAsia="Calibri" w:cs="Times New Roman"/>
        </w:rPr>
        <w:t xml:space="preserve">As per the design, PLP3 has also heavily invested in generating knowledge. As one stakeholder observed: </w:t>
      </w:r>
      <w:r w:rsidR="004131CE" w:rsidRPr="001C6A65">
        <w:rPr>
          <w:i/>
        </w:rPr>
        <w:t>“I don’t see many other programs that are so committed to learning and generating knowledge”</w:t>
      </w:r>
      <w:r w:rsidR="004131CE">
        <w:rPr>
          <w:i/>
        </w:rPr>
        <w:t>.</w:t>
      </w:r>
      <w:r w:rsidR="008C793B">
        <w:rPr>
          <w:i/>
        </w:rPr>
        <w:t xml:space="preserve"> </w:t>
      </w:r>
      <w:r w:rsidR="004131CE">
        <w:rPr>
          <w:i/>
        </w:rPr>
        <w:t xml:space="preserve"> </w:t>
      </w:r>
      <w:r w:rsidR="004D5051" w:rsidRPr="001C3654">
        <w:rPr>
          <w:rFonts w:eastAsia="Calibri" w:cs="Times New Roman"/>
        </w:rPr>
        <w:t xml:space="preserve">However, </w:t>
      </w:r>
      <w:r w:rsidR="00686DCB" w:rsidRPr="001C3654">
        <w:rPr>
          <w:rFonts w:eastAsia="Calibri" w:cs="Times New Roman"/>
        </w:rPr>
        <w:t xml:space="preserve">the program has </w:t>
      </w:r>
      <w:r w:rsidR="004131CE">
        <w:rPr>
          <w:rFonts w:eastAsia="Calibri" w:cs="Times New Roman"/>
        </w:rPr>
        <w:t>had limited success</w:t>
      </w:r>
      <w:r w:rsidR="008C793B">
        <w:rPr>
          <w:rFonts w:eastAsia="Calibri" w:cs="Times New Roman"/>
        </w:rPr>
        <w:t xml:space="preserve"> </w:t>
      </w:r>
      <w:r w:rsidR="004131CE">
        <w:rPr>
          <w:rFonts w:eastAsia="Calibri" w:cs="Times New Roman"/>
        </w:rPr>
        <w:t>in</w:t>
      </w:r>
      <w:r w:rsidR="00686DCB" w:rsidRPr="001C3654">
        <w:rPr>
          <w:rFonts w:eastAsia="Calibri" w:cs="Times New Roman"/>
        </w:rPr>
        <w:t xml:space="preserve"> communicat</w:t>
      </w:r>
      <w:r w:rsidR="004131CE">
        <w:rPr>
          <w:rFonts w:eastAsia="Calibri" w:cs="Times New Roman"/>
        </w:rPr>
        <w:t>ing</w:t>
      </w:r>
      <w:r w:rsidR="00686DCB" w:rsidRPr="001C3654">
        <w:rPr>
          <w:rFonts w:eastAsia="Calibri" w:cs="Times New Roman"/>
        </w:rPr>
        <w:t xml:space="preserve"> what it has learned with sufficient influence</w:t>
      </w:r>
      <w:r w:rsidR="00253910" w:rsidRPr="001C3654">
        <w:rPr>
          <w:rFonts w:eastAsia="Calibri" w:cs="Times New Roman"/>
        </w:rPr>
        <w:t>,</w:t>
      </w:r>
      <w:r w:rsidR="003F1D04" w:rsidRPr="001C3654">
        <w:rPr>
          <w:rFonts w:eastAsia="Calibri" w:cs="Times New Roman"/>
        </w:rPr>
        <w:t xml:space="preserve"> </w:t>
      </w:r>
      <w:r w:rsidR="00A3345C" w:rsidRPr="001C3654">
        <w:rPr>
          <w:rFonts w:eastAsia="Calibri" w:cs="Times New Roman"/>
        </w:rPr>
        <w:t xml:space="preserve">especially to a </w:t>
      </w:r>
      <w:r w:rsidR="003F1D04" w:rsidRPr="001C3654">
        <w:rPr>
          <w:rFonts w:eastAsia="Calibri" w:cs="Times New Roman"/>
        </w:rPr>
        <w:t>DFAT</w:t>
      </w:r>
      <w:r w:rsidR="00A3345C" w:rsidRPr="001C3654">
        <w:rPr>
          <w:rFonts w:eastAsia="Calibri" w:cs="Times New Roman"/>
        </w:rPr>
        <w:t xml:space="preserve"> audience.</w:t>
      </w:r>
      <w:r w:rsidR="00686DCB" w:rsidRPr="001C3654">
        <w:rPr>
          <w:rFonts w:eastAsia="Calibri" w:cs="Times New Roman"/>
        </w:rPr>
        <w:t xml:space="preserve">  </w:t>
      </w:r>
    </w:p>
    <w:p w14:paraId="0C2F57AB" w14:textId="77777777" w:rsidR="00686DCB" w:rsidRPr="001C3654" w:rsidRDefault="007B3018" w:rsidP="00AB0684">
      <w:pPr>
        <w:spacing w:before="120"/>
        <w:rPr>
          <w:rFonts w:eastAsia="Calibri" w:cs="Times New Roman"/>
          <w:b/>
        </w:rPr>
      </w:pPr>
      <w:r w:rsidRPr="001C3654">
        <w:rPr>
          <w:rFonts w:eastAsia="Calibri" w:cs="Times New Roman"/>
          <w:b/>
        </w:rPr>
        <w:t xml:space="preserve">Understanding the operating context is critical to understanding the performance of PLP3. </w:t>
      </w:r>
      <w:r w:rsidR="004B032B" w:rsidRPr="001C3654">
        <w:rPr>
          <w:rFonts w:eastAsia="Calibri" w:cs="Times New Roman"/>
          <w:b/>
        </w:rPr>
        <w:t>PLP</w:t>
      </w:r>
      <w:r w:rsidR="0098356E" w:rsidRPr="001C3654">
        <w:rPr>
          <w:rFonts w:eastAsia="Calibri" w:cs="Times New Roman"/>
          <w:b/>
        </w:rPr>
        <w:t>3</w:t>
      </w:r>
      <w:r w:rsidR="004B032B" w:rsidRPr="001C3654">
        <w:rPr>
          <w:rFonts w:eastAsia="Calibri" w:cs="Times New Roman"/>
          <w:b/>
        </w:rPr>
        <w:t xml:space="preserve"> is operating in a significan</w:t>
      </w:r>
      <w:r w:rsidR="00A741A6" w:rsidRPr="001C3654">
        <w:rPr>
          <w:rFonts w:eastAsia="Calibri" w:cs="Times New Roman"/>
          <w:b/>
        </w:rPr>
        <w:t>tly different environment than p</w:t>
      </w:r>
      <w:r w:rsidR="004B032B" w:rsidRPr="001C3654">
        <w:rPr>
          <w:rFonts w:eastAsia="Calibri" w:cs="Times New Roman"/>
          <w:b/>
        </w:rPr>
        <w:t>hase 1 and 2</w:t>
      </w:r>
      <w:r w:rsidR="004B032B" w:rsidRPr="001C3654">
        <w:rPr>
          <w:rFonts w:eastAsia="Calibri" w:cs="Times New Roman"/>
        </w:rPr>
        <w:t xml:space="preserve"> and yet its design, delivery mechanisms and ambitions do not adequately reflect this changed context.</w:t>
      </w:r>
      <w:r w:rsidR="004625B0" w:rsidRPr="001C3654">
        <w:rPr>
          <w:rFonts w:eastAsia="Calibri" w:cs="Times New Roman"/>
        </w:rPr>
        <w:t xml:space="preserve"> </w:t>
      </w:r>
      <w:r w:rsidR="004B032B" w:rsidRPr="001C3654">
        <w:rPr>
          <w:rFonts w:eastAsia="Calibri" w:cs="Times New Roman"/>
        </w:rPr>
        <w:t xml:space="preserve"> In phase 3, </w:t>
      </w:r>
      <w:r w:rsidR="003F1D04" w:rsidRPr="001C3654">
        <w:rPr>
          <w:rFonts w:eastAsia="Calibri" w:cs="Times New Roman"/>
        </w:rPr>
        <w:t xml:space="preserve">a </w:t>
      </w:r>
      <w:r w:rsidR="00A3345C" w:rsidRPr="001C3654">
        <w:rPr>
          <w:rFonts w:eastAsia="Calibri" w:cs="Times New Roman"/>
        </w:rPr>
        <w:t>number</w:t>
      </w:r>
      <w:r w:rsidR="003F1D04" w:rsidRPr="001C3654">
        <w:rPr>
          <w:rFonts w:eastAsia="Calibri" w:cs="Times New Roman"/>
        </w:rPr>
        <w:t xml:space="preserve"> of internal and external factors have </w:t>
      </w:r>
      <w:r w:rsidR="00A3345C" w:rsidRPr="001C3654">
        <w:rPr>
          <w:rFonts w:eastAsia="Calibri" w:cs="Times New Roman"/>
        </w:rPr>
        <w:t xml:space="preserve">combined to restrict the effectiveness of </w:t>
      </w:r>
      <w:r w:rsidR="004D5051" w:rsidRPr="001C3654">
        <w:rPr>
          <w:rFonts w:eastAsia="Calibri" w:cs="Times New Roman"/>
        </w:rPr>
        <w:t xml:space="preserve">the </w:t>
      </w:r>
      <w:r w:rsidR="00A3345C" w:rsidRPr="001C3654">
        <w:rPr>
          <w:rFonts w:eastAsia="Calibri" w:cs="Times New Roman"/>
        </w:rPr>
        <w:t>program</w:t>
      </w:r>
      <w:r w:rsidR="003F1D04" w:rsidRPr="001C3654">
        <w:rPr>
          <w:rFonts w:eastAsia="Calibri" w:cs="Times New Roman"/>
        </w:rPr>
        <w:t xml:space="preserve">. </w:t>
      </w:r>
      <w:r w:rsidR="004D5051" w:rsidRPr="001C3654">
        <w:rPr>
          <w:rFonts w:eastAsia="Calibri" w:cs="Times New Roman"/>
        </w:rPr>
        <w:t>For example, o</w:t>
      </w:r>
      <w:r w:rsidR="003F1D04" w:rsidRPr="001C3654">
        <w:rPr>
          <w:rFonts w:eastAsia="Calibri" w:cs="Times New Roman"/>
        </w:rPr>
        <w:t xml:space="preserve">n the one hand, </w:t>
      </w:r>
      <w:r w:rsidR="004B032B" w:rsidRPr="001C3654">
        <w:rPr>
          <w:rFonts w:eastAsia="Calibri" w:cs="Times New Roman"/>
        </w:rPr>
        <w:t xml:space="preserve">DFAT has been </w:t>
      </w:r>
      <w:r w:rsidR="00A90ADD" w:rsidRPr="001C3654">
        <w:rPr>
          <w:rFonts w:eastAsia="Calibri" w:cs="Times New Roman"/>
        </w:rPr>
        <w:t>constrained in its ability</w:t>
      </w:r>
      <w:r w:rsidR="004B032B" w:rsidRPr="001C3654">
        <w:rPr>
          <w:rFonts w:eastAsia="Calibri" w:cs="Times New Roman"/>
        </w:rPr>
        <w:t xml:space="preserve"> to provide the enabling environment</w:t>
      </w:r>
      <w:r w:rsidR="004131CE">
        <w:rPr>
          <w:rStyle w:val="FootnoteReference"/>
          <w:rFonts w:eastAsia="Calibri" w:cs="Times New Roman"/>
        </w:rPr>
        <w:footnoteReference w:id="53"/>
      </w:r>
      <w:r w:rsidR="004B032B" w:rsidRPr="001C3654">
        <w:rPr>
          <w:rFonts w:eastAsia="Calibri" w:cs="Times New Roman"/>
        </w:rPr>
        <w:t xml:space="preserve"> which is critical to the effectiveness of programs like PLP that seek to be experimental,</w:t>
      </w:r>
      <w:r w:rsidR="003F1D04" w:rsidRPr="001C3654">
        <w:rPr>
          <w:rFonts w:eastAsia="Calibri" w:cs="Times New Roman"/>
        </w:rPr>
        <w:t xml:space="preserve"> adaptive and iterative. On the other hand</w:t>
      </w:r>
      <w:r w:rsidR="004B032B" w:rsidRPr="001C3654">
        <w:rPr>
          <w:rFonts w:eastAsia="Calibri" w:cs="Times New Roman"/>
        </w:rPr>
        <w:t xml:space="preserve">, the PLP3 team and its managing contractor appear not to have been able to successfully navigate this changed context in a way that would have </w:t>
      </w:r>
      <w:r w:rsidR="00A3345C" w:rsidRPr="001C3654">
        <w:rPr>
          <w:rFonts w:eastAsia="Calibri" w:cs="Times New Roman"/>
        </w:rPr>
        <w:t xml:space="preserve">better </w:t>
      </w:r>
      <w:r w:rsidR="004B032B" w:rsidRPr="001C3654">
        <w:rPr>
          <w:rFonts w:eastAsia="Calibri" w:cs="Times New Roman"/>
        </w:rPr>
        <w:t>supported</w:t>
      </w:r>
      <w:r w:rsidR="00A3345C" w:rsidRPr="001C3654">
        <w:rPr>
          <w:rFonts w:eastAsia="Calibri" w:cs="Times New Roman"/>
        </w:rPr>
        <w:t xml:space="preserve"> the effectiveness</w:t>
      </w:r>
      <w:r w:rsidR="004B032B" w:rsidRPr="001C3654">
        <w:rPr>
          <w:rFonts w:eastAsia="Calibri" w:cs="Times New Roman"/>
        </w:rPr>
        <w:t xml:space="preserve"> of PLP3. </w:t>
      </w:r>
    </w:p>
    <w:p w14:paraId="0F42EB61" w14:textId="77777777" w:rsidR="004B032B" w:rsidRPr="001C3654" w:rsidRDefault="0098356E" w:rsidP="00AB0684">
      <w:pPr>
        <w:spacing w:before="120"/>
        <w:contextualSpacing/>
        <w:rPr>
          <w:rFonts w:eastAsia="Calibri" w:cs="Times New Roman"/>
          <w:b/>
        </w:rPr>
      </w:pPr>
      <w:r w:rsidRPr="001C3654">
        <w:rPr>
          <w:rFonts w:eastAsia="Calibri" w:cs="Times New Roman"/>
          <w:b/>
        </w:rPr>
        <w:t>A</w:t>
      </w:r>
      <w:r w:rsidR="00A3345C" w:rsidRPr="001C3654">
        <w:rPr>
          <w:rFonts w:eastAsia="Calibri" w:cs="Times New Roman"/>
          <w:b/>
        </w:rPr>
        <w:t xml:space="preserve"> range of factors that, with the benefit of hindsight, can be seen to have</w:t>
      </w:r>
      <w:r w:rsidR="004B032B" w:rsidRPr="001C3654">
        <w:rPr>
          <w:rFonts w:eastAsia="Calibri" w:cs="Times New Roman"/>
          <w:b/>
        </w:rPr>
        <w:t xml:space="preserve"> constrained the way in which PLP3 has been able to operate</w:t>
      </w:r>
      <w:r w:rsidR="004B032B" w:rsidRPr="001C3654">
        <w:rPr>
          <w:rFonts w:eastAsia="Calibri" w:cs="Times New Roman"/>
        </w:rPr>
        <w:t xml:space="preserve"> include:</w:t>
      </w:r>
    </w:p>
    <w:p w14:paraId="154C9AD1" w14:textId="77777777" w:rsidR="00D36748" w:rsidRPr="004131CE" w:rsidRDefault="00D36748" w:rsidP="00D36748">
      <w:pPr>
        <w:pStyle w:val="SDAbulletpoints"/>
        <w:numPr>
          <w:ilvl w:val="0"/>
          <w:numId w:val="10"/>
        </w:numPr>
      </w:pPr>
      <w:r w:rsidRPr="006F723E">
        <w:rPr>
          <w:rFonts w:eastAsia="Calibri" w:cs="Times New Roman"/>
        </w:rPr>
        <w:t>T</w:t>
      </w:r>
      <w:r w:rsidRPr="004131CE">
        <w:t>he design of PLP3 did not include co-location of DFAT staff within the PLP team, as it did in phase 1 and 2, moving it to a purely managing contractor modality</w:t>
      </w:r>
    </w:p>
    <w:p w14:paraId="36DC0EB5" w14:textId="77777777" w:rsidR="00D36748" w:rsidRPr="00CD7569" w:rsidRDefault="00D36748" w:rsidP="00D36748">
      <w:pPr>
        <w:pStyle w:val="SDAbulletpoints"/>
        <w:numPr>
          <w:ilvl w:val="0"/>
          <w:numId w:val="10"/>
        </w:numPr>
      </w:pPr>
      <w:r w:rsidRPr="004131CE">
        <w:t>With DFAT-AusAID integration, the role of the DFAT Suva Post changed in regard to regional programs, with overall strategic direction returning to DFAT Canberra</w:t>
      </w:r>
      <w:r w:rsidR="008C793B">
        <w:t>,</w:t>
      </w:r>
      <w:r w:rsidRPr="004131CE">
        <w:t xml:space="preserve"> and HOMs in the Pacific assuming responsibility for </w:t>
      </w:r>
      <w:r w:rsidRPr="00CD7569">
        <w:t>bilateral development programs in their respective countries</w:t>
      </w:r>
    </w:p>
    <w:p w14:paraId="332CF3DF" w14:textId="77777777" w:rsidR="00D36748" w:rsidRPr="00E96E53" w:rsidRDefault="00D36748" w:rsidP="00D36748">
      <w:pPr>
        <w:pStyle w:val="SDAbulletpoints"/>
        <w:numPr>
          <w:ilvl w:val="0"/>
          <w:numId w:val="10"/>
        </w:numPr>
      </w:pPr>
      <w:r w:rsidRPr="00CE099E">
        <w:t xml:space="preserve">Reduced </w:t>
      </w:r>
      <w:r w:rsidRPr="00E96E53">
        <w:t xml:space="preserve">senior executive resources at DFAT Suva Post </w:t>
      </w:r>
    </w:p>
    <w:p w14:paraId="5E947BBD" w14:textId="77777777" w:rsidR="00D36748" w:rsidRPr="006F723E" w:rsidRDefault="00D36748" w:rsidP="00D36748">
      <w:pPr>
        <w:pStyle w:val="SDAbulletpoints"/>
        <w:numPr>
          <w:ilvl w:val="0"/>
          <w:numId w:val="10"/>
        </w:numPr>
      </w:pPr>
      <w:r w:rsidRPr="00E96E53">
        <w:t>A high level of on-going uncertainty in relation to the program, its budget and its leadership (including the death</w:t>
      </w:r>
      <w:r w:rsidRPr="00401A35">
        <w:t xml:space="preserve"> of PLP’s deputy team leader ear</w:t>
      </w:r>
      <w:r w:rsidRPr="006F723E">
        <w:t>ly in phase 3, and the failure to replace the deputy team leader and recruit an influential Pacific Islander as team leader, although two attempts were made to do so)</w:t>
      </w:r>
    </w:p>
    <w:p w14:paraId="015BF7AD" w14:textId="77777777" w:rsidR="00D36748" w:rsidRDefault="00D36748" w:rsidP="00D36748">
      <w:pPr>
        <w:pStyle w:val="SDAbulletpoints"/>
        <w:numPr>
          <w:ilvl w:val="0"/>
          <w:numId w:val="10"/>
        </w:numPr>
      </w:pPr>
      <w:r w:rsidRPr="006F723E">
        <w:t xml:space="preserve">Loss of PLP ‘champions’ within DFAT Canberra able to articulate the program’s value </w:t>
      </w:r>
    </w:p>
    <w:p w14:paraId="40395E8C" w14:textId="5B2F30F2" w:rsidR="00AD2064" w:rsidRPr="006F723E" w:rsidRDefault="00AC77B7" w:rsidP="001C3654">
      <w:pPr>
        <w:pStyle w:val="SDAbulletpoints"/>
        <w:numPr>
          <w:ilvl w:val="0"/>
          <w:numId w:val="0"/>
        </w:numPr>
      </w:pPr>
      <w:r>
        <w:t>The</w:t>
      </w:r>
      <w:r w:rsidR="00AD2064">
        <w:t xml:space="preserve"> assessment </w:t>
      </w:r>
      <w:r>
        <w:t xml:space="preserve">that follows </w:t>
      </w:r>
      <w:r w:rsidR="00AD2064">
        <w:t xml:space="preserve">groups </w:t>
      </w:r>
      <w:r w:rsidR="00AB0684">
        <w:t>r</w:t>
      </w:r>
      <w:r w:rsidR="00400965">
        <w:t xml:space="preserve">esult </w:t>
      </w:r>
      <w:r w:rsidR="00AB0684">
        <w:t>s</w:t>
      </w:r>
      <w:r w:rsidR="00400965">
        <w:t>treams 1 and 4 together, as they both relate to generating and</w:t>
      </w:r>
      <w:r w:rsidR="00AB0684">
        <w:t xml:space="preserve"> sharing knowledge.  It groups r</w:t>
      </w:r>
      <w:r w:rsidR="00400965">
        <w:t xml:space="preserve">esult </w:t>
      </w:r>
      <w:r w:rsidR="00AB0684">
        <w:t>s</w:t>
      </w:r>
      <w:r w:rsidR="00400965">
        <w:t>treams 2 and 3 together, as they both relate to supporting collective action in pursuit of policy and institutional changes.</w:t>
      </w:r>
    </w:p>
    <w:p w14:paraId="73ECEB43" w14:textId="77777777" w:rsidR="005D4060" w:rsidRDefault="005D4060" w:rsidP="005D4060">
      <w:pPr>
        <w:pStyle w:val="SDANumberedheading2"/>
        <w:ind w:left="709" w:hanging="709"/>
      </w:pPr>
      <w:bookmarkStart w:id="45" w:name="_Toc486247209"/>
      <w:r>
        <w:t xml:space="preserve">Relevance to the Australian Government and the Pacific </w:t>
      </w:r>
      <w:r w:rsidR="00845CA7">
        <w:t>Region</w:t>
      </w:r>
      <w:bookmarkEnd w:id="45"/>
    </w:p>
    <w:p w14:paraId="630A5CCD" w14:textId="77777777" w:rsidR="00246076" w:rsidRPr="001C3654" w:rsidRDefault="00246076" w:rsidP="00AB0684">
      <w:pPr>
        <w:spacing w:before="120"/>
        <w:rPr>
          <w:rFonts w:eastAsia="Calibri" w:cs="Times New Roman"/>
        </w:rPr>
      </w:pPr>
      <w:r w:rsidRPr="001C3654">
        <w:rPr>
          <w:rFonts w:eastAsia="Calibri" w:cs="Times New Roman"/>
          <w:b/>
        </w:rPr>
        <w:t>Supporting positive change led by Pacific Island people and coalitions remains highly relevant to Australia's foreign policy and development priorities.</w:t>
      </w:r>
      <w:r w:rsidR="00AA5158" w:rsidRPr="001C3654">
        <w:rPr>
          <w:rFonts w:eastAsia="Calibri" w:cs="Times New Roman"/>
          <w:b/>
        </w:rPr>
        <w:t xml:space="preserve">  </w:t>
      </w:r>
      <w:r w:rsidRPr="001C3654">
        <w:rPr>
          <w:rFonts w:eastAsia="Calibri" w:cs="Times New Roman"/>
        </w:rPr>
        <w:t>If we understand Australia’s national interests in the Pacific to be to support change which will promote stability, effective governance and inclusive economic growth, then the focus of PLP</w:t>
      </w:r>
      <w:r w:rsidR="007B3018" w:rsidRPr="001C3654">
        <w:rPr>
          <w:rFonts w:eastAsia="Calibri" w:cs="Times New Roman"/>
        </w:rPr>
        <w:t>3</w:t>
      </w:r>
      <w:r w:rsidRPr="001C3654">
        <w:rPr>
          <w:rFonts w:eastAsia="Calibri" w:cs="Times New Roman"/>
        </w:rPr>
        <w:t xml:space="preserve"> on developmental leadership is still relevant, as one tool among others.</w:t>
      </w:r>
      <w:r w:rsidR="007B3018" w:rsidRPr="001C3654">
        <w:rPr>
          <w:rStyle w:val="FootnoteReference"/>
          <w:rFonts w:eastAsia="Calibri" w:cs="Times New Roman"/>
        </w:rPr>
        <w:footnoteReference w:id="54"/>
      </w:r>
      <w:r w:rsidRPr="001C3654">
        <w:rPr>
          <w:rFonts w:eastAsia="Calibri" w:cs="Times New Roman"/>
        </w:rPr>
        <w:t xml:space="preserve">  PLP3’s priority areas of women’s leadership and its long-term support to peak private sector bodies (i.e. PIPSO and national level chambers of commerce) are well aligned with the Australian Government’s highest aid priorities. PLP’s long-term focus on youth, and youth employment, also represent a recognised critical developmen</w:t>
      </w:r>
      <w:r w:rsidR="00A741A6" w:rsidRPr="001C3654">
        <w:rPr>
          <w:rFonts w:eastAsia="Calibri" w:cs="Times New Roman"/>
        </w:rPr>
        <w:t>t challenge for the Pacific</w:t>
      </w:r>
      <w:r w:rsidRPr="001C3654">
        <w:rPr>
          <w:rFonts w:eastAsia="Calibri" w:cs="Times New Roman"/>
        </w:rPr>
        <w:t xml:space="preserve">.  </w:t>
      </w:r>
    </w:p>
    <w:p w14:paraId="1F97213B" w14:textId="77777777" w:rsidR="00246076" w:rsidRPr="001C3654" w:rsidRDefault="004D5051" w:rsidP="00AB0684">
      <w:pPr>
        <w:spacing w:before="120"/>
        <w:rPr>
          <w:rFonts w:eastAsia="Calibri" w:cs="Times New Roman"/>
        </w:rPr>
      </w:pPr>
      <w:r w:rsidRPr="001C3654">
        <w:rPr>
          <w:b/>
        </w:rPr>
        <w:t>It i</w:t>
      </w:r>
      <w:r w:rsidR="00246076" w:rsidRPr="001C3654">
        <w:rPr>
          <w:b/>
        </w:rPr>
        <w:t>s in Australia’s national interest for its work in the Pacific to be informed by a deep understanding of context and of how change occurs</w:t>
      </w:r>
      <w:r w:rsidR="00246076" w:rsidRPr="001C3654">
        <w:t xml:space="preserve">. </w:t>
      </w:r>
      <w:r w:rsidRPr="001C3654">
        <w:t xml:space="preserve">DFAT staff </w:t>
      </w:r>
      <w:r w:rsidR="00246076" w:rsidRPr="001C3654">
        <w:t xml:space="preserve">know that development (and change, especially transformational change) is an inherently political process. Australia’s aid policy, </w:t>
      </w:r>
      <w:r w:rsidR="00246076" w:rsidRPr="001C3654">
        <w:rPr>
          <w:i/>
        </w:rPr>
        <w:t>Effective Aid</w:t>
      </w:r>
      <w:r w:rsidR="00246076" w:rsidRPr="001C3654">
        <w:t xml:space="preserve"> recognises that aid alone cannot solve the problems of development.  External parties, no matter how large their wallets, cannot create sustainable change on their own.  Consequently, "developing country policies and institutions need to lead".</w:t>
      </w:r>
      <w:r w:rsidR="00246076" w:rsidRPr="001C3654">
        <w:rPr>
          <w:rStyle w:val="FootnoteReference"/>
        </w:rPr>
        <w:footnoteReference w:id="55"/>
      </w:r>
      <w:r w:rsidR="00246076" w:rsidRPr="001C3654">
        <w:t xml:space="preserve">  This emphasis on locally-driven development is in line with Australia's international commitments</w:t>
      </w:r>
      <w:r w:rsidR="00246076" w:rsidRPr="001C3654">
        <w:rPr>
          <w:rStyle w:val="FootnoteReference"/>
        </w:rPr>
        <w:footnoteReference w:id="56"/>
      </w:r>
      <w:r w:rsidR="00246076" w:rsidRPr="001C3654">
        <w:t>, and is widely supported by international research and evidence</w:t>
      </w:r>
      <w:r w:rsidR="00246076" w:rsidRPr="001C3654">
        <w:rPr>
          <w:rFonts w:eastAsia="Calibri" w:cs="Times New Roman"/>
        </w:rPr>
        <w:t>.</w:t>
      </w:r>
      <w:r w:rsidR="00246076" w:rsidRPr="001C3654">
        <w:rPr>
          <w:rStyle w:val="FootnoteReference"/>
        </w:rPr>
        <w:footnoteReference w:id="57"/>
      </w:r>
    </w:p>
    <w:p w14:paraId="03E29879" w14:textId="54FBAA90" w:rsidR="009A7A1A" w:rsidRPr="001C3654" w:rsidRDefault="009A7A1A" w:rsidP="00615E40">
      <w:pPr>
        <w:spacing w:before="120"/>
        <w:rPr>
          <w:rFonts w:eastAsia="Calibri" w:cs="Times New Roman"/>
        </w:rPr>
      </w:pPr>
      <w:r w:rsidRPr="001C3654">
        <w:rPr>
          <w:rFonts w:eastAsia="Calibri" w:cs="Times New Roman"/>
          <w:b/>
        </w:rPr>
        <w:t xml:space="preserve">PLP has provided space for experimentation, learning and innovation around how Australia can support developmental leadership and coalitions for change in the Pacific. </w:t>
      </w:r>
      <w:r w:rsidR="00AA5158" w:rsidRPr="001C3654">
        <w:rPr>
          <w:rFonts w:eastAsia="Calibri" w:cs="Times New Roman"/>
          <w:b/>
        </w:rPr>
        <w:t xml:space="preserve"> </w:t>
      </w:r>
      <w:r w:rsidRPr="001C3654">
        <w:t>PLP was established to trial new methods of supporting locally-driven positive change in the Pacific</w:t>
      </w:r>
      <w:r w:rsidR="007B3018" w:rsidRPr="001C3654">
        <w:t xml:space="preserve"> region</w:t>
      </w:r>
      <w:r w:rsidRPr="001C3654">
        <w:t xml:space="preserve">.  Australia's aid policy, </w:t>
      </w:r>
      <w:r w:rsidRPr="001C3654">
        <w:rPr>
          <w:i/>
        </w:rPr>
        <w:t>Effective Aid</w:t>
      </w:r>
      <w:r w:rsidRPr="001C3654">
        <w:t>,</w:t>
      </w:r>
      <w:r w:rsidRPr="001C3654">
        <w:rPr>
          <w:i/>
        </w:rPr>
        <w:t xml:space="preserve"> </w:t>
      </w:r>
      <w:r w:rsidRPr="001C3654">
        <w:t>highlights the need for innovation in the way that aid is delivered – experimenting with new partners</w:t>
      </w:r>
      <w:r w:rsidR="00BB6CE2">
        <w:t>hips and new approaches</w:t>
      </w:r>
      <w:r w:rsidRPr="001C3654">
        <w:t xml:space="preserve"> to find new ideas in pursuit of solutions to entrenched development problems.</w:t>
      </w:r>
      <w:r w:rsidRPr="001C3654">
        <w:rPr>
          <w:rStyle w:val="FootnoteReference"/>
        </w:rPr>
        <w:footnoteReference w:id="58"/>
      </w:r>
      <w:r w:rsidRPr="001C3654">
        <w:t xml:space="preserve">  PLP's approach emphasises investment in understanding the politics, power dynamics and incentives of leaders in development-related decision-making.  </w:t>
      </w:r>
      <w:r w:rsidRPr="001C3654">
        <w:rPr>
          <w:rFonts w:eastAsia="Calibri" w:cs="Times New Roman"/>
        </w:rPr>
        <w:t>PLP</w:t>
      </w:r>
      <w:r w:rsidR="007B3018" w:rsidRPr="001C3654">
        <w:rPr>
          <w:rFonts w:eastAsia="Calibri" w:cs="Times New Roman"/>
        </w:rPr>
        <w:t>3</w:t>
      </w:r>
      <w:r w:rsidRPr="001C3654">
        <w:rPr>
          <w:rFonts w:eastAsia="Calibri" w:cs="Times New Roman"/>
        </w:rPr>
        <w:t xml:space="preserve"> – and its portfolio of investments and engagements </w:t>
      </w:r>
      <w:r w:rsidR="00A741A6" w:rsidRPr="001C3654">
        <w:rPr>
          <w:rFonts w:eastAsia="Calibri" w:cs="Times New Roman"/>
        </w:rPr>
        <w:t xml:space="preserve">– </w:t>
      </w:r>
      <w:r w:rsidRPr="001C3654">
        <w:rPr>
          <w:rFonts w:eastAsia="Calibri" w:cs="Times New Roman"/>
        </w:rPr>
        <w:t xml:space="preserve">is an example of innovation in the governance space.  </w:t>
      </w:r>
    </w:p>
    <w:p w14:paraId="27000ABD" w14:textId="77777777" w:rsidR="00AA5158" w:rsidRPr="001C3654" w:rsidRDefault="009A7A1A" w:rsidP="00615E40">
      <w:pPr>
        <w:spacing w:before="120"/>
      </w:pPr>
      <w:r w:rsidRPr="001C3654">
        <w:rPr>
          <w:rFonts w:eastAsia="Calibri" w:cs="Times New Roman"/>
          <w:b/>
        </w:rPr>
        <w:t>This type of work takes time: sustained commitment is required to achieve results.</w:t>
      </w:r>
      <w:r w:rsidR="00AA5158" w:rsidRPr="001C3654">
        <w:rPr>
          <w:rFonts w:eastAsia="Calibri" w:cs="Times New Roman"/>
          <w:b/>
        </w:rPr>
        <w:t xml:space="preserve">  </w:t>
      </w:r>
      <w:r w:rsidRPr="001C3654">
        <w:t>Lessons from</w:t>
      </w:r>
      <w:r w:rsidR="00901849" w:rsidRPr="001C3654">
        <w:t xml:space="preserve"> both</w:t>
      </w:r>
      <w:r w:rsidRPr="001C3654">
        <w:t xml:space="preserve"> international </w:t>
      </w:r>
      <w:r w:rsidR="00901849" w:rsidRPr="001C3654">
        <w:t xml:space="preserve">experience </w:t>
      </w:r>
      <w:r w:rsidR="00A3345C" w:rsidRPr="001C3654">
        <w:t xml:space="preserve">and Australia’s </w:t>
      </w:r>
      <w:r w:rsidR="00901849" w:rsidRPr="001C3654">
        <w:t>own development practice</w:t>
      </w:r>
      <w:r w:rsidRPr="001C3654">
        <w:t xml:space="preserve"> suggest the need for long-term strategies (in the order of 10-20 years).</w:t>
      </w:r>
      <w:r w:rsidRPr="001C3654">
        <w:rPr>
          <w:rStyle w:val="FootnoteReference"/>
        </w:rPr>
        <w:footnoteReference w:id="59"/>
      </w:r>
      <w:r w:rsidRPr="006F723E">
        <w:t xml:space="preserve"> </w:t>
      </w:r>
      <w:r w:rsidRPr="001C3654">
        <w:rPr>
          <w:rFonts w:eastAsia="Calibri" w:cs="Times New Roman"/>
          <w:b/>
        </w:rPr>
        <w:t xml:space="preserve"> </w:t>
      </w:r>
      <w:r w:rsidRPr="001C3654">
        <w:t>Australia is likely to be an aid donor to the Pacific for some time, and so has a strong interest in generating evidence through experimentation for how to make aid programs more effective. Not all aid to the Pacific region should be experimental, but providing some space for experimentation and long-term learning is</w:t>
      </w:r>
      <w:r w:rsidR="00253910" w:rsidRPr="001C3654">
        <w:t xml:space="preserve"> </w:t>
      </w:r>
      <w:r w:rsidRPr="001C3654">
        <w:t>valuable.  In this regard, PLP and its 'developmental leadership' approach may be seen as a risk mitigation tool – hedging against the risk that investments in more conventional aid approaches prove ineffective or underwhelming.</w:t>
      </w:r>
    </w:p>
    <w:p w14:paraId="47A8B1A7" w14:textId="43E52AEA" w:rsidR="00CF00F6" w:rsidRPr="001C3654" w:rsidRDefault="009A7A1A" w:rsidP="00615E40">
      <w:pPr>
        <w:spacing w:before="120"/>
      </w:pPr>
      <w:r w:rsidRPr="001C3654">
        <w:rPr>
          <w:b/>
        </w:rPr>
        <w:t xml:space="preserve">One way to understand </w:t>
      </w:r>
      <w:r w:rsidR="007B3018" w:rsidRPr="001C3654">
        <w:rPr>
          <w:b/>
        </w:rPr>
        <w:t>PLP3’s</w:t>
      </w:r>
      <w:r w:rsidRPr="001C3654">
        <w:rPr>
          <w:b/>
        </w:rPr>
        <w:t xml:space="preserve"> approach </w:t>
      </w:r>
      <w:r w:rsidR="00A405BF">
        <w:rPr>
          <w:b/>
        </w:rPr>
        <w:t xml:space="preserve">at the activity level </w:t>
      </w:r>
      <w:r w:rsidRPr="001C3654">
        <w:rPr>
          <w:b/>
        </w:rPr>
        <w:t xml:space="preserve">is to think about </w:t>
      </w:r>
      <w:r w:rsidR="007B3018" w:rsidRPr="001C3654">
        <w:rPr>
          <w:b/>
        </w:rPr>
        <w:t>its</w:t>
      </w:r>
      <w:r w:rsidR="00A741A6" w:rsidRPr="001C3654">
        <w:rPr>
          <w:b/>
        </w:rPr>
        <w:t xml:space="preserve"> investments as a number of </w:t>
      </w:r>
      <w:r w:rsidRPr="001C3654">
        <w:rPr>
          <w:b/>
        </w:rPr>
        <w:t xml:space="preserve">small </w:t>
      </w:r>
      <w:r w:rsidR="00A741A6" w:rsidRPr="001C3654">
        <w:rPr>
          <w:b/>
        </w:rPr>
        <w:t>‘</w:t>
      </w:r>
      <w:r w:rsidRPr="001C3654">
        <w:rPr>
          <w:b/>
        </w:rPr>
        <w:t>bets’, with some ‘bets’ producing ‘better dividends’ than others.</w:t>
      </w:r>
      <w:r w:rsidRPr="001C3654">
        <w:t xml:space="preserve">  It takes time to determine which </w:t>
      </w:r>
      <w:r w:rsidR="00A741A6" w:rsidRPr="001C3654">
        <w:t>investments</w:t>
      </w:r>
      <w:r w:rsidRPr="001C3654">
        <w:t xml:space="preserve"> are producing the best </w:t>
      </w:r>
      <w:r w:rsidR="00A741A6" w:rsidRPr="001C3654">
        <w:t>value</w:t>
      </w:r>
      <w:r w:rsidRPr="001C3654">
        <w:t xml:space="preserve">. </w:t>
      </w:r>
      <w:r w:rsidR="00A741A6" w:rsidRPr="001C3654">
        <w:t xml:space="preserve">And what is ‘of value’ can be different to different stakeholders. </w:t>
      </w:r>
      <w:r w:rsidR="00CF00F6" w:rsidRPr="001C3654">
        <w:t>It is also important to note that r</w:t>
      </w:r>
      <w:r w:rsidR="00901849" w:rsidRPr="001C3654">
        <w:t xml:space="preserve">esults achieved in PLP3 often build on relationships and support </w:t>
      </w:r>
      <w:r w:rsidR="00CF00F6" w:rsidRPr="001C3654">
        <w:t>provided</w:t>
      </w:r>
      <w:r w:rsidR="007B3018" w:rsidRPr="001C3654">
        <w:t xml:space="preserve"> during p</w:t>
      </w:r>
      <w:r w:rsidR="00901849" w:rsidRPr="001C3654">
        <w:t>hase</w:t>
      </w:r>
      <w:r w:rsidR="00725C90">
        <w:t>s</w:t>
      </w:r>
      <w:r w:rsidR="00901849" w:rsidRPr="001C3654">
        <w:t xml:space="preserve"> 1 an</w:t>
      </w:r>
      <w:r w:rsidR="00CF00F6" w:rsidRPr="001C3654">
        <w:t>d 2. Significantly, PLP</w:t>
      </w:r>
      <w:r w:rsidR="00901849" w:rsidRPr="001C3654">
        <w:t xml:space="preserve"> invested in very small (almost </w:t>
      </w:r>
      <w:r w:rsidR="00CF00F6" w:rsidRPr="001C3654">
        <w:t>fledgling</w:t>
      </w:r>
      <w:r w:rsidR="00B70D2C" w:rsidRPr="001C3654">
        <w:t>)</w:t>
      </w:r>
      <w:r w:rsidR="00CF00F6" w:rsidRPr="001C3654">
        <w:t xml:space="preserve"> organisations</w:t>
      </w:r>
      <w:r w:rsidR="00901849" w:rsidRPr="001C3654">
        <w:t xml:space="preserve"> and help</w:t>
      </w:r>
      <w:r w:rsidR="00CF00F6" w:rsidRPr="001C3654">
        <w:t>ed</w:t>
      </w:r>
      <w:r w:rsidR="00901849" w:rsidRPr="001C3654">
        <w:t xml:space="preserve"> to build their capacity, enabling them to operate in ways which </w:t>
      </w:r>
      <w:r w:rsidR="00CF00F6" w:rsidRPr="001C3654">
        <w:t>contributed</w:t>
      </w:r>
      <w:r w:rsidR="00901849" w:rsidRPr="001C3654">
        <w:t xml:space="preserve"> strongly to each organisations’ obje</w:t>
      </w:r>
      <w:r w:rsidR="00CF00F6" w:rsidRPr="001C3654">
        <w:t>ctives and leveraged</w:t>
      </w:r>
      <w:r w:rsidR="00901849" w:rsidRPr="001C3654">
        <w:t xml:space="preserve"> other funding (i.e. PIPSO; TNYC; TCCI; SCCI; etc).</w:t>
      </w:r>
      <w:r w:rsidR="00CD7569">
        <w:rPr>
          <w:rStyle w:val="FootnoteReference"/>
        </w:rPr>
        <w:footnoteReference w:id="60"/>
      </w:r>
      <w:r w:rsidR="00CF00F6" w:rsidRPr="001C3654">
        <w:t xml:space="preserve"> </w:t>
      </w:r>
      <w:r w:rsidR="00A405BF">
        <w:t xml:space="preserve"> </w:t>
      </w:r>
      <w:r w:rsidR="008766B7" w:rsidRPr="001C3654">
        <w:t>PLP3 ha</w:t>
      </w:r>
      <w:r w:rsidR="00F07DD1" w:rsidRPr="001C3654">
        <w:t xml:space="preserve">s </w:t>
      </w:r>
      <w:r w:rsidR="00901849" w:rsidRPr="001C3654">
        <w:t xml:space="preserve">also </w:t>
      </w:r>
      <w:r w:rsidR="00F07DD1" w:rsidRPr="001C3654">
        <w:t>demonstrated that it can withdraw from</w:t>
      </w:r>
      <w:r w:rsidR="008766B7" w:rsidRPr="001C3654">
        <w:t xml:space="preserve"> partners, having ceased invo</w:t>
      </w:r>
      <w:r w:rsidR="00F07DD1" w:rsidRPr="001C3654">
        <w:t>lvement</w:t>
      </w:r>
      <w:r w:rsidR="0098356E" w:rsidRPr="001C3654">
        <w:t xml:space="preserve"> with three partners during </w:t>
      </w:r>
      <w:r w:rsidR="007B3018" w:rsidRPr="001C3654">
        <w:t>p</w:t>
      </w:r>
      <w:r w:rsidR="008766B7" w:rsidRPr="001C3654">
        <w:t>hase 3.</w:t>
      </w:r>
      <w:r w:rsidR="008766B7" w:rsidRPr="001C3654">
        <w:rPr>
          <w:rStyle w:val="FootnoteReference"/>
        </w:rPr>
        <w:footnoteReference w:id="61"/>
      </w:r>
      <w:r w:rsidR="008766B7" w:rsidRPr="001C3654">
        <w:t xml:space="preserve">  </w:t>
      </w:r>
    </w:p>
    <w:p w14:paraId="2DB427F7" w14:textId="5EE14D4A" w:rsidR="00AA5158" w:rsidRPr="001C3654" w:rsidRDefault="009A7A1A" w:rsidP="00615E40">
      <w:pPr>
        <w:spacing w:before="120"/>
      </w:pPr>
      <w:r w:rsidRPr="001C3654">
        <w:rPr>
          <w:b/>
        </w:rPr>
        <w:t>Australia has a broader interest in understanding the dynamics of how change happens in the Pacific</w:t>
      </w:r>
      <w:r w:rsidRPr="001C3654">
        <w:t>, and what locally-generated solutions to development problems look like in the region. The</w:t>
      </w:r>
      <w:r w:rsidR="00144358">
        <w:t xml:space="preserve"> publication of some key research pieces</w:t>
      </w:r>
      <w:r w:rsidR="00144358">
        <w:rPr>
          <w:rStyle w:val="FootnoteReference"/>
        </w:rPr>
        <w:footnoteReference w:id="62"/>
      </w:r>
      <w:r w:rsidR="00144358">
        <w:t xml:space="preserve"> </w:t>
      </w:r>
      <w:r w:rsidR="00A340B2">
        <w:t>demonstrates PLP</w:t>
      </w:r>
      <w:r w:rsidR="00BB6CE2">
        <w:t>3</w:t>
      </w:r>
      <w:r w:rsidR="00A340B2">
        <w:t>'s ability to contribute to that understanding</w:t>
      </w:r>
      <w:r w:rsidRPr="001C3654">
        <w:t>.</w:t>
      </w:r>
      <w:r w:rsidR="00A741A6" w:rsidRPr="001C3654">
        <w:rPr>
          <w:rStyle w:val="FootnoteReference"/>
        </w:rPr>
        <w:footnoteReference w:id="63"/>
      </w:r>
      <w:r w:rsidRPr="001C3654">
        <w:t xml:space="preserve"> </w:t>
      </w:r>
    </w:p>
    <w:p w14:paraId="736DEF77" w14:textId="34F1323F" w:rsidR="00535765" w:rsidRPr="001C3654" w:rsidRDefault="009A7A1A" w:rsidP="00615E40">
      <w:pPr>
        <w:spacing w:before="120"/>
      </w:pPr>
      <w:r w:rsidRPr="001C3654">
        <w:rPr>
          <w:b/>
        </w:rPr>
        <w:t>PLP</w:t>
      </w:r>
      <w:r w:rsidR="00A405BF">
        <w:rPr>
          <w:b/>
        </w:rPr>
        <w:t>3</w:t>
      </w:r>
      <w:r w:rsidRPr="001C3654">
        <w:rPr>
          <w:b/>
        </w:rPr>
        <w:t xml:space="preserve">'s approach based on trusted relationships and adaptive programming </w:t>
      </w:r>
      <w:r w:rsidR="0098356E" w:rsidRPr="001C3654">
        <w:rPr>
          <w:b/>
        </w:rPr>
        <w:t>is its strength</w:t>
      </w:r>
      <w:r w:rsidRPr="001C3654">
        <w:rPr>
          <w:b/>
        </w:rPr>
        <w:t>, underpinned by the networks and knowledge of its team of staff</w:t>
      </w:r>
      <w:r w:rsidRPr="001C3654">
        <w:t>.</w:t>
      </w:r>
      <w:r w:rsidR="00AA5158" w:rsidRPr="001C3654">
        <w:t xml:space="preserve">  </w:t>
      </w:r>
      <w:r w:rsidRPr="001C3654">
        <w:t>PLP</w:t>
      </w:r>
      <w:r w:rsidR="00A405BF">
        <w:t>3</w:t>
      </w:r>
      <w:r w:rsidRPr="001C3654">
        <w:t xml:space="preserve"> has focused on building trusted relationships and working often ‘behind the scenes’, which require investing staff time (as much or even more than investing financial resources). </w:t>
      </w:r>
      <w:r w:rsidR="00A405BF">
        <w:t xml:space="preserve"> </w:t>
      </w:r>
      <w:r w:rsidRPr="001C3654">
        <w:t>Several of its partners described PLP as being ‘a unique offering’ among donor programs.  PLP</w:t>
      </w:r>
      <w:r w:rsidR="00A405BF">
        <w:t>3</w:t>
      </w:r>
      <w:r w:rsidRPr="001C3654">
        <w:t xml:space="preserve"> provides flexible support to its partners, and has demonstrated the ability to adapt its support in response to emerging opportunities and the evolving needs of its partners.  This flexibility is central to the PLP approach – the program can provide a diverse set of resources (funding, workshops, t</w:t>
      </w:r>
      <w:r w:rsidR="00BB6CE2">
        <w:t>raining, introductions)</w:t>
      </w:r>
      <w:r w:rsidRPr="001C3654">
        <w:t xml:space="preserve"> to create 'space' for individuals and coalitions to exercise developmental leadership in pursuit of positive change.  PLP</w:t>
      </w:r>
      <w:r w:rsidR="00BB6CE2">
        <w:t>3</w:t>
      </w:r>
      <w:r w:rsidRPr="001C3654">
        <w:t xml:space="preserve"> program staff are, on the whole, very well regarded by their partners.</w:t>
      </w:r>
      <w:r w:rsidR="00CD7569">
        <w:rPr>
          <w:rStyle w:val="FootnoteReference"/>
        </w:rPr>
        <w:footnoteReference w:id="64"/>
      </w:r>
      <w:r w:rsidRPr="001C3654">
        <w:t xml:space="preserve"> </w:t>
      </w:r>
      <w:r w:rsidR="00A405BF">
        <w:t xml:space="preserve"> </w:t>
      </w:r>
      <w:r w:rsidRPr="001C3654">
        <w:t>In particular, the</w:t>
      </w:r>
      <w:r w:rsidR="00901849" w:rsidRPr="001C3654">
        <w:t xml:space="preserve"> Pacific Island</w:t>
      </w:r>
      <w:r w:rsidRPr="001C3654">
        <w:t xml:space="preserve"> staff are seen to bring relevant contextual knowledge, existing networks and strong personal commitment to achieving meaningful development outcomes</w:t>
      </w:r>
      <w:r w:rsidR="0069046E" w:rsidRPr="001C3654">
        <w:t xml:space="preserve"> (a</w:t>
      </w:r>
      <w:r w:rsidR="007B3018" w:rsidRPr="001C3654">
        <w:t xml:space="preserve">lthough, in some contexts, senior Pacific </w:t>
      </w:r>
      <w:r w:rsidR="00EF59F4" w:rsidRPr="001C3654">
        <w:t>leaders</w:t>
      </w:r>
      <w:r w:rsidR="007B3018" w:rsidRPr="001C3654">
        <w:t xml:space="preserve"> </w:t>
      </w:r>
      <w:r w:rsidR="0069046E" w:rsidRPr="001C3654">
        <w:t xml:space="preserve">voiced </w:t>
      </w:r>
      <w:r w:rsidR="007B3018" w:rsidRPr="001C3654">
        <w:t>frustrat</w:t>
      </w:r>
      <w:r w:rsidR="0069046E" w:rsidRPr="001C3654">
        <w:t>ion</w:t>
      </w:r>
      <w:r w:rsidR="007B3018" w:rsidRPr="001C3654">
        <w:t xml:space="preserve"> </w:t>
      </w:r>
      <w:r w:rsidR="0069046E" w:rsidRPr="001C3654">
        <w:t xml:space="preserve">at </w:t>
      </w:r>
      <w:r w:rsidR="003E0518" w:rsidRPr="001C3654">
        <w:t>needing to</w:t>
      </w:r>
      <w:r w:rsidR="007B3018" w:rsidRPr="001C3654">
        <w:t xml:space="preserve"> deal with </w:t>
      </w:r>
      <w:r w:rsidR="0069046E" w:rsidRPr="001C3654">
        <w:t>‘</w:t>
      </w:r>
      <w:r w:rsidR="00BC051C" w:rsidRPr="001C3654">
        <w:t>junior</w:t>
      </w:r>
      <w:r w:rsidR="0069046E" w:rsidRPr="001C3654">
        <w:t>’</w:t>
      </w:r>
      <w:r w:rsidR="00BC051C" w:rsidRPr="001C3654">
        <w:t xml:space="preserve"> program staff</w:t>
      </w:r>
      <w:r w:rsidR="0069046E" w:rsidRPr="001C3654">
        <w:t>)</w:t>
      </w:r>
      <w:r w:rsidR="00BC051C" w:rsidRPr="001C3654">
        <w:t>.</w:t>
      </w:r>
      <w:r w:rsidR="00BC051C" w:rsidRPr="001C3654">
        <w:rPr>
          <w:rStyle w:val="FootnoteReference"/>
        </w:rPr>
        <w:footnoteReference w:id="65"/>
      </w:r>
    </w:p>
    <w:p w14:paraId="5B88A609" w14:textId="6B10EE30" w:rsidR="00535765" w:rsidRPr="001C3654" w:rsidRDefault="00535765" w:rsidP="00615E40">
      <w:pPr>
        <w:spacing w:before="120"/>
      </w:pPr>
      <w:r w:rsidRPr="001C3654">
        <w:rPr>
          <w:b/>
        </w:rPr>
        <w:t>P</w:t>
      </w:r>
      <w:r w:rsidR="008766B7" w:rsidRPr="001C3654">
        <w:rPr>
          <w:b/>
        </w:rPr>
        <w:t>LP</w:t>
      </w:r>
      <w:r w:rsidR="00BB6CE2">
        <w:rPr>
          <w:b/>
        </w:rPr>
        <w:t>3</w:t>
      </w:r>
      <w:r w:rsidR="008766B7" w:rsidRPr="001C3654">
        <w:rPr>
          <w:b/>
        </w:rPr>
        <w:t xml:space="preserve"> is not</w:t>
      </w:r>
      <w:r w:rsidRPr="001C3654">
        <w:rPr>
          <w:b/>
        </w:rPr>
        <w:t xml:space="preserve"> a program focused on building people-to-people linkages between Australia and the Pacific region.</w:t>
      </w:r>
      <w:r w:rsidRPr="001C3654">
        <w:t xml:space="preserve">  However, </w:t>
      </w:r>
      <w:r w:rsidR="004C6AA6" w:rsidRPr="001C3654">
        <w:t>some elements of the program</w:t>
      </w:r>
      <w:r w:rsidR="00F24FB0" w:rsidRPr="001C3654">
        <w:t xml:space="preserve"> make a contribution to people</w:t>
      </w:r>
      <w:r w:rsidR="00A2697C">
        <w:t>-</w:t>
      </w:r>
      <w:r w:rsidR="00F24FB0" w:rsidRPr="001C3654">
        <w:t>to</w:t>
      </w:r>
      <w:r w:rsidR="00A2697C">
        <w:t>-</w:t>
      </w:r>
      <w:r w:rsidR="00F24FB0" w:rsidRPr="001C3654">
        <w:t xml:space="preserve">people links, such as the Greg Urwin Awards (see </w:t>
      </w:r>
      <w:r w:rsidR="00F24FB0" w:rsidRPr="001C3654">
        <w:rPr>
          <w:u w:val="single"/>
        </w:rPr>
        <w:t xml:space="preserve">annex </w:t>
      </w:r>
      <w:r w:rsidR="00BC051C" w:rsidRPr="001C3654">
        <w:rPr>
          <w:u w:val="single"/>
        </w:rPr>
        <w:t>5</w:t>
      </w:r>
      <w:r w:rsidR="00F24FB0" w:rsidRPr="001C3654">
        <w:t xml:space="preserve">) </w:t>
      </w:r>
      <w:r w:rsidR="00CD7569">
        <w:t>which</w:t>
      </w:r>
      <w:r w:rsidR="00CD7569" w:rsidRPr="001C3654">
        <w:t xml:space="preserve"> </w:t>
      </w:r>
      <w:r w:rsidR="00F24FB0" w:rsidRPr="001C3654">
        <w:t xml:space="preserve">include some awardees undertaking placements in Australian institutions. </w:t>
      </w:r>
      <w:r w:rsidR="00901849" w:rsidRPr="001C3654">
        <w:t>In addition, t</w:t>
      </w:r>
      <w:r w:rsidR="004C6AA6" w:rsidRPr="001C3654">
        <w:t xml:space="preserve">here is potential for other elements of the program (such as the </w:t>
      </w:r>
      <w:r w:rsidR="00BC051C" w:rsidRPr="001C3654">
        <w:t>a</w:t>
      </w:r>
      <w:r w:rsidR="004C6AA6" w:rsidRPr="001C3654">
        <w:t xml:space="preserve">daptive </w:t>
      </w:r>
      <w:r w:rsidR="00BC051C" w:rsidRPr="001C3654">
        <w:t>l</w:t>
      </w:r>
      <w:r w:rsidR="004C6AA6" w:rsidRPr="001C3654">
        <w:t>eadership training</w:t>
      </w:r>
      <w:r w:rsidR="00F24FB0" w:rsidRPr="001C3654">
        <w:t xml:space="preserve"> and its growing alumni (see </w:t>
      </w:r>
      <w:r w:rsidR="00F24FB0" w:rsidRPr="001C3654">
        <w:rPr>
          <w:u w:val="single"/>
        </w:rPr>
        <w:t xml:space="preserve">annex </w:t>
      </w:r>
      <w:r w:rsidR="00BC051C" w:rsidRPr="001C3654">
        <w:rPr>
          <w:u w:val="single"/>
        </w:rPr>
        <w:t>6</w:t>
      </w:r>
      <w:r w:rsidR="004C6AA6" w:rsidRPr="001C3654">
        <w:t>)</w:t>
      </w:r>
      <w:r w:rsidR="003E0518" w:rsidRPr="001C3654">
        <w:t>)</w:t>
      </w:r>
      <w:r w:rsidR="004C6AA6" w:rsidRPr="001C3654">
        <w:t xml:space="preserve"> to make a </w:t>
      </w:r>
      <w:r w:rsidR="00392F22" w:rsidRPr="001C3654">
        <w:t>much stronger contribution to people-to-people links</w:t>
      </w:r>
      <w:r w:rsidR="004C6AA6" w:rsidRPr="001C3654">
        <w:t xml:space="preserve">, </w:t>
      </w:r>
      <w:r w:rsidR="00392F22" w:rsidRPr="001C3654">
        <w:t>as well as potential</w:t>
      </w:r>
      <w:r w:rsidR="00901849" w:rsidRPr="001C3654">
        <w:t xml:space="preserve"> for</w:t>
      </w:r>
      <w:r w:rsidR="00392F22" w:rsidRPr="001C3654">
        <w:t xml:space="preserve"> </w:t>
      </w:r>
      <w:r w:rsidR="004C6AA6" w:rsidRPr="001C3654">
        <w:t xml:space="preserve">stronger linkages </w:t>
      </w:r>
      <w:r w:rsidR="00F07DD1" w:rsidRPr="001C3654">
        <w:t xml:space="preserve">between PLP </w:t>
      </w:r>
      <w:r w:rsidR="004C6AA6" w:rsidRPr="001C3654">
        <w:t xml:space="preserve">with more people-to-people focused programming, including </w:t>
      </w:r>
      <w:r w:rsidR="004C6AA6" w:rsidRPr="001C3654">
        <w:rPr>
          <w:i/>
        </w:rPr>
        <w:t>Pacific Connect</w:t>
      </w:r>
      <w:r w:rsidR="004C6AA6" w:rsidRPr="001C3654">
        <w:t>, the volunteer program and others.</w:t>
      </w:r>
    </w:p>
    <w:p w14:paraId="24568036" w14:textId="77777777" w:rsidR="007A09AD" w:rsidRDefault="007A09AD" w:rsidP="007A09AD">
      <w:pPr>
        <w:pStyle w:val="SDANumberedheading2"/>
        <w:ind w:left="709" w:hanging="709"/>
      </w:pPr>
      <w:bookmarkStart w:id="46" w:name="_Toc486247210"/>
      <w:r>
        <w:t>Generating Knowledge and Influential Communication</w:t>
      </w:r>
      <w:bookmarkEnd w:id="46"/>
    </w:p>
    <w:p w14:paraId="25816266" w14:textId="77777777" w:rsidR="007A09AD" w:rsidRPr="001C3654" w:rsidRDefault="007A09AD" w:rsidP="00FE41C5">
      <w:pPr>
        <w:pBdr>
          <w:top w:val="single" w:sz="4" w:space="1" w:color="auto"/>
          <w:left w:val="single" w:sz="4" w:space="4" w:color="auto"/>
          <w:bottom w:val="single" w:sz="4" w:space="1" w:color="auto"/>
          <w:right w:val="single" w:sz="4" w:space="4" w:color="auto"/>
        </w:pBdr>
        <w:shd w:val="clear" w:color="auto" w:fill="DBE5F1" w:themeFill="accent1" w:themeFillTint="33"/>
        <w:spacing w:before="120"/>
        <w:rPr>
          <w:lang w:val="en-US"/>
        </w:rPr>
      </w:pPr>
      <w:r w:rsidRPr="001C3654">
        <w:rPr>
          <w:b/>
          <w:lang w:val="en-US"/>
        </w:rPr>
        <w:t xml:space="preserve">PLP3 has generated high quality knowledge that is relevant to its stakeholders.  </w:t>
      </w:r>
      <w:r w:rsidRPr="001C3654">
        <w:rPr>
          <w:lang w:val="en-US"/>
        </w:rPr>
        <w:t xml:space="preserve">The program is </w:t>
      </w:r>
      <w:r w:rsidRPr="001C3654">
        <w:rPr>
          <w:u w:val="single"/>
          <w:lang w:val="en-US"/>
        </w:rPr>
        <w:t>largely on track</w:t>
      </w:r>
      <w:r w:rsidRPr="001C3654">
        <w:rPr>
          <w:lang w:val="en-US"/>
        </w:rPr>
        <w:t xml:space="preserve"> to achieve Result Stream 1: </w:t>
      </w:r>
      <w:r w:rsidRPr="001C3654">
        <w:rPr>
          <w:i/>
          <w:lang w:val="en-US"/>
        </w:rPr>
        <w:t>High quality and ongoing knowledge of developmental leadership across the Pacific</w:t>
      </w:r>
      <w:r w:rsidRPr="001C3654">
        <w:rPr>
          <w:lang w:val="en-US"/>
        </w:rPr>
        <w:t>.</w:t>
      </w:r>
    </w:p>
    <w:p w14:paraId="6FA8A12B" w14:textId="77777777" w:rsidR="007A09AD" w:rsidRPr="001C3654" w:rsidRDefault="007A09AD" w:rsidP="007A09AD">
      <w:pPr>
        <w:spacing w:before="120"/>
        <w:rPr>
          <w:lang w:val="en-US"/>
        </w:rPr>
      </w:pPr>
      <w:r w:rsidRPr="001C3654">
        <w:rPr>
          <w:b/>
          <w:lang w:val="en-US"/>
        </w:rPr>
        <w:t>PLP3 has invested in research, and encouraged and supported its partners to invest in research (to support policy advocacy</w:t>
      </w:r>
      <w:r w:rsidRPr="001C3654">
        <w:rPr>
          <w:lang w:val="en-US"/>
        </w:rPr>
        <w:t xml:space="preserve">).  It has done so across the Pacific – both Melanesia and Polynesia – spanning the program's four focus countries and engagement with regional organisations.  </w:t>
      </w:r>
      <w:r w:rsidR="00615E40" w:rsidRPr="001C3654">
        <w:rPr>
          <w:rFonts w:eastAsia="Calibri" w:cs="Times New Roman"/>
        </w:rPr>
        <w:t xml:space="preserve">More than 44 pieces of research </w:t>
      </w:r>
      <w:r w:rsidR="003E0518" w:rsidRPr="001C3654">
        <w:rPr>
          <w:rFonts w:eastAsia="Calibri" w:cs="Times New Roman"/>
        </w:rPr>
        <w:t xml:space="preserve">have been </w:t>
      </w:r>
      <w:r w:rsidR="00615E40" w:rsidRPr="001C3654">
        <w:rPr>
          <w:rFonts w:eastAsia="Calibri" w:cs="Times New Roman"/>
        </w:rPr>
        <w:t xml:space="preserve">commissioned by PLP3 and its partners since July 2014. A </w:t>
      </w:r>
      <w:r w:rsidRPr="001C3654">
        <w:rPr>
          <w:lang w:val="en-US"/>
        </w:rPr>
        <w:t xml:space="preserve">list of commissioned knowledge products is attached as </w:t>
      </w:r>
      <w:r w:rsidR="00615E40" w:rsidRPr="001C3654">
        <w:rPr>
          <w:u w:val="single"/>
          <w:lang w:val="en-US"/>
        </w:rPr>
        <w:t>a</w:t>
      </w:r>
      <w:r w:rsidRPr="001C3654">
        <w:rPr>
          <w:u w:val="single"/>
          <w:lang w:val="en-US"/>
        </w:rPr>
        <w:t xml:space="preserve">nnex </w:t>
      </w:r>
      <w:r w:rsidR="00BC051C" w:rsidRPr="001C3654">
        <w:rPr>
          <w:u w:val="single"/>
          <w:lang w:val="en-US"/>
        </w:rPr>
        <w:t>7</w:t>
      </w:r>
      <w:r w:rsidRPr="001C3654">
        <w:rPr>
          <w:u w:val="single"/>
          <w:lang w:val="en-US"/>
        </w:rPr>
        <w:t>.</w:t>
      </w:r>
      <w:r w:rsidRPr="001C3654">
        <w:rPr>
          <w:lang w:val="en-US"/>
        </w:rPr>
        <w:t xml:space="preserve">  </w:t>
      </w:r>
    </w:p>
    <w:p w14:paraId="333BDEB7" w14:textId="77777777" w:rsidR="007A09AD" w:rsidRPr="008C4F1C" w:rsidRDefault="007A09AD" w:rsidP="007A09AD">
      <w:pPr>
        <w:spacing w:before="120"/>
        <w:rPr>
          <w:lang w:val="en-US"/>
        </w:rPr>
      </w:pPr>
      <w:r w:rsidRPr="001C3654">
        <w:rPr>
          <w:b/>
          <w:lang w:val="en-US"/>
        </w:rPr>
        <w:t>PLP</w:t>
      </w:r>
      <w:r w:rsidR="003E0518" w:rsidRPr="001C3654">
        <w:rPr>
          <w:b/>
          <w:lang w:val="en-US"/>
        </w:rPr>
        <w:t>3</w:t>
      </w:r>
      <w:r w:rsidRPr="001C3654">
        <w:rPr>
          <w:b/>
          <w:lang w:val="en-US"/>
        </w:rPr>
        <w:t xml:space="preserve">'s investment in action </w:t>
      </w:r>
      <w:r w:rsidRPr="008C4F1C">
        <w:rPr>
          <w:b/>
          <w:lang w:val="en-US"/>
        </w:rPr>
        <w:t>research</w:t>
      </w:r>
      <w:r w:rsidRPr="008C4F1C">
        <w:rPr>
          <w:lang w:val="en-US"/>
        </w:rPr>
        <w:t xml:space="preserve"> is perhaps the most significant component of </w:t>
      </w:r>
      <w:r w:rsidR="003E0518" w:rsidRPr="008C4F1C">
        <w:rPr>
          <w:lang w:val="en-US"/>
        </w:rPr>
        <w:t>the program’s</w:t>
      </w:r>
      <w:r w:rsidRPr="008C4F1C">
        <w:rPr>
          <w:lang w:val="en-US"/>
        </w:rPr>
        <w:t xml:space="preserve"> knowledge generation during this phase.</w:t>
      </w:r>
      <w:r w:rsidR="00615E40" w:rsidRPr="008C4F1C">
        <w:rPr>
          <w:rStyle w:val="FootnoteReference"/>
          <w:lang w:val="en-US"/>
        </w:rPr>
        <w:footnoteReference w:id="66"/>
      </w:r>
      <w:r w:rsidRPr="008C4F1C">
        <w:rPr>
          <w:lang w:val="en-US"/>
        </w:rPr>
        <w:t xml:space="preserve">  PLP</w:t>
      </w:r>
      <w:r w:rsidR="003E0518" w:rsidRPr="008C4F1C">
        <w:rPr>
          <w:lang w:val="en-US"/>
        </w:rPr>
        <w:t>3</w:t>
      </w:r>
      <w:r w:rsidRPr="008C4F1C">
        <w:rPr>
          <w:lang w:val="en-US"/>
        </w:rPr>
        <w:t xml:space="preserve"> supported research and analysis </w:t>
      </w:r>
      <w:r w:rsidR="00A405BF">
        <w:rPr>
          <w:lang w:val="en-US"/>
        </w:rPr>
        <w:t>are</w:t>
      </w:r>
      <w:r w:rsidRPr="008C4F1C">
        <w:rPr>
          <w:lang w:val="en-US"/>
        </w:rPr>
        <w:t xml:space="preserve"> highly regarded by its local partners.</w:t>
      </w:r>
      <w:r w:rsidR="00CD7DB5" w:rsidRPr="008C4F1C">
        <w:rPr>
          <w:rStyle w:val="FootnoteReference"/>
          <w:lang w:val="en-US"/>
        </w:rPr>
        <w:footnoteReference w:id="67"/>
      </w:r>
      <w:r w:rsidRPr="008C4F1C">
        <w:rPr>
          <w:lang w:val="en-US"/>
        </w:rPr>
        <w:t xml:space="preserve">  PLP3’s work is also of interest to a section of the academic community (particularly in Australia) and it continues a relationship with the Developmental Leadership Program</w:t>
      </w:r>
      <w:r w:rsidRPr="008C4F1C">
        <w:rPr>
          <w:rStyle w:val="FootnoteReference"/>
          <w:lang w:val="en-US"/>
        </w:rPr>
        <w:footnoteReference w:id="68"/>
      </w:r>
      <w:r w:rsidRPr="008C4F1C">
        <w:rPr>
          <w:lang w:val="en-US"/>
        </w:rPr>
        <w:t xml:space="preserve"> </w:t>
      </w:r>
      <w:r w:rsidR="00253910" w:rsidRPr="008C4F1C">
        <w:rPr>
          <w:lang w:val="en-US"/>
        </w:rPr>
        <w:t>(DLP)</w:t>
      </w:r>
      <w:r w:rsidRPr="008C4F1C">
        <w:rPr>
          <w:lang w:val="en-US"/>
        </w:rPr>
        <w:t xml:space="preserve"> through LaTrobe </w:t>
      </w:r>
      <w:r w:rsidR="00FE41C5" w:rsidRPr="008C4F1C">
        <w:rPr>
          <w:lang w:val="en-US"/>
        </w:rPr>
        <w:t>University</w:t>
      </w:r>
      <w:r w:rsidRPr="008C4F1C">
        <w:rPr>
          <w:lang w:val="en-US"/>
        </w:rPr>
        <w:t>.  These research partnerships are important to the sustainability of the knowledge generated by PLP</w:t>
      </w:r>
      <w:r w:rsidR="003E0518" w:rsidRPr="008C4F1C">
        <w:rPr>
          <w:lang w:val="en-US"/>
        </w:rPr>
        <w:t>3</w:t>
      </w:r>
      <w:r w:rsidRPr="008C4F1C">
        <w:rPr>
          <w:lang w:val="en-US"/>
        </w:rPr>
        <w:t xml:space="preserve"> and the achievement of </w:t>
      </w:r>
      <w:r w:rsidRPr="008C4F1C">
        <w:rPr>
          <w:i/>
          <w:lang w:val="en-US"/>
        </w:rPr>
        <w:t>ongoing</w:t>
      </w:r>
      <w:r w:rsidRPr="008C4F1C">
        <w:rPr>
          <w:lang w:val="en-US"/>
        </w:rPr>
        <w:t xml:space="preserve"> knowledge of developmental leadership.  PLP</w:t>
      </w:r>
      <w:r w:rsidR="003E0518" w:rsidRPr="008C4F1C">
        <w:rPr>
          <w:lang w:val="en-US"/>
        </w:rPr>
        <w:t>3</w:t>
      </w:r>
      <w:r w:rsidRPr="008C4F1C">
        <w:rPr>
          <w:lang w:val="en-US"/>
        </w:rPr>
        <w:t>'s staff are an important repository of knowledge on developmental leadership, and on how developmental leadership can be exercised in the Pacific.</w:t>
      </w:r>
      <w:r w:rsidR="008728D3" w:rsidRPr="008C4F1C">
        <w:rPr>
          <w:rStyle w:val="FootnoteReference"/>
          <w:lang w:val="en-US"/>
        </w:rPr>
        <w:footnoteReference w:id="69"/>
      </w:r>
      <w:r w:rsidRPr="008C4F1C">
        <w:rPr>
          <w:lang w:val="en-US"/>
        </w:rPr>
        <w:t xml:space="preserve"> </w:t>
      </w:r>
    </w:p>
    <w:p w14:paraId="1ADBE222" w14:textId="77777777" w:rsidR="007A09AD" w:rsidRPr="001C3654" w:rsidRDefault="007A09AD" w:rsidP="007A09AD">
      <w:pPr>
        <w:spacing w:before="120"/>
        <w:rPr>
          <w:b/>
          <w:lang w:val="en-US"/>
        </w:rPr>
      </w:pPr>
      <w:r w:rsidRPr="008C4F1C">
        <w:rPr>
          <w:b/>
          <w:lang w:val="en-US"/>
        </w:rPr>
        <w:t xml:space="preserve">Stakeholder interviews and surveys demonstrate that </w:t>
      </w:r>
      <w:r w:rsidR="003E0518" w:rsidRPr="008C4F1C">
        <w:rPr>
          <w:b/>
          <w:lang w:val="en-US"/>
        </w:rPr>
        <w:t>the program’s</w:t>
      </w:r>
      <w:r w:rsidRPr="008C4F1C">
        <w:rPr>
          <w:b/>
          <w:lang w:val="en-US"/>
        </w:rPr>
        <w:t xml:space="preserve"> local partners have a strong appetite for PLP</w:t>
      </w:r>
      <w:r w:rsidR="00BC051C" w:rsidRPr="008C4F1C">
        <w:rPr>
          <w:b/>
          <w:lang w:val="en-US"/>
        </w:rPr>
        <w:t>3</w:t>
      </w:r>
      <w:r w:rsidRPr="008C4F1C">
        <w:rPr>
          <w:b/>
          <w:lang w:val="en-US"/>
        </w:rPr>
        <w:t>'s research</w:t>
      </w:r>
      <w:r w:rsidRPr="008C4F1C">
        <w:rPr>
          <w:lang w:val="en-US"/>
        </w:rPr>
        <w:t>, and view it as relevant to their work.  PLP</w:t>
      </w:r>
      <w:r w:rsidR="00BC051C" w:rsidRPr="008C4F1C">
        <w:rPr>
          <w:lang w:val="en-US"/>
        </w:rPr>
        <w:t>3</w:t>
      </w:r>
      <w:r w:rsidRPr="008C4F1C">
        <w:rPr>
          <w:lang w:val="en-US"/>
        </w:rPr>
        <w:t>'s academic partners tend to value the program's generation of knowledge the most</w:t>
      </w:r>
      <w:r w:rsidR="00082B7B" w:rsidRPr="008C4F1C">
        <w:rPr>
          <w:rStyle w:val="FootnoteReference"/>
          <w:lang w:val="en-US"/>
        </w:rPr>
        <w:footnoteReference w:id="70"/>
      </w:r>
      <w:r w:rsidRPr="008C4F1C">
        <w:rPr>
          <w:lang w:val="en-US"/>
        </w:rPr>
        <w:t>, incorporating it into their work and recommending it to others.  PLP</w:t>
      </w:r>
      <w:r w:rsidR="00BC051C" w:rsidRPr="008C4F1C">
        <w:rPr>
          <w:lang w:val="en-US"/>
        </w:rPr>
        <w:t>3</w:t>
      </w:r>
      <w:r w:rsidRPr="008C4F1C">
        <w:rPr>
          <w:lang w:val="en-US"/>
        </w:rPr>
        <w:t>'s research and learning has been showcased a number of times, including at forums such as the UK Political Studies Association 2017 C</w:t>
      </w:r>
      <w:r w:rsidRPr="001C3654">
        <w:rPr>
          <w:lang w:val="en-US"/>
        </w:rPr>
        <w:t xml:space="preserve">onference and the 2017 Australasian Aid Conference, and cited by organisations such as the Overseas Development Institute </w:t>
      </w:r>
      <w:r w:rsidR="003B2CB0" w:rsidRPr="001C3654">
        <w:rPr>
          <w:lang w:val="en-US"/>
        </w:rPr>
        <w:t xml:space="preserve">(ODI) </w:t>
      </w:r>
      <w:r w:rsidRPr="001C3654">
        <w:rPr>
          <w:lang w:val="en-US"/>
        </w:rPr>
        <w:t xml:space="preserve">and Transparency International.  </w:t>
      </w:r>
    </w:p>
    <w:p w14:paraId="007EE90E" w14:textId="77777777" w:rsidR="007A09AD" w:rsidRPr="001C3654" w:rsidRDefault="007A09AD" w:rsidP="007A09AD">
      <w:pPr>
        <w:spacing w:before="120"/>
        <w:rPr>
          <w:lang w:val="en-US"/>
        </w:rPr>
      </w:pPr>
      <w:r w:rsidRPr="001C3654">
        <w:rPr>
          <w:b/>
          <w:lang w:val="en-US"/>
        </w:rPr>
        <w:t xml:space="preserve">However, high quality knowledge and lessons from PLP’s experience on developmental leadership across the Pacific have </w:t>
      </w:r>
      <w:r w:rsidR="00BC051C" w:rsidRPr="001C3654">
        <w:rPr>
          <w:b/>
          <w:lang w:val="en-US"/>
        </w:rPr>
        <w:t xml:space="preserve">generally </w:t>
      </w:r>
      <w:r w:rsidRPr="001C3654">
        <w:rPr>
          <w:b/>
          <w:lang w:val="en-US"/>
        </w:rPr>
        <w:t xml:space="preserve">been slow in coming, with many key studies still </w:t>
      </w:r>
      <w:r w:rsidR="002074A2" w:rsidRPr="001C3654">
        <w:rPr>
          <w:b/>
          <w:lang w:val="en-US"/>
        </w:rPr>
        <w:t>to be</w:t>
      </w:r>
      <w:r w:rsidRPr="001C3654">
        <w:rPr>
          <w:b/>
          <w:lang w:val="en-US"/>
        </w:rPr>
        <w:t xml:space="preserve"> finalised.</w:t>
      </w:r>
      <w:r w:rsidRPr="001C3654">
        <w:rPr>
          <w:lang w:val="en-US"/>
        </w:rPr>
        <w:t xml:space="preserve">  Knowledge generation, lesson learning, research and dissemination </w:t>
      </w:r>
      <w:r w:rsidR="002074A2" w:rsidRPr="001C3654">
        <w:rPr>
          <w:lang w:val="en-US"/>
        </w:rPr>
        <w:t>do</w:t>
      </w:r>
      <w:r w:rsidR="009961F6" w:rsidRPr="001C3654">
        <w:rPr>
          <w:lang w:val="en-US"/>
        </w:rPr>
        <w:t xml:space="preserve"> </w:t>
      </w:r>
      <w:r w:rsidRPr="001C3654">
        <w:rPr>
          <w:lang w:val="en-US"/>
        </w:rPr>
        <w:t>require time</w:t>
      </w:r>
      <w:r w:rsidR="009961F6" w:rsidRPr="001C3654">
        <w:rPr>
          <w:lang w:val="en-US"/>
        </w:rPr>
        <w:t>.</w:t>
      </w:r>
      <w:r w:rsidRPr="001C3654">
        <w:rPr>
          <w:lang w:val="en-US"/>
        </w:rPr>
        <w:t xml:space="preserve"> </w:t>
      </w:r>
      <w:r w:rsidR="009961F6" w:rsidRPr="001C3654">
        <w:rPr>
          <w:lang w:val="en-US"/>
        </w:rPr>
        <w:t>For example</w:t>
      </w:r>
      <w:r w:rsidRPr="001C3654">
        <w:rPr>
          <w:lang w:val="en-US"/>
        </w:rPr>
        <w:t>, discerning lessons through action research into grassroots-led change (</w:t>
      </w:r>
      <w:r w:rsidR="0069046E" w:rsidRPr="001C3654">
        <w:rPr>
          <w:lang w:val="en-US"/>
        </w:rPr>
        <w:t>i.e.</w:t>
      </w:r>
      <w:r w:rsidRPr="001C3654">
        <w:rPr>
          <w:lang w:val="en-US"/>
        </w:rPr>
        <w:t xml:space="preserve"> in the case of Simbo for Change in the Solomon Islands) can only be done over an extended period as change occurs slowly.  PLP3's knowledge generation and dissemination may also have been constrained by the relatively broad scope of the program. Having six priority areas</w:t>
      </w:r>
      <w:r w:rsidR="00AB4034" w:rsidRPr="001C3654">
        <w:rPr>
          <w:rStyle w:val="FootnoteReference"/>
          <w:lang w:val="en-US"/>
        </w:rPr>
        <w:footnoteReference w:id="71"/>
      </w:r>
      <w:r w:rsidRPr="001C3654">
        <w:rPr>
          <w:lang w:val="en-US"/>
        </w:rPr>
        <w:t xml:space="preserve"> across four countries and regional organisations is not conducive to a targeted and influential program of research. </w:t>
      </w:r>
      <w:r w:rsidR="009961F6" w:rsidRPr="001C3654">
        <w:rPr>
          <w:lang w:val="en-US"/>
        </w:rPr>
        <w:t>Nevertheless, too many relevant studies are only now being made available.</w:t>
      </w:r>
      <w:r w:rsidR="009961F6" w:rsidRPr="001C3654">
        <w:rPr>
          <w:rStyle w:val="FootnoteReference"/>
          <w:lang w:val="en-US"/>
        </w:rPr>
        <w:footnoteReference w:id="72"/>
      </w:r>
      <w:r w:rsidRPr="001C3654">
        <w:rPr>
          <w:lang w:val="en-US"/>
        </w:rPr>
        <w:t xml:space="preserve">  </w:t>
      </w:r>
    </w:p>
    <w:p w14:paraId="1FBF6221" w14:textId="77777777" w:rsidR="007A09AD" w:rsidRPr="001C3654" w:rsidRDefault="007A09AD" w:rsidP="00FE41C5">
      <w:pPr>
        <w:pBdr>
          <w:top w:val="single" w:sz="4" w:space="1" w:color="auto"/>
          <w:left w:val="single" w:sz="4" w:space="4" w:color="auto"/>
          <w:bottom w:val="single" w:sz="4" w:space="1" w:color="auto"/>
          <w:right w:val="single" w:sz="4" w:space="4" w:color="auto"/>
        </w:pBdr>
        <w:shd w:val="clear" w:color="auto" w:fill="DBE5F1" w:themeFill="accent1" w:themeFillTint="33"/>
        <w:spacing w:before="120"/>
        <w:rPr>
          <w:i/>
          <w:lang w:val="en-US"/>
        </w:rPr>
      </w:pPr>
      <w:r w:rsidRPr="001C3654">
        <w:rPr>
          <w:b/>
          <w:lang w:val="en-US"/>
        </w:rPr>
        <w:t xml:space="preserve">PLP3 has </w:t>
      </w:r>
      <w:r w:rsidR="00EC4FCE">
        <w:rPr>
          <w:b/>
          <w:lang w:val="en-US"/>
        </w:rPr>
        <w:t xml:space="preserve">had </w:t>
      </w:r>
      <w:r w:rsidR="00CD7569">
        <w:rPr>
          <w:b/>
          <w:lang w:val="en-US"/>
        </w:rPr>
        <w:t>limited success</w:t>
      </w:r>
      <w:r w:rsidR="00EC4FCE">
        <w:rPr>
          <w:b/>
          <w:lang w:val="en-US"/>
        </w:rPr>
        <w:t xml:space="preserve"> </w:t>
      </w:r>
      <w:r w:rsidRPr="001C3654">
        <w:rPr>
          <w:b/>
          <w:lang w:val="en-US"/>
        </w:rPr>
        <w:t xml:space="preserve">in communicating with influence, as intended.  </w:t>
      </w:r>
      <w:r w:rsidRPr="001C3654">
        <w:rPr>
          <w:lang w:val="en-US"/>
        </w:rPr>
        <w:t xml:space="preserve">The program is </w:t>
      </w:r>
      <w:r w:rsidRPr="001C3654">
        <w:rPr>
          <w:u w:val="single"/>
          <w:lang w:val="en-US"/>
        </w:rPr>
        <w:t>not on track</w:t>
      </w:r>
      <w:r w:rsidRPr="001C3654">
        <w:rPr>
          <w:lang w:val="en-US"/>
        </w:rPr>
        <w:t xml:space="preserve"> to achieve Result Stream 4: </w:t>
      </w:r>
      <w:r w:rsidRPr="001C3654">
        <w:rPr>
          <w:i/>
          <w:lang w:val="en-US"/>
        </w:rPr>
        <w:t>High quality and influential communication within DFAT, across the Pacific and internationally on the nature of developmental leadership in addressing development issues and challenges in the Pacific.</w:t>
      </w:r>
    </w:p>
    <w:p w14:paraId="0C244DA1" w14:textId="2D2FD2D4" w:rsidR="00F24FB0" w:rsidRPr="001C3654" w:rsidRDefault="007A09AD" w:rsidP="00F24FB0">
      <w:pPr>
        <w:spacing w:before="120"/>
        <w:rPr>
          <w:lang w:val="en-US"/>
        </w:rPr>
      </w:pPr>
      <w:r w:rsidRPr="001C3654">
        <w:rPr>
          <w:b/>
          <w:lang w:val="en-US"/>
        </w:rPr>
        <w:t>It is an ambitious goal to seek to communicate with influence across three diverse audiences – DFAT, Pacific partners and international academia.</w:t>
      </w:r>
      <w:r w:rsidRPr="001C3654">
        <w:rPr>
          <w:lang w:val="en-US"/>
        </w:rPr>
        <w:t xml:space="preserve">  </w:t>
      </w:r>
      <w:r w:rsidR="003E0518" w:rsidRPr="001C3654">
        <w:rPr>
          <w:lang w:val="en-US"/>
        </w:rPr>
        <w:t xml:space="preserve">Nevertheless, </w:t>
      </w:r>
      <w:r w:rsidR="00FE41C5" w:rsidRPr="001C3654">
        <w:rPr>
          <w:lang w:val="en-US"/>
        </w:rPr>
        <w:t>PLP3 has invested</w:t>
      </w:r>
      <w:r w:rsidR="003B2CB0" w:rsidRPr="001C3654">
        <w:rPr>
          <w:lang w:val="en-US"/>
        </w:rPr>
        <w:t xml:space="preserve"> heavily</w:t>
      </w:r>
      <w:r w:rsidR="00FE41C5" w:rsidRPr="001C3654">
        <w:rPr>
          <w:lang w:val="en-US"/>
        </w:rPr>
        <w:t xml:space="preserve"> in this result stream</w:t>
      </w:r>
      <w:r w:rsidR="003E0518" w:rsidRPr="001C3654">
        <w:rPr>
          <w:lang w:val="en-US"/>
        </w:rPr>
        <w:t>. D</w:t>
      </w:r>
      <w:r w:rsidR="00F24FB0" w:rsidRPr="001C3654">
        <w:rPr>
          <w:lang w:val="en-US"/>
        </w:rPr>
        <w:t xml:space="preserve">uring phase 3, PLP has progressively increased its profile and engagement with the broader academic and policy communities, with approximately 69 conference, workshop and other presentations; and 17 citations </w:t>
      </w:r>
      <w:r w:rsidR="00BB6CE2">
        <w:rPr>
          <w:lang w:val="en-US"/>
        </w:rPr>
        <w:t>in external/</w:t>
      </w:r>
      <w:r w:rsidR="00F24FB0" w:rsidRPr="001C3654">
        <w:rPr>
          <w:lang w:val="en-US"/>
        </w:rPr>
        <w:t>third party publications expected to be delivered by June 2017.</w:t>
      </w:r>
      <w:r w:rsidR="002074A2" w:rsidRPr="001C3654">
        <w:rPr>
          <w:rStyle w:val="FootnoteReference"/>
          <w:lang w:val="en-US"/>
        </w:rPr>
        <w:footnoteReference w:id="73"/>
      </w:r>
    </w:p>
    <w:p w14:paraId="67C2DCF6" w14:textId="77777777" w:rsidR="003E0518" w:rsidRPr="001C3654" w:rsidRDefault="007A09AD" w:rsidP="003E0518">
      <w:pPr>
        <w:spacing w:before="120"/>
        <w:rPr>
          <w:rFonts w:eastAsia="Calibri" w:cs="Times New Roman"/>
        </w:rPr>
      </w:pPr>
      <w:r w:rsidRPr="001C3654">
        <w:rPr>
          <w:b/>
          <w:lang w:val="en-US"/>
        </w:rPr>
        <w:t>PLP</w:t>
      </w:r>
      <w:r w:rsidR="002074A2" w:rsidRPr="001C3654">
        <w:rPr>
          <w:b/>
          <w:lang w:val="en-US"/>
        </w:rPr>
        <w:t>3</w:t>
      </w:r>
      <w:r w:rsidRPr="001C3654">
        <w:rPr>
          <w:b/>
          <w:lang w:val="en-US"/>
        </w:rPr>
        <w:t>’s approach and knowledge products have had some influence on the design of a small number of DFAT programs</w:t>
      </w:r>
      <w:r w:rsidRPr="001C3654">
        <w:rPr>
          <w:lang w:val="en-US"/>
        </w:rPr>
        <w:t xml:space="preserve"> (i.e. </w:t>
      </w:r>
      <w:r w:rsidRPr="001C3654">
        <w:rPr>
          <w:i/>
          <w:lang w:val="en-US"/>
        </w:rPr>
        <w:t>Pacific Women</w:t>
      </w:r>
      <w:r w:rsidRPr="001C3654">
        <w:rPr>
          <w:lang w:val="en-US"/>
        </w:rPr>
        <w:t xml:space="preserve"> and the more recent </w:t>
      </w:r>
      <w:r w:rsidRPr="001C3654">
        <w:rPr>
          <w:i/>
          <w:lang w:val="en-US"/>
        </w:rPr>
        <w:t>Women’s Leadership Initiative</w:t>
      </w:r>
      <w:r w:rsidRPr="001C3654">
        <w:rPr>
          <w:lang w:val="en-US"/>
        </w:rPr>
        <w:t xml:space="preserve">), and the program is viewed as </w:t>
      </w:r>
      <w:r w:rsidR="00A405BF">
        <w:rPr>
          <w:lang w:val="en-US"/>
        </w:rPr>
        <w:t>important</w:t>
      </w:r>
      <w:r w:rsidRPr="001C3654">
        <w:rPr>
          <w:lang w:val="en-US"/>
        </w:rPr>
        <w:t xml:space="preserve"> by DFAT's Governance, Fragility</w:t>
      </w:r>
      <w:r w:rsidR="003E0518" w:rsidRPr="001C3654">
        <w:rPr>
          <w:lang w:val="en-US"/>
        </w:rPr>
        <w:t xml:space="preserve"> and Water</w:t>
      </w:r>
      <w:r w:rsidRPr="001C3654">
        <w:rPr>
          <w:lang w:val="en-US"/>
        </w:rPr>
        <w:t xml:space="preserve"> Branch.  However, there is little evidence of PLP</w:t>
      </w:r>
      <w:r w:rsidR="003E0518" w:rsidRPr="001C3654">
        <w:rPr>
          <w:lang w:val="en-US"/>
        </w:rPr>
        <w:t>3</w:t>
      </w:r>
      <w:r w:rsidRPr="001C3654">
        <w:rPr>
          <w:lang w:val="en-US"/>
        </w:rPr>
        <w:t xml:space="preserve">’s knowledge and lessons influencing other DFAT Pacific bilateral or regional programs.  In fact, </w:t>
      </w:r>
      <w:r w:rsidR="00CD7569">
        <w:rPr>
          <w:lang w:val="en-US"/>
        </w:rPr>
        <w:t xml:space="preserve">some </w:t>
      </w:r>
      <w:r w:rsidRPr="001C3654">
        <w:rPr>
          <w:lang w:val="en-US"/>
        </w:rPr>
        <w:t xml:space="preserve">managers of these programs have </w:t>
      </w:r>
      <w:r w:rsidR="002074A2" w:rsidRPr="001C3654">
        <w:rPr>
          <w:lang w:val="en-US"/>
        </w:rPr>
        <w:t>limited</w:t>
      </w:r>
      <w:r w:rsidRPr="001C3654">
        <w:rPr>
          <w:lang w:val="en-US"/>
        </w:rPr>
        <w:t xml:space="preserve"> awareness of PLP</w:t>
      </w:r>
      <w:r w:rsidR="002074A2" w:rsidRPr="001C3654">
        <w:rPr>
          <w:lang w:val="en-US"/>
        </w:rPr>
        <w:t>3</w:t>
      </w:r>
      <w:r w:rsidRPr="001C3654">
        <w:rPr>
          <w:lang w:val="en-US"/>
        </w:rPr>
        <w:t xml:space="preserve"> and even less knowledge of its achievements</w:t>
      </w:r>
      <w:r w:rsidR="00EC4FCE">
        <w:rPr>
          <w:lang w:val="en-US"/>
        </w:rPr>
        <w:t xml:space="preserve"> and learnings</w:t>
      </w:r>
      <w:r w:rsidRPr="001C3654">
        <w:rPr>
          <w:lang w:val="en-US"/>
        </w:rPr>
        <w:t>.  Stakeholder interviews with DFAT's Pacific Division in Canberra and the relevant Posts confirm that PLP</w:t>
      </w:r>
      <w:r w:rsidR="003E0518" w:rsidRPr="001C3654">
        <w:rPr>
          <w:lang w:val="en-US"/>
        </w:rPr>
        <w:t>3</w:t>
      </w:r>
      <w:r w:rsidRPr="001C3654">
        <w:rPr>
          <w:lang w:val="en-US"/>
        </w:rPr>
        <w:t xml:space="preserve"> is generally not viewed or </w:t>
      </w:r>
      <w:r w:rsidR="00FE41C5" w:rsidRPr="001C3654">
        <w:rPr>
          <w:lang w:val="en-US"/>
        </w:rPr>
        <w:t>used</w:t>
      </w:r>
      <w:r w:rsidRPr="001C3654">
        <w:rPr>
          <w:lang w:val="en-US"/>
        </w:rPr>
        <w:t xml:space="preserve"> as a valuable resource to inform Pacific Division's programming, policy or strategy.  </w:t>
      </w:r>
      <w:r w:rsidRPr="00FB0282">
        <w:rPr>
          <w:lang w:val="en-US"/>
        </w:rPr>
        <w:t>As an example, a recent governance program design which includes emphasis on working with coalitions was undertaken in the Solomon Islands program without input from PLP</w:t>
      </w:r>
      <w:r w:rsidR="00FE41C5" w:rsidRPr="00FB0282">
        <w:rPr>
          <w:lang w:val="en-US"/>
        </w:rPr>
        <w:t>3</w:t>
      </w:r>
      <w:r w:rsidRPr="00FB0282">
        <w:rPr>
          <w:lang w:val="en-US"/>
        </w:rPr>
        <w:t>.</w:t>
      </w:r>
      <w:r w:rsidRPr="00A405BF">
        <w:rPr>
          <w:lang w:val="en-US"/>
        </w:rPr>
        <w:t xml:space="preserve">  This reflects PLP</w:t>
      </w:r>
      <w:r w:rsidR="00FE41C5" w:rsidRPr="00A405BF">
        <w:rPr>
          <w:lang w:val="en-US"/>
        </w:rPr>
        <w:t>3</w:t>
      </w:r>
      <w:r w:rsidRPr="00A405BF">
        <w:rPr>
          <w:lang w:val="en-US"/>
        </w:rPr>
        <w:t xml:space="preserve">'s </w:t>
      </w:r>
      <w:r w:rsidR="002074A2" w:rsidRPr="00A405BF">
        <w:rPr>
          <w:lang w:val="en-US"/>
        </w:rPr>
        <w:t>struggle</w:t>
      </w:r>
      <w:r w:rsidRPr="00A405BF">
        <w:rPr>
          <w:lang w:val="en-US"/>
        </w:rPr>
        <w:t xml:space="preserve"> to communicate with influence within DFAT – a key role for PLP</w:t>
      </w:r>
      <w:r w:rsidR="00FE41C5" w:rsidRPr="00A405BF">
        <w:rPr>
          <w:lang w:val="en-US"/>
        </w:rPr>
        <w:t>3</w:t>
      </w:r>
      <w:r w:rsidRPr="00A405BF">
        <w:rPr>
          <w:lang w:val="en-US"/>
        </w:rPr>
        <w:t>'s leaders</w:t>
      </w:r>
      <w:r w:rsidR="00AA4D72" w:rsidRPr="00A405BF">
        <w:rPr>
          <w:lang w:val="en-US"/>
        </w:rPr>
        <w:t>, country representatives</w:t>
      </w:r>
      <w:r w:rsidRPr="00A405BF">
        <w:rPr>
          <w:lang w:val="en-US"/>
        </w:rPr>
        <w:t xml:space="preserve"> and the managing contractor.</w:t>
      </w:r>
      <w:r w:rsidR="003E0518" w:rsidRPr="001C3654">
        <w:rPr>
          <w:rFonts w:eastAsia="Calibri" w:cs="Times New Roman"/>
        </w:rPr>
        <w:t xml:space="preserve"> However, influential communication cannot be a monologue – it requires a strategic conversation. In phase 3, the opportunities for and </w:t>
      </w:r>
      <w:r w:rsidR="00255C32">
        <w:rPr>
          <w:rFonts w:eastAsia="Calibri" w:cs="Times New Roman"/>
        </w:rPr>
        <w:t>commitment</w:t>
      </w:r>
      <w:r w:rsidR="00F71987">
        <w:rPr>
          <w:rFonts w:eastAsia="Calibri" w:cs="Times New Roman"/>
        </w:rPr>
        <w:t xml:space="preserve"> to</w:t>
      </w:r>
      <w:r w:rsidR="003E0518" w:rsidRPr="001C3654">
        <w:rPr>
          <w:rFonts w:eastAsia="Calibri" w:cs="Times New Roman"/>
        </w:rPr>
        <w:t xml:space="preserve"> generating such a conversation between DFAT and PLP3 have, in our view, been limited.</w:t>
      </w:r>
    </w:p>
    <w:p w14:paraId="39A3A5CB" w14:textId="77777777" w:rsidR="007A09AD" w:rsidRPr="008C4F1C" w:rsidRDefault="007A09AD" w:rsidP="007A09AD">
      <w:pPr>
        <w:spacing w:before="120"/>
        <w:rPr>
          <w:lang w:val="en-US"/>
        </w:rPr>
      </w:pPr>
      <w:r w:rsidRPr="001C3654">
        <w:rPr>
          <w:b/>
          <w:lang w:val="en-US"/>
        </w:rPr>
        <w:t>PLP</w:t>
      </w:r>
      <w:r w:rsidR="002074A2" w:rsidRPr="001C3654">
        <w:rPr>
          <w:b/>
          <w:lang w:val="en-US"/>
        </w:rPr>
        <w:t>3</w:t>
      </w:r>
      <w:r w:rsidRPr="001C3654">
        <w:rPr>
          <w:b/>
          <w:lang w:val="en-US"/>
        </w:rPr>
        <w:t xml:space="preserve">'s local partners offer mixed views on the influence of </w:t>
      </w:r>
      <w:r w:rsidR="002074A2" w:rsidRPr="001C3654">
        <w:rPr>
          <w:b/>
          <w:lang w:val="en-US"/>
        </w:rPr>
        <w:t>the program</w:t>
      </w:r>
      <w:r w:rsidRPr="001C3654">
        <w:rPr>
          <w:b/>
          <w:lang w:val="en-US"/>
        </w:rPr>
        <w:t xml:space="preserve"> and its approach on their work.</w:t>
      </w:r>
      <w:r w:rsidRPr="001C3654">
        <w:rPr>
          <w:lang w:val="en-US"/>
        </w:rPr>
        <w:t xml:space="preserve">  Some local partners reported that developmental leadership and coalition-based advocacy </w:t>
      </w:r>
      <w:r w:rsidR="00894332" w:rsidRPr="001C3654">
        <w:rPr>
          <w:lang w:val="en-US"/>
        </w:rPr>
        <w:t>were</w:t>
      </w:r>
      <w:r w:rsidRPr="001C3654">
        <w:rPr>
          <w:lang w:val="en-US"/>
        </w:rPr>
        <w:t xml:space="preserve"> new idea</w:t>
      </w:r>
      <w:r w:rsidR="00894332" w:rsidRPr="001C3654">
        <w:rPr>
          <w:lang w:val="en-US"/>
        </w:rPr>
        <w:t>s</w:t>
      </w:r>
      <w:r w:rsidRPr="001C3654">
        <w:rPr>
          <w:lang w:val="en-US"/>
        </w:rPr>
        <w:t xml:space="preserve"> to them (</w:t>
      </w:r>
      <w:r w:rsidR="00894332" w:rsidRPr="001C3654">
        <w:rPr>
          <w:lang w:val="en-US"/>
        </w:rPr>
        <w:t xml:space="preserve">i.e. </w:t>
      </w:r>
      <w:r w:rsidRPr="001C3654">
        <w:rPr>
          <w:lang w:val="en-US"/>
        </w:rPr>
        <w:t xml:space="preserve">TNLDF). </w:t>
      </w:r>
      <w:r w:rsidRPr="008C4F1C">
        <w:rPr>
          <w:lang w:val="en-US"/>
        </w:rPr>
        <w:t xml:space="preserve">In </w:t>
      </w:r>
      <w:r w:rsidR="00A405BF">
        <w:rPr>
          <w:lang w:val="en-US"/>
        </w:rPr>
        <w:t>other</w:t>
      </w:r>
      <w:r w:rsidRPr="008C4F1C">
        <w:rPr>
          <w:lang w:val="en-US"/>
        </w:rPr>
        <w:t xml:space="preserve"> cases they reported that</w:t>
      </w:r>
      <w:r w:rsidR="00253910" w:rsidRPr="008C4F1C">
        <w:rPr>
          <w:lang w:val="en-US"/>
        </w:rPr>
        <w:t>, while the ideas were not new to them,</w:t>
      </w:r>
      <w:r w:rsidRPr="008C4F1C">
        <w:rPr>
          <w:lang w:val="en-US"/>
        </w:rPr>
        <w:t xml:space="preserve"> PLP</w:t>
      </w:r>
      <w:r w:rsidR="00894332" w:rsidRPr="008C4F1C">
        <w:rPr>
          <w:lang w:val="en-US"/>
        </w:rPr>
        <w:t>3</w:t>
      </w:r>
      <w:r w:rsidRPr="008C4F1C">
        <w:rPr>
          <w:lang w:val="en-US"/>
        </w:rPr>
        <w:t xml:space="preserve"> did add value to their work, including intellectual value beyond mere funding.</w:t>
      </w:r>
      <w:r w:rsidR="007400AE" w:rsidRPr="008C4F1C">
        <w:rPr>
          <w:rStyle w:val="FootnoteReference"/>
          <w:lang w:val="en-US"/>
        </w:rPr>
        <w:footnoteReference w:id="74"/>
      </w:r>
      <w:r w:rsidRPr="008C4F1C">
        <w:rPr>
          <w:lang w:val="en-US"/>
        </w:rPr>
        <w:t xml:space="preserve">  Particularly at the outset of partnerships, PLP's local partners felt that PLP was different to other donor </w:t>
      </w:r>
      <w:r w:rsidR="00064F31" w:rsidRPr="008C4F1C">
        <w:rPr>
          <w:lang w:val="en-US"/>
        </w:rPr>
        <w:t xml:space="preserve">programs </w:t>
      </w:r>
      <w:r w:rsidRPr="008C4F1C">
        <w:rPr>
          <w:lang w:val="en-US"/>
        </w:rPr>
        <w:t xml:space="preserve">– quicker to listen and slower to speak, and offering valuable ongoing guidance.  However, </w:t>
      </w:r>
      <w:r w:rsidR="002074A2" w:rsidRPr="008C4F1C">
        <w:rPr>
          <w:lang w:val="en-US"/>
        </w:rPr>
        <w:t>during phase 3</w:t>
      </w:r>
      <w:r w:rsidRPr="008C4F1C">
        <w:rPr>
          <w:lang w:val="en-US"/>
        </w:rPr>
        <w:t xml:space="preserve">, many partners felt that </w:t>
      </w:r>
      <w:r w:rsidR="002074A2" w:rsidRPr="008C4F1C">
        <w:rPr>
          <w:lang w:val="en-US"/>
        </w:rPr>
        <w:t>the program’s</w:t>
      </w:r>
      <w:r w:rsidRPr="008C4F1C">
        <w:rPr>
          <w:lang w:val="en-US"/>
        </w:rPr>
        <w:t xml:space="preserve"> focus increasingly shifted to compliance and reporting of results, at the expense of continuing to engage at the level of developmental leadership.</w:t>
      </w:r>
      <w:r w:rsidR="00ED4B00" w:rsidRPr="008C4F1C">
        <w:rPr>
          <w:rStyle w:val="FootnoteReference"/>
          <w:lang w:val="en-US"/>
        </w:rPr>
        <w:footnoteReference w:id="75"/>
      </w:r>
      <w:r w:rsidRPr="008C4F1C">
        <w:rPr>
          <w:lang w:val="en-US"/>
        </w:rPr>
        <w:t xml:space="preserve">  The </w:t>
      </w:r>
      <w:r w:rsidR="00CD7569" w:rsidRPr="008C4F1C">
        <w:rPr>
          <w:lang w:val="en-US"/>
        </w:rPr>
        <w:t>death</w:t>
      </w:r>
      <w:r w:rsidRPr="008C4F1C">
        <w:rPr>
          <w:lang w:val="en-US"/>
        </w:rPr>
        <w:t xml:space="preserve"> of PLP</w:t>
      </w:r>
      <w:r w:rsidR="00D261D6" w:rsidRPr="008C4F1C">
        <w:rPr>
          <w:lang w:val="en-US"/>
        </w:rPr>
        <w:t>3</w:t>
      </w:r>
      <w:r w:rsidRPr="008C4F1C">
        <w:rPr>
          <w:lang w:val="en-US"/>
        </w:rPr>
        <w:t xml:space="preserve">'s </w:t>
      </w:r>
      <w:r w:rsidR="0069046E" w:rsidRPr="008C4F1C">
        <w:rPr>
          <w:lang w:val="en-US"/>
        </w:rPr>
        <w:t>deputy team leader</w:t>
      </w:r>
      <w:r w:rsidRPr="008C4F1C">
        <w:rPr>
          <w:lang w:val="en-US"/>
        </w:rPr>
        <w:t>, and perceived pressure from DFAT to demonstrate results</w:t>
      </w:r>
      <w:r w:rsidR="00D261D6" w:rsidRPr="008C4F1C">
        <w:rPr>
          <w:lang w:val="en-US"/>
        </w:rPr>
        <w:t xml:space="preserve"> at the activity level</w:t>
      </w:r>
      <w:r w:rsidR="00894332" w:rsidRPr="008C4F1C">
        <w:rPr>
          <w:lang w:val="en-US"/>
        </w:rPr>
        <w:t>,</w:t>
      </w:r>
      <w:r w:rsidRPr="008C4F1C">
        <w:rPr>
          <w:lang w:val="en-US"/>
        </w:rPr>
        <w:t xml:space="preserve"> seem to have been factors in this </w:t>
      </w:r>
      <w:r w:rsidR="002074A2" w:rsidRPr="008C4F1C">
        <w:rPr>
          <w:lang w:val="en-US"/>
        </w:rPr>
        <w:t>shift</w:t>
      </w:r>
      <w:r w:rsidRPr="008C4F1C">
        <w:rPr>
          <w:lang w:val="en-US"/>
        </w:rPr>
        <w:t xml:space="preserve">.  </w:t>
      </w:r>
      <w:r w:rsidR="00894332" w:rsidRPr="008C4F1C">
        <w:rPr>
          <w:lang w:val="en-US"/>
        </w:rPr>
        <w:t>The program’s</w:t>
      </w:r>
      <w:r w:rsidRPr="008C4F1C">
        <w:rPr>
          <w:lang w:val="en-US"/>
        </w:rPr>
        <w:t xml:space="preserve"> academic partners are influenced by PLP</w:t>
      </w:r>
      <w:r w:rsidR="00894332" w:rsidRPr="008C4F1C">
        <w:rPr>
          <w:lang w:val="en-US"/>
        </w:rPr>
        <w:t>3</w:t>
      </w:r>
      <w:r w:rsidRPr="008C4F1C">
        <w:rPr>
          <w:lang w:val="en-US"/>
        </w:rPr>
        <w:t>'s communication, as the program contributes to the evidence base for developmental leadership.</w:t>
      </w:r>
      <w:r w:rsidR="00BC6853" w:rsidRPr="008C4F1C">
        <w:rPr>
          <w:rStyle w:val="FootnoteReference"/>
          <w:lang w:val="en-US"/>
        </w:rPr>
        <w:footnoteReference w:id="76"/>
      </w:r>
    </w:p>
    <w:p w14:paraId="561C256D" w14:textId="365DA038" w:rsidR="00F17D2F" w:rsidRDefault="007A09AD" w:rsidP="007A09AD">
      <w:pPr>
        <w:spacing w:before="120"/>
        <w:rPr>
          <w:lang w:val="en-US"/>
        </w:rPr>
      </w:pPr>
      <w:r w:rsidRPr="008C4F1C">
        <w:rPr>
          <w:b/>
          <w:lang w:val="en-US"/>
        </w:rPr>
        <w:t xml:space="preserve">There are a number of </w:t>
      </w:r>
      <w:r w:rsidR="00C11C5E" w:rsidRPr="008C4F1C">
        <w:rPr>
          <w:b/>
          <w:lang w:val="en-US"/>
        </w:rPr>
        <w:t xml:space="preserve">challenges which partly explain </w:t>
      </w:r>
      <w:r w:rsidR="002074A2" w:rsidRPr="008C4F1C">
        <w:rPr>
          <w:b/>
          <w:lang w:val="en-US"/>
        </w:rPr>
        <w:t xml:space="preserve">why the program has struggled to </w:t>
      </w:r>
      <w:r w:rsidRPr="008C4F1C">
        <w:rPr>
          <w:b/>
          <w:lang w:val="en-US"/>
        </w:rPr>
        <w:t>communicate with influence, especially within DFAT.</w:t>
      </w:r>
      <w:r w:rsidRPr="008C4F1C">
        <w:rPr>
          <w:lang w:val="en-US"/>
        </w:rPr>
        <w:t xml:space="preserve">  </w:t>
      </w:r>
      <w:r w:rsidR="00A405BF">
        <w:rPr>
          <w:lang w:val="en-US"/>
        </w:rPr>
        <w:t xml:space="preserve"> </w:t>
      </w:r>
      <w:r w:rsidRPr="008C4F1C">
        <w:rPr>
          <w:lang w:val="en-US"/>
        </w:rPr>
        <w:t xml:space="preserve">Regional programs commonly face challenges in communicating their relevance to a bilaterally focused DFAT. Program management arrangements centred on Suva </w:t>
      </w:r>
      <w:r w:rsidR="00BB6CE2">
        <w:rPr>
          <w:lang w:val="en-US"/>
        </w:rPr>
        <w:t xml:space="preserve">can </w:t>
      </w:r>
      <w:r w:rsidRPr="008C4F1C">
        <w:rPr>
          <w:lang w:val="en-US"/>
        </w:rPr>
        <w:t>reduce Canberra</w:t>
      </w:r>
      <w:r w:rsidR="00A405BF">
        <w:rPr>
          <w:lang w:val="en-US"/>
        </w:rPr>
        <w:t>’s</w:t>
      </w:r>
      <w:r w:rsidRPr="008C4F1C">
        <w:rPr>
          <w:lang w:val="en-US"/>
        </w:rPr>
        <w:t xml:space="preserve"> visibility of PLP</w:t>
      </w:r>
      <w:r w:rsidR="002074A2" w:rsidRPr="008C4F1C">
        <w:rPr>
          <w:lang w:val="en-US"/>
        </w:rPr>
        <w:t>3</w:t>
      </w:r>
      <w:r w:rsidRPr="008C4F1C">
        <w:rPr>
          <w:lang w:val="en-US"/>
        </w:rPr>
        <w:t>.  Changes within DFAT</w:t>
      </w:r>
      <w:r w:rsidR="00BB6CE2">
        <w:rPr>
          <w:lang w:val="en-US"/>
        </w:rPr>
        <w:t xml:space="preserve"> may</w:t>
      </w:r>
      <w:r w:rsidR="00AC4F82" w:rsidRPr="008C4F1C">
        <w:rPr>
          <w:lang w:val="en-US"/>
        </w:rPr>
        <w:t xml:space="preserve"> also </w:t>
      </w:r>
      <w:r w:rsidR="00BB6CE2">
        <w:rPr>
          <w:lang w:val="en-US"/>
        </w:rPr>
        <w:t xml:space="preserve">have </w:t>
      </w:r>
      <w:r w:rsidR="00AC4F82" w:rsidRPr="008C4F1C">
        <w:rPr>
          <w:lang w:val="en-US"/>
        </w:rPr>
        <w:t>contributed</w:t>
      </w:r>
      <w:r w:rsidR="00E91451" w:rsidRPr="008C4F1C">
        <w:rPr>
          <w:lang w:val="en-US"/>
        </w:rPr>
        <w:t>.  The</w:t>
      </w:r>
      <w:r w:rsidRPr="008C4F1C">
        <w:rPr>
          <w:lang w:val="en-US"/>
        </w:rPr>
        <w:t xml:space="preserve"> shift</w:t>
      </w:r>
      <w:r w:rsidR="00E91451" w:rsidRPr="008C4F1C">
        <w:rPr>
          <w:lang w:val="en-US"/>
        </w:rPr>
        <w:t xml:space="preserve"> away from </w:t>
      </w:r>
      <w:r w:rsidR="001018ED" w:rsidRPr="008C4F1C">
        <w:rPr>
          <w:lang w:val="en-US"/>
        </w:rPr>
        <w:t>DFAT officer</w:t>
      </w:r>
      <w:r w:rsidR="00E91451" w:rsidRPr="008C4F1C">
        <w:rPr>
          <w:lang w:val="en-US"/>
        </w:rPr>
        <w:t xml:space="preserve"> team leaders </w:t>
      </w:r>
      <w:r w:rsidR="00AC4F82" w:rsidRPr="008C4F1C">
        <w:rPr>
          <w:lang w:val="en-US"/>
        </w:rPr>
        <w:t>and shifting priorities le</w:t>
      </w:r>
      <w:r w:rsidR="00E91451" w:rsidRPr="008C4F1C">
        <w:rPr>
          <w:lang w:val="en-US"/>
        </w:rPr>
        <w:t>d</w:t>
      </w:r>
      <w:r w:rsidR="00AC4F82" w:rsidRPr="008C4F1C">
        <w:rPr>
          <w:lang w:val="en-US"/>
        </w:rPr>
        <w:t xml:space="preserve"> to re</w:t>
      </w:r>
      <w:r w:rsidR="00E91451" w:rsidRPr="008C4F1C">
        <w:rPr>
          <w:lang w:val="en-US"/>
        </w:rPr>
        <w:t>duced DFAT engagement with PLP</w:t>
      </w:r>
      <w:r w:rsidR="00894332" w:rsidRPr="008C4F1C">
        <w:rPr>
          <w:lang w:val="en-US"/>
        </w:rPr>
        <w:t>3</w:t>
      </w:r>
      <w:r w:rsidR="00E91451" w:rsidRPr="008C4F1C">
        <w:rPr>
          <w:lang w:val="en-US"/>
        </w:rPr>
        <w:t xml:space="preserve">, which in turn </w:t>
      </w:r>
      <w:r w:rsidR="00E91451" w:rsidRPr="008C4F1C">
        <w:rPr>
          <w:rFonts w:eastAsia="Calibri" w:cs="Times New Roman"/>
        </w:rPr>
        <w:t>has also meant that DFAT has been unable to seize opportunities to extract more value out of the program</w:t>
      </w:r>
      <w:r w:rsidRPr="008C4F1C">
        <w:rPr>
          <w:lang w:val="en-US"/>
        </w:rPr>
        <w:t>.</w:t>
      </w:r>
      <w:r w:rsidR="002074A2" w:rsidRPr="008C4F1C">
        <w:rPr>
          <w:lang w:val="en-US"/>
        </w:rPr>
        <w:t xml:space="preserve"> </w:t>
      </w:r>
      <w:r w:rsidRPr="008C4F1C">
        <w:rPr>
          <w:lang w:val="en-US"/>
        </w:rPr>
        <w:t xml:space="preserve"> </w:t>
      </w:r>
      <w:r w:rsidR="009961F6" w:rsidRPr="008C4F1C">
        <w:t xml:space="preserve">In contrast to PLP3, the </w:t>
      </w:r>
      <w:r w:rsidR="009961F6" w:rsidRPr="008C4F1C">
        <w:rPr>
          <w:i/>
        </w:rPr>
        <w:t>Governance for Growth</w:t>
      </w:r>
      <w:r w:rsidR="009961F6" w:rsidRPr="008C4F1C">
        <w:t xml:space="preserve"> program in Vanuatu has </w:t>
      </w:r>
      <w:r w:rsidR="003B037D" w:rsidRPr="008C4F1C">
        <w:t>been established under the Australian High Commission structure, wi</w:t>
      </w:r>
      <w:r w:rsidR="007A6DB3">
        <w:t>th all staff as DFAT employees. Staff are</w:t>
      </w:r>
      <w:r w:rsidR="00255C32">
        <w:t xml:space="preserve"> </w:t>
      </w:r>
      <w:r w:rsidR="003B037D" w:rsidRPr="008C4F1C">
        <w:t xml:space="preserve">located </w:t>
      </w:r>
      <w:r w:rsidR="007A6DB3">
        <w:t xml:space="preserve">close to Vanuatu Government offices and </w:t>
      </w:r>
      <w:r w:rsidR="00255C32">
        <w:t>outside of the High Commission</w:t>
      </w:r>
      <w:r w:rsidR="009961F6" w:rsidRPr="008C4F1C">
        <w:t xml:space="preserve">. </w:t>
      </w:r>
      <w:r w:rsidR="009961F6" w:rsidRPr="008C4F1C">
        <w:rPr>
          <w:i/>
        </w:rPr>
        <w:t>Pacific Women</w:t>
      </w:r>
      <w:r w:rsidR="009961F6" w:rsidRPr="008C4F1C">
        <w:t xml:space="preserve"> offers a</w:t>
      </w:r>
      <w:r w:rsidR="00A405BF">
        <w:t xml:space="preserve"> different</w:t>
      </w:r>
      <w:r w:rsidR="009961F6" w:rsidRPr="008C4F1C">
        <w:t xml:space="preserve"> example, by which DFAT essentially holds the program director role in a DFAT staff member based in Canberra. </w:t>
      </w:r>
      <w:r w:rsidR="002074A2" w:rsidRPr="008C4F1C">
        <w:rPr>
          <w:lang w:val="en-US"/>
        </w:rPr>
        <w:t>In p</w:t>
      </w:r>
      <w:r w:rsidRPr="008C4F1C">
        <w:rPr>
          <w:lang w:val="en-US"/>
        </w:rPr>
        <w:t xml:space="preserve">hases 1 and 2, PLP </w:t>
      </w:r>
      <w:r w:rsidR="009961F6" w:rsidRPr="008C4F1C">
        <w:rPr>
          <w:lang w:val="en-US"/>
        </w:rPr>
        <w:t xml:space="preserve">also </w:t>
      </w:r>
      <w:r w:rsidRPr="008C4F1C">
        <w:rPr>
          <w:lang w:val="en-US"/>
        </w:rPr>
        <w:t>intentionally flew 'under the radar'</w:t>
      </w:r>
      <w:r w:rsidR="00AA4D72" w:rsidRPr="008C4F1C">
        <w:rPr>
          <w:lang w:val="en-US"/>
        </w:rPr>
        <w:t>, which did not support communicating with influence</w:t>
      </w:r>
      <w:r w:rsidRPr="008C4F1C">
        <w:rPr>
          <w:lang w:val="en-US"/>
        </w:rPr>
        <w:t>.</w:t>
      </w:r>
      <w:r w:rsidR="00AA4D72" w:rsidRPr="008C4F1C">
        <w:rPr>
          <w:rStyle w:val="FootnoteReference"/>
          <w:lang w:val="en-US"/>
        </w:rPr>
        <w:footnoteReference w:id="77"/>
      </w:r>
      <w:r w:rsidRPr="008C4F1C">
        <w:rPr>
          <w:lang w:val="en-US"/>
        </w:rPr>
        <w:t xml:space="preserve">  As </w:t>
      </w:r>
      <w:r w:rsidR="002074A2" w:rsidRPr="008C4F1C">
        <w:rPr>
          <w:lang w:val="en-US"/>
        </w:rPr>
        <w:t xml:space="preserve">noted </w:t>
      </w:r>
      <w:r w:rsidRPr="008C4F1C">
        <w:rPr>
          <w:lang w:val="en-US"/>
        </w:rPr>
        <w:t xml:space="preserve">above, a number of key knowledge products have been slow in coming.  Possibly under pressure to demonstrate results, </w:t>
      </w:r>
      <w:r w:rsidR="00AC4F82" w:rsidRPr="008C4F1C">
        <w:rPr>
          <w:lang w:val="en-US"/>
        </w:rPr>
        <w:t xml:space="preserve">and/or because of the program's staffing profile, </w:t>
      </w:r>
      <w:r w:rsidRPr="008C4F1C">
        <w:rPr>
          <w:lang w:val="en-US"/>
        </w:rPr>
        <w:t>PLP</w:t>
      </w:r>
      <w:r w:rsidR="00FE41C5" w:rsidRPr="008C4F1C">
        <w:rPr>
          <w:lang w:val="en-US"/>
        </w:rPr>
        <w:t>3</w:t>
      </w:r>
      <w:r w:rsidRPr="008C4F1C">
        <w:rPr>
          <w:lang w:val="en-US"/>
        </w:rPr>
        <w:t xml:space="preserve"> has at times </w:t>
      </w:r>
      <w:r w:rsidR="0082153A">
        <w:rPr>
          <w:lang w:val="en-US"/>
        </w:rPr>
        <w:t>prioritised the detail of</w:t>
      </w:r>
      <w:r w:rsidRPr="008C4F1C">
        <w:rPr>
          <w:lang w:val="en-US"/>
        </w:rPr>
        <w:t xml:space="preserve"> project management at the expense of influential communication.</w:t>
      </w:r>
      <w:r w:rsidR="00223668" w:rsidRPr="008C4F1C">
        <w:rPr>
          <w:rStyle w:val="FootnoteReference"/>
          <w:lang w:val="en-US"/>
        </w:rPr>
        <w:footnoteReference w:id="78"/>
      </w:r>
      <w:r w:rsidRPr="001C3654">
        <w:rPr>
          <w:lang w:val="en-US"/>
        </w:rPr>
        <w:t xml:space="preserve"> </w:t>
      </w:r>
    </w:p>
    <w:p w14:paraId="10D4A7C8" w14:textId="482937F3" w:rsidR="000D789F" w:rsidRPr="001C3654" w:rsidRDefault="007A09AD" w:rsidP="007A09AD">
      <w:pPr>
        <w:spacing w:before="120"/>
        <w:rPr>
          <w:lang w:val="en-US"/>
        </w:rPr>
      </w:pPr>
      <w:r w:rsidRPr="001C3654">
        <w:rPr>
          <w:lang w:val="en-US"/>
        </w:rPr>
        <w:t>Nonetheless, none of those challenges</w:t>
      </w:r>
      <w:r w:rsidR="008A7572" w:rsidRPr="001C3654">
        <w:rPr>
          <w:lang w:val="en-US"/>
        </w:rPr>
        <w:t xml:space="preserve"> were entirely unpredictable</w:t>
      </w:r>
      <w:r w:rsidR="00C11C5E">
        <w:rPr>
          <w:lang w:val="en-US"/>
        </w:rPr>
        <w:t xml:space="preserve"> or unique</w:t>
      </w:r>
      <w:r w:rsidR="008A7572" w:rsidRPr="001C3654">
        <w:rPr>
          <w:lang w:val="en-US"/>
        </w:rPr>
        <w:t>.</w:t>
      </w:r>
      <w:r w:rsidR="008A7572" w:rsidRPr="001C3654">
        <w:rPr>
          <w:b/>
          <w:lang w:val="en-US"/>
        </w:rPr>
        <w:t xml:space="preserve"> </w:t>
      </w:r>
      <w:r w:rsidR="008A7572" w:rsidRPr="001C3654">
        <w:rPr>
          <w:lang w:val="en-US"/>
        </w:rPr>
        <w:t xml:space="preserve"> </w:t>
      </w:r>
      <w:r w:rsidR="00CD7569">
        <w:rPr>
          <w:rFonts w:eastAsia="Calibri" w:cs="Times New Roman"/>
          <w:b/>
        </w:rPr>
        <w:t>Limited</w:t>
      </w:r>
      <w:r w:rsidR="00AC4F82" w:rsidRPr="001C3654">
        <w:rPr>
          <w:rFonts w:eastAsia="Calibri" w:cs="Times New Roman"/>
          <w:b/>
        </w:rPr>
        <w:t xml:space="preserve"> strategic leadership has been a key factor constraining the effectiveness of PLP3, especially its ability to communicate with influence.  </w:t>
      </w:r>
      <w:r w:rsidR="008A7572" w:rsidRPr="001C3654">
        <w:rPr>
          <w:lang w:val="en-US"/>
        </w:rPr>
        <w:t>B</w:t>
      </w:r>
      <w:r w:rsidRPr="001C3654">
        <w:rPr>
          <w:lang w:val="en-US"/>
        </w:rPr>
        <w:t xml:space="preserve">ureaucracies such as DFAT's will always experience change and </w:t>
      </w:r>
      <w:r w:rsidR="00AC4F82" w:rsidRPr="001C3654">
        <w:rPr>
          <w:lang w:val="en-US"/>
        </w:rPr>
        <w:t>variable</w:t>
      </w:r>
      <w:r w:rsidRPr="001C3654">
        <w:rPr>
          <w:lang w:val="en-US"/>
        </w:rPr>
        <w:t xml:space="preserve"> level</w:t>
      </w:r>
      <w:r w:rsidR="008A7572" w:rsidRPr="001C3654">
        <w:rPr>
          <w:lang w:val="en-US"/>
        </w:rPr>
        <w:t>s</w:t>
      </w:r>
      <w:r w:rsidRPr="001C3654">
        <w:rPr>
          <w:lang w:val="en-US"/>
        </w:rPr>
        <w:t xml:space="preserve"> of </w:t>
      </w:r>
      <w:r w:rsidR="008A7572" w:rsidRPr="001C3654">
        <w:rPr>
          <w:lang w:val="en-US"/>
        </w:rPr>
        <w:t>engagement</w:t>
      </w:r>
      <w:r w:rsidRPr="001C3654">
        <w:rPr>
          <w:lang w:val="en-US"/>
        </w:rPr>
        <w:t xml:space="preserve">.  It is incumbent on the managing contractor and the team leader (in partnership with the relevant DFAT managers) to exert influence in spite of those challenges.  </w:t>
      </w:r>
      <w:r w:rsidR="008C35ED">
        <w:rPr>
          <w:lang w:val="en-US"/>
        </w:rPr>
        <w:t xml:space="preserve">For example, </w:t>
      </w:r>
      <w:r w:rsidR="008345FC">
        <w:rPr>
          <w:lang w:val="en-US"/>
        </w:rPr>
        <w:t>PLP</w:t>
      </w:r>
      <w:r w:rsidR="000978BF">
        <w:rPr>
          <w:lang w:val="en-US"/>
        </w:rPr>
        <w:t>3</w:t>
      </w:r>
      <w:r w:rsidR="008345FC">
        <w:rPr>
          <w:lang w:val="en-US"/>
        </w:rPr>
        <w:t>'s</w:t>
      </w:r>
      <w:r w:rsidR="000131D6">
        <w:rPr>
          <w:lang w:val="en-US"/>
        </w:rPr>
        <w:t xml:space="preserve"> published research </w:t>
      </w:r>
      <w:r w:rsidR="007A6DB3">
        <w:rPr>
          <w:lang w:val="en-US"/>
        </w:rPr>
        <w:t>was</w:t>
      </w:r>
      <w:r w:rsidR="00F60D3D">
        <w:rPr>
          <w:lang w:val="en-US"/>
        </w:rPr>
        <w:t xml:space="preserve"> 'broadcast' through the website and other channels, but </w:t>
      </w:r>
      <w:r w:rsidR="000131D6">
        <w:rPr>
          <w:lang w:val="en-US"/>
        </w:rPr>
        <w:t>would have been substantially more influential</w:t>
      </w:r>
      <w:r w:rsidR="00F60D3D">
        <w:rPr>
          <w:lang w:val="en-US"/>
        </w:rPr>
        <w:t xml:space="preserve"> with more emphasis on 'strategic insertion' of the k</w:t>
      </w:r>
      <w:r w:rsidR="001C5337">
        <w:rPr>
          <w:lang w:val="en-US"/>
        </w:rPr>
        <w:t>nowledge generated, for example</w:t>
      </w:r>
      <w:r w:rsidR="00F60D3D">
        <w:rPr>
          <w:lang w:val="en-US"/>
        </w:rPr>
        <w:t xml:space="preserve"> through direct</w:t>
      </w:r>
      <w:r w:rsidR="00AF62E0">
        <w:rPr>
          <w:lang w:val="en-US"/>
        </w:rPr>
        <w:t>, one-on-one</w:t>
      </w:r>
      <w:r w:rsidR="00F60D3D">
        <w:rPr>
          <w:lang w:val="en-US"/>
        </w:rPr>
        <w:t xml:space="preserve"> engagement with DFAT and other stakeholders.</w:t>
      </w:r>
      <w:r w:rsidR="00F60D3D">
        <w:rPr>
          <w:rStyle w:val="FootnoteReference"/>
          <w:lang w:val="en-US"/>
        </w:rPr>
        <w:footnoteReference w:id="79"/>
      </w:r>
      <w:r w:rsidR="00F60D3D">
        <w:rPr>
          <w:lang w:val="en-US"/>
        </w:rPr>
        <w:t xml:space="preserve"> </w:t>
      </w:r>
      <w:r w:rsidR="000131D6">
        <w:rPr>
          <w:lang w:val="en-US"/>
        </w:rPr>
        <w:t xml:space="preserve"> </w:t>
      </w:r>
      <w:r w:rsidRPr="001C3654">
        <w:rPr>
          <w:lang w:val="en-US"/>
        </w:rPr>
        <w:t xml:space="preserve">In the case of PLP3, </w:t>
      </w:r>
      <w:r w:rsidR="00CF00F6" w:rsidRPr="001C3654">
        <w:rPr>
          <w:lang w:val="en-US"/>
        </w:rPr>
        <w:t>the managing contract</w:t>
      </w:r>
      <w:r w:rsidR="00253910" w:rsidRPr="001C3654">
        <w:rPr>
          <w:lang w:val="en-US"/>
        </w:rPr>
        <w:t>or</w:t>
      </w:r>
      <w:r w:rsidR="00CF00F6" w:rsidRPr="001C3654">
        <w:rPr>
          <w:lang w:val="en-US"/>
        </w:rPr>
        <w:t xml:space="preserve"> </w:t>
      </w:r>
      <w:r w:rsidR="000D789F" w:rsidRPr="001C3654">
        <w:rPr>
          <w:lang w:val="en-US"/>
        </w:rPr>
        <w:t>did well to explicitly recogni</w:t>
      </w:r>
      <w:r w:rsidR="001018ED">
        <w:rPr>
          <w:lang w:val="en-US"/>
        </w:rPr>
        <w:t>s</w:t>
      </w:r>
      <w:r w:rsidR="000D789F" w:rsidRPr="001C3654">
        <w:rPr>
          <w:lang w:val="en-US"/>
        </w:rPr>
        <w:t>e the risks associated with both ‘limited strategic engagement with DFAT’ and the ‘failure to recruit a new Pacific team leader’.</w:t>
      </w:r>
      <w:r w:rsidR="000D789F" w:rsidRPr="001C3654">
        <w:rPr>
          <w:rStyle w:val="FootnoteReference"/>
          <w:lang w:val="en-US"/>
        </w:rPr>
        <w:footnoteReference w:id="80"/>
      </w:r>
      <w:r w:rsidR="000D789F" w:rsidRPr="001C3654">
        <w:rPr>
          <w:lang w:val="en-US"/>
        </w:rPr>
        <w:t xml:space="preserve"> However, its planned mitigation actions did not effectively </w:t>
      </w:r>
      <w:r w:rsidRPr="001C3654">
        <w:rPr>
          <w:lang w:val="en-US"/>
        </w:rPr>
        <w:t xml:space="preserve">overcome those challenges.  </w:t>
      </w:r>
    </w:p>
    <w:p w14:paraId="49356DAF" w14:textId="77777777" w:rsidR="007A09AD" w:rsidRPr="001C3654" w:rsidRDefault="00AC4F82" w:rsidP="007A09AD">
      <w:pPr>
        <w:spacing w:before="120"/>
        <w:rPr>
          <w:lang w:val="en-US"/>
        </w:rPr>
      </w:pPr>
      <w:r w:rsidRPr="001C3654">
        <w:rPr>
          <w:rFonts w:eastAsia="Calibri" w:cs="Times New Roman"/>
          <w:b/>
        </w:rPr>
        <w:t>By strategic leadership, we do not mean one person.  We mean the collective high-level leadership of the program</w:t>
      </w:r>
      <w:r w:rsidRPr="001C3654">
        <w:rPr>
          <w:rFonts w:eastAsia="Calibri" w:cs="Times New Roman"/>
        </w:rPr>
        <w:t>, which includes the managing contractor, the team leader, the PLP Advisory Panel</w:t>
      </w:r>
      <w:r w:rsidR="000D789F" w:rsidRPr="001C3654">
        <w:rPr>
          <w:rFonts w:eastAsia="Calibri" w:cs="Times New Roman"/>
        </w:rPr>
        <w:t xml:space="preserve"> and DFAT</w:t>
      </w:r>
      <w:r w:rsidRPr="001C3654">
        <w:rPr>
          <w:rFonts w:eastAsia="Calibri" w:cs="Times New Roman"/>
        </w:rPr>
        <w:t xml:space="preserve"> (at various levels and locations).  Strategic leadership encompasses the ability to project influence in order to make change happen despite bureaucratic and other challenges.  That is, in a sense, the exercise of adaptive leadership in the running of the PLP</w:t>
      </w:r>
      <w:r w:rsidR="00CA1DBC">
        <w:rPr>
          <w:rFonts w:eastAsia="Calibri" w:cs="Times New Roman"/>
        </w:rPr>
        <w:t>3</w:t>
      </w:r>
      <w:r w:rsidRPr="001C3654">
        <w:rPr>
          <w:rFonts w:eastAsia="Calibri" w:cs="Times New Roman"/>
        </w:rPr>
        <w:t xml:space="preserve"> itself.  It also involves high-level guidance and informed discussions around risk and risk taking.  </w:t>
      </w:r>
      <w:r w:rsidR="007A09AD" w:rsidRPr="001C3654">
        <w:rPr>
          <w:lang w:val="en-US"/>
        </w:rPr>
        <w:t xml:space="preserve">With hindsight, the </w:t>
      </w:r>
      <w:r w:rsidR="005B3F9B">
        <w:rPr>
          <w:lang w:val="en-US"/>
        </w:rPr>
        <w:t>inability</w:t>
      </w:r>
      <w:r w:rsidR="005B3F9B" w:rsidRPr="001C3654">
        <w:rPr>
          <w:lang w:val="en-US"/>
        </w:rPr>
        <w:t xml:space="preserve"> </w:t>
      </w:r>
      <w:r w:rsidR="007A09AD" w:rsidRPr="001C3654">
        <w:rPr>
          <w:lang w:val="en-US"/>
        </w:rPr>
        <w:t xml:space="preserve">to recruit a senior and influential Pacific Islander as a team leader (despite two attempts), the </w:t>
      </w:r>
      <w:r w:rsidR="00894332" w:rsidRPr="001C3654">
        <w:rPr>
          <w:lang w:val="en-US"/>
        </w:rPr>
        <w:t>failure to fill this ‘space’ by other methods</w:t>
      </w:r>
      <w:r w:rsidR="004B7787">
        <w:rPr>
          <w:lang w:val="en-US"/>
        </w:rPr>
        <w:t>,</w:t>
      </w:r>
      <w:r w:rsidR="00894332" w:rsidRPr="001C3654">
        <w:rPr>
          <w:lang w:val="en-US"/>
        </w:rPr>
        <w:t xml:space="preserve"> including greater </w:t>
      </w:r>
      <w:r w:rsidR="007A09AD" w:rsidRPr="001C3654">
        <w:rPr>
          <w:lang w:val="en-US"/>
        </w:rPr>
        <w:t xml:space="preserve">engagement of the Advisory Panel (composed of outstanding individuals, but with only two meetings held, both in 2016) </w:t>
      </w:r>
      <w:r w:rsidR="00AA4D72">
        <w:rPr>
          <w:lang w:val="en-US"/>
        </w:rPr>
        <w:t>and the</w:t>
      </w:r>
      <w:r w:rsidR="00FC4BD0">
        <w:rPr>
          <w:lang w:val="en-US"/>
        </w:rPr>
        <w:t xml:space="preserve"> challenge of better linking PLP3 to high priority policy and program areas </w:t>
      </w:r>
      <w:r w:rsidR="00CA1DBC">
        <w:rPr>
          <w:lang w:val="en-US"/>
        </w:rPr>
        <w:t>(</w:t>
      </w:r>
      <w:r w:rsidR="00FC4BD0">
        <w:rPr>
          <w:lang w:val="en-US"/>
        </w:rPr>
        <w:t xml:space="preserve">such as </w:t>
      </w:r>
      <w:r w:rsidR="00FC4BD0" w:rsidRPr="001C3654">
        <w:rPr>
          <w:i/>
          <w:lang w:val="en-US"/>
        </w:rPr>
        <w:t>Pacific Women</w:t>
      </w:r>
      <w:r w:rsidR="00FC4BD0">
        <w:rPr>
          <w:lang w:val="en-US"/>
        </w:rPr>
        <w:t xml:space="preserve"> and the innovation agenda</w:t>
      </w:r>
      <w:r w:rsidR="00CA1DBC">
        <w:rPr>
          <w:lang w:val="en-US"/>
        </w:rPr>
        <w:t>)</w:t>
      </w:r>
      <w:r w:rsidR="00FC4BD0">
        <w:rPr>
          <w:lang w:val="en-US"/>
        </w:rPr>
        <w:t xml:space="preserve"> </w:t>
      </w:r>
      <w:r w:rsidR="007A09AD" w:rsidRPr="001C3654">
        <w:rPr>
          <w:lang w:val="en-US"/>
        </w:rPr>
        <w:t xml:space="preserve">stand out as missed opportunities.  </w:t>
      </w:r>
    </w:p>
    <w:p w14:paraId="21BDBE19" w14:textId="77777777" w:rsidR="007A09AD" w:rsidRPr="001C3654" w:rsidRDefault="007A09AD" w:rsidP="007A09AD">
      <w:pPr>
        <w:spacing w:before="120"/>
        <w:rPr>
          <w:lang w:val="en-US"/>
        </w:rPr>
      </w:pPr>
      <w:r w:rsidRPr="001C3654">
        <w:rPr>
          <w:b/>
          <w:lang w:val="en-US"/>
        </w:rPr>
        <w:t xml:space="preserve">The managing contractor modality, and the way it was implemented, had a number of </w:t>
      </w:r>
      <w:r w:rsidR="00D32DEC" w:rsidRPr="001C3654">
        <w:rPr>
          <w:b/>
          <w:lang w:val="en-US"/>
        </w:rPr>
        <w:t>limitations</w:t>
      </w:r>
      <w:r w:rsidRPr="001C3654">
        <w:rPr>
          <w:b/>
          <w:lang w:val="en-US"/>
        </w:rPr>
        <w:t xml:space="preserve"> in hindsight.</w:t>
      </w:r>
      <w:r w:rsidR="00925CAA" w:rsidRPr="001C3654">
        <w:rPr>
          <w:lang w:val="en-US"/>
        </w:rPr>
        <w:t xml:space="preserve">  </w:t>
      </w:r>
      <w:r w:rsidR="00CA1DBC">
        <w:rPr>
          <w:lang w:val="en-US"/>
        </w:rPr>
        <w:t>However, e</w:t>
      </w:r>
      <w:r w:rsidR="00DA1E5B">
        <w:rPr>
          <w:lang w:val="en-US"/>
        </w:rPr>
        <w:t>ven during</w:t>
      </w:r>
      <w:r w:rsidR="00925CAA" w:rsidRPr="001C3654">
        <w:rPr>
          <w:lang w:val="en-US"/>
        </w:rPr>
        <w:t xml:space="preserve"> p</w:t>
      </w:r>
      <w:r w:rsidRPr="001C3654">
        <w:rPr>
          <w:lang w:val="en-US"/>
        </w:rPr>
        <w:t xml:space="preserve">hases 1 and 2 </w:t>
      </w:r>
      <w:r w:rsidR="00DA1E5B">
        <w:rPr>
          <w:lang w:val="en-US"/>
        </w:rPr>
        <w:t>– when PLP was</w:t>
      </w:r>
      <w:r w:rsidRPr="001C3654">
        <w:rPr>
          <w:lang w:val="en-US"/>
        </w:rPr>
        <w:t xml:space="preserve"> led by </w:t>
      </w:r>
      <w:r w:rsidR="00DA1E5B">
        <w:rPr>
          <w:lang w:val="en-US"/>
        </w:rPr>
        <w:t>DFAT officers – the program struggled to articulate its 'offer' to the wider aid program.</w:t>
      </w:r>
      <w:r w:rsidR="003931CF">
        <w:rPr>
          <w:rStyle w:val="FootnoteReference"/>
          <w:lang w:val="en-US"/>
        </w:rPr>
        <w:footnoteReference w:id="81"/>
      </w:r>
      <w:r w:rsidR="006B60B6">
        <w:rPr>
          <w:lang w:val="en-US"/>
        </w:rPr>
        <w:t xml:space="preserve"> </w:t>
      </w:r>
      <w:r w:rsidR="00DA1E5B">
        <w:rPr>
          <w:lang w:val="en-US"/>
        </w:rPr>
        <w:t xml:space="preserve"> </w:t>
      </w:r>
      <w:r w:rsidR="003931CF">
        <w:rPr>
          <w:lang w:val="en-US"/>
        </w:rPr>
        <w:t>The shift to a pure</w:t>
      </w:r>
      <w:r w:rsidR="004B7787">
        <w:rPr>
          <w:lang w:val="en-US"/>
        </w:rPr>
        <w:t>ly</w:t>
      </w:r>
      <w:r w:rsidR="003931CF">
        <w:rPr>
          <w:lang w:val="en-US"/>
        </w:rPr>
        <w:t xml:space="preserve"> managing contractor model exacerbated these challenges</w:t>
      </w:r>
      <w:r w:rsidR="006B60B6">
        <w:rPr>
          <w:lang w:val="en-US"/>
        </w:rPr>
        <w:t xml:space="preserve">, making </w:t>
      </w:r>
      <w:r w:rsidR="004B7787">
        <w:rPr>
          <w:lang w:val="en-US"/>
        </w:rPr>
        <w:t xml:space="preserve">PLP3 </w:t>
      </w:r>
      <w:r w:rsidR="006B60B6">
        <w:rPr>
          <w:lang w:val="en-US"/>
        </w:rPr>
        <w:t>more peripheral to the rest of the aid program</w:t>
      </w:r>
      <w:r w:rsidRPr="001C3654">
        <w:rPr>
          <w:lang w:val="en-US"/>
        </w:rPr>
        <w:t xml:space="preserve">.  At the same time, the absence of high-level </w:t>
      </w:r>
      <w:r w:rsidR="00894332" w:rsidRPr="001C3654">
        <w:rPr>
          <w:lang w:val="en-US"/>
        </w:rPr>
        <w:t>intellectual</w:t>
      </w:r>
      <w:r w:rsidRPr="001C3654">
        <w:rPr>
          <w:lang w:val="en-US"/>
        </w:rPr>
        <w:t xml:space="preserve"> leadership</w:t>
      </w:r>
      <w:r w:rsidR="00894332" w:rsidRPr="001C3654">
        <w:rPr>
          <w:lang w:val="en-US"/>
        </w:rPr>
        <w:t xml:space="preserve"> by a Pacific Islander</w:t>
      </w:r>
      <w:r w:rsidRPr="001C3654">
        <w:rPr>
          <w:lang w:val="en-US"/>
        </w:rPr>
        <w:t>, and no Pacific institutional home, meant that PLP</w:t>
      </w:r>
      <w:r w:rsidR="00925CAA" w:rsidRPr="001C3654">
        <w:rPr>
          <w:lang w:val="en-US"/>
        </w:rPr>
        <w:t>3</w:t>
      </w:r>
      <w:r w:rsidRPr="001C3654">
        <w:rPr>
          <w:lang w:val="en-US"/>
        </w:rPr>
        <w:t xml:space="preserve"> had a limited ability to project influence across the </w:t>
      </w:r>
      <w:r w:rsidR="00894332" w:rsidRPr="001C3654">
        <w:rPr>
          <w:lang w:val="en-US"/>
        </w:rPr>
        <w:t>region</w:t>
      </w:r>
      <w:r w:rsidRPr="001C3654">
        <w:rPr>
          <w:lang w:val="en-US"/>
        </w:rPr>
        <w:t>.</w:t>
      </w:r>
    </w:p>
    <w:p w14:paraId="073291AA" w14:textId="77777777" w:rsidR="007A09AD" w:rsidRDefault="007A09AD" w:rsidP="007A09AD">
      <w:pPr>
        <w:pStyle w:val="SDANumberedheading2"/>
        <w:ind w:left="709" w:hanging="709"/>
      </w:pPr>
      <w:bookmarkStart w:id="47" w:name="_Toc486247211"/>
      <w:r>
        <w:t>Supporting Collective Action, and Policy and Institutional Changes</w:t>
      </w:r>
      <w:bookmarkEnd w:id="47"/>
    </w:p>
    <w:p w14:paraId="3A0ACC4C" w14:textId="77777777" w:rsidR="007A09AD" w:rsidRPr="001C3654" w:rsidRDefault="007A09AD" w:rsidP="00FE41C5">
      <w:pPr>
        <w:pBdr>
          <w:top w:val="single" w:sz="4" w:space="1" w:color="auto"/>
          <w:left w:val="single" w:sz="4" w:space="4" w:color="auto"/>
          <w:bottom w:val="single" w:sz="4" w:space="1" w:color="auto"/>
          <w:right w:val="single" w:sz="4" w:space="4" w:color="auto"/>
        </w:pBdr>
        <w:shd w:val="clear" w:color="auto" w:fill="DBE5F1" w:themeFill="accent1" w:themeFillTint="33"/>
        <w:spacing w:before="120"/>
        <w:rPr>
          <w:i/>
          <w:lang w:val="en-US"/>
        </w:rPr>
      </w:pPr>
      <w:r w:rsidRPr="001C3654">
        <w:rPr>
          <w:rFonts w:eastAsia="Calibri" w:cs="Times New Roman"/>
          <w:b/>
        </w:rPr>
        <w:t>PLP3 has been its most effective in supporting collective action by Pacific Island leaders in pursuit of policy and institutional changes and reforms.</w:t>
      </w:r>
      <w:r w:rsidRPr="001C3654">
        <w:rPr>
          <w:rFonts w:eastAsia="Calibri" w:cs="Times New Roman"/>
        </w:rPr>
        <w:t xml:space="preserve">  The program is </w:t>
      </w:r>
      <w:r w:rsidRPr="001C3654">
        <w:rPr>
          <w:rFonts w:eastAsia="Calibri" w:cs="Times New Roman"/>
          <w:u w:val="single"/>
        </w:rPr>
        <w:t>largely on track</w:t>
      </w:r>
      <w:r w:rsidRPr="001C3654">
        <w:rPr>
          <w:rFonts w:eastAsia="Calibri" w:cs="Times New Roman"/>
        </w:rPr>
        <w:t xml:space="preserve"> to achieve </w:t>
      </w:r>
      <w:r w:rsidRPr="001C3654">
        <w:rPr>
          <w:i/>
          <w:lang w:val="en-US"/>
        </w:rPr>
        <w:t xml:space="preserve">Result Stream 2: Collective action by Pacific Island leaders in pursuit of policy and institutional changes and reforms to promote stability, effective governance and economic growth at the regional, national and sub-national level. </w:t>
      </w:r>
    </w:p>
    <w:p w14:paraId="4B4C5986" w14:textId="77777777" w:rsidR="00922B01" w:rsidRPr="001C3654" w:rsidRDefault="007A09AD" w:rsidP="007A09AD">
      <w:pPr>
        <w:spacing w:before="120"/>
        <w:rPr>
          <w:lang w:val="en-US"/>
        </w:rPr>
      </w:pPr>
      <w:r w:rsidRPr="001C3654">
        <w:rPr>
          <w:b/>
          <w:lang w:val="en-US"/>
        </w:rPr>
        <w:t>At the national and sub-national levels, PLP3 is generally seen by partners as bringing something unique to its partnerships.</w:t>
      </w:r>
      <w:r w:rsidRPr="001C3654">
        <w:rPr>
          <w:lang w:val="en-US"/>
        </w:rPr>
        <w:t xml:space="preserve">  Stakeholders frequently described PLP as being different to other donor </w:t>
      </w:r>
      <w:r w:rsidR="00066B6A">
        <w:rPr>
          <w:lang w:val="en-US"/>
        </w:rPr>
        <w:t>programs</w:t>
      </w:r>
      <w:r w:rsidRPr="001C3654">
        <w:rPr>
          <w:lang w:val="en-US"/>
        </w:rPr>
        <w:t>.  In particular, they value PLP's willingness to listen and explore solutions specific to their partners, rather than imposing a prescribed solution.  One stakeholder summed up this approach as follows: "</w:t>
      </w:r>
      <w:r w:rsidRPr="00CA1DBC">
        <w:rPr>
          <w:i/>
          <w:lang w:val="en-US"/>
        </w:rPr>
        <w:t>PLP took the time to get to know us, and therefore they understood both our [limited] capacity and our [large] potential</w:t>
      </w:r>
      <w:r w:rsidRPr="001C3654">
        <w:rPr>
          <w:lang w:val="en-US"/>
        </w:rPr>
        <w:t>".  This approach, combined with genuine flexibility of programming and the passion and expertise of PLP</w:t>
      </w:r>
      <w:r w:rsidR="00925CAA" w:rsidRPr="001C3654">
        <w:rPr>
          <w:lang w:val="en-US"/>
        </w:rPr>
        <w:t>3</w:t>
      </w:r>
      <w:r w:rsidRPr="001C3654">
        <w:rPr>
          <w:lang w:val="en-US"/>
        </w:rPr>
        <w:t xml:space="preserve"> staff, has played an important enabling role in the taking of collective action for development</w:t>
      </w:r>
      <w:r w:rsidR="00925CAA" w:rsidRPr="001C3654">
        <w:rPr>
          <w:lang w:val="en-US"/>
        </w:rPr>
        <w:t>al</w:t>
      </w:r>
      <w:r w:rsidRPr="001C3654">
        <w:rPr>
          <w:lang w:val="en-US"/>
        </w:rPr>
        <w:t xml:space="preserve"> change by networks and coalitions of Pacific leaders.  </w:t>
      </w:r>
      <w:r w:rsidR="003B2CB0" w:rsidRPr="001C3654">
        <w:rPr>
          <w:lang w:val="en-US"/>
        </w:rPr>
        <w:t xml:space="preserve">Three </w:t>
      </w:r>
      <w:r w:rsidRPr="001C3654">
        <w:rPr>
          <w:lang w:val="en-US"/>
        </w:rPr>
        <w:t xml:space="preserve">compelling examples </w:t>
      </w:r>
      <w:r w:rsidR="003B2CB0" w:rsidRPr="001C3654">
        <w:rPr>
          <w:lang w:val="en-US"/>
        </w:rPr>
        <w:t xml:space="preserve">at the sub-national and national levels </w:t>
      </w:r>
      <w:r w:rsidRPr="001C3654">
        <w:rPr>
          <w:lang w:val="en-US"/>
        </w:rPr>
        <w:t>are PLP</w:t>
      </w:r>
      <w:r w:rsidR="00CA1DBC">
        <w:rPr>
          <w:lang w:val="en-US"/>
        </w:rPr>
        <w:t>3</w:t>
      </w:r>
      <w:r w:rsidRPr="001C3654">
        <w:rPr>
          <w:lang w:val="en-US"/>
        </w:rPr>
        <w:t>'s support for the Simbo for Change project in Solomon Islands</w:t>
      </w:r>
      <w:r w:rsidR="003B2CB0" w:rsidRPr="001C3654">
        <w:rPr>
          <w:lang w:val="en-US"/>
        </w:rPr>
        <w:t>,</w:t>
      </w:r>
      <w:r w:rsidR="000D789F" w:rsidRPr="001C3654">
        <w:rPr>
          <w:lang w:val="en-US"/>
        </w:rPr>
        <w:t xml:space="preserve"> the Tongan National Leadership Development Forum (TNLDF)</w:t>
      </w:r>
      <w:r w:rsidR="003B2CB0" w:rsidRPr="001C3654">
        <w:rPr>
          <w:lang w:val="en-US"/>
        </w:rPr>
        <w:t>, and the Samoa Chamber of Commerce and Industry</w:t>
      </w:r>
      <w:r w:rsidR="0069046E" w:rsidRPr="001C3654">
        <w:rPr>
          <w:lang w:val="en-US"/>
        </w:rPr>
        <w:t xml:space="preserve"> (SCCI)</w:t>
      </w:r>
      <w:r w:rsidR="000D789F" w:rsidRPr="001C3654">
        <w:rPr>
          <w:lang w:val="en-US"/>
        </w:rPr>
        <w:t xml:space="preserve">. </w:t>
      </w:r>
    </w:p>
    <w:p w14:paraId="4B134252" w14:textId="77777777" w:rsidR="00E33063" w:rsidRPr="00E33063" w:rsidRDefault="00E33063" w:rsidP="007A09AD">
      <w:pPr>
        <w:spacing w:before="120"/>
        <w:rPr>
          <w:sz w:val="24"/>
          <w:szCs w:val="24"/>
          <w:lang w:val="en-US"/>
        </w:rPr>
      </w:pPr>
    </w:p>
    <w:p w14:paraId="3CE4190F" w14:textId="77777777" w:rsidR="00FC2D87" w:rsidRDefault="00FC2D87" w:rsidP="00C72FAF">
      <w:pPr>
        <w:shd w:val="clear" w:color="auto" w:fill="FFFFFF" w:themeFill="background1"/>
        <w:spacing w:before="120"/>
        <w:rPr>
          <w:color w:val="1F497D" w:themeColor="text2"/>
          <w:sz w:val="24"/>
          <w:szCs w:val="24"/>
          <w:lang w:val="en-US"/>
        </w:rPr>
      </w:pPr>
    </w:p>
    <w:p w14:paraId="15A2230D" w14:textId="77777777" w:rsidR="00CB78C7" w:rsidRPr="00134A02" w:rsidRDefault="00FC2D87" w:rsidP="00C72FAF">
      <w:pPr>
        <w:shd w:val="clear" w:color="auto" w:fill="FFFFFF" w:themeFill="background1"/>
        <w:spacing w:before="120"/>
        <w:rPr>
          <w:color w:val="1F497D" w:themeColor="text2"/>
          <w:sz w:val="24"/>
          <w:szCs w:val="24"/>
          <w:lang w:val="en-US"/>
        </w:rPr>
      </w:pPr>
      <w:r>
        <w:rPr>
          <w:noProof/>
          <w:color w:val="1F497D" w:themeColor="text2"/>
          <w:sz w:val="24"/>
          <w:szCs w:val="24"/>
          <w:lang w:eastAsia="en-AU"/>
        </w:rPr>
        <mc:AlternateContent>
          <mc:Choice Requires="wps">
            <w:drawing>
              <wp:anchor distT="0" distB="0" distL="114300" distR="114300" simplePos="0" relativeHeight="251664384" behindDoc="0" locked="0" layoutInCell="1" allowOverlap="1" wp14:anchorId="43E5ECF1" wp14:editId="66BFB94F">
                <wp:simplePos x="0" y="0"/>
                <wp:positionH relativeFrom="margin">
                  <wp:align>center</wp:align>
                </wp:positionH>
                <wp:positionV relativeFrom="margin">
                  <wp:align>top</wp:align>
                </wp:positionV>
                <wp:extent cx="5901055" cy="9004300"/>
                <wp:effectExtent l="50800" t="25400" r="67945" b="114300"/>
                <wp:wrapSquare wrapText="bothSides"/>
                <wp:docPr id="4" name="Text Box 4"/>
                <wp:cNvGraphicFramePr/>
                <a:graphic xmlns:a="http://schemas.openxmlformats.org/drawingml/2006/main">
                  <a:graphicData uri="http://schemas.microsoft.com/office/word/2010/wordprocessingShape">
                    <wps:wsp>
                      <wps:cNvSpPr txBox="1"/>
                      <wps:spPr>
                        <a:xfrm>
                          <a:off x="0" y="0"/>
                          <a:ext cx="5901055" cy="9004300"/>
                        </a:xfrm>
                        <a:prstGeom prst="rect">
                          <a:avLst/>
                        </a:prstGeom>
                        <a:solidFill>
                          <a:schemeClr val="accent1">
                            <a:lumMod val="20000"/>
                            <a:lumOff val="80000"/>
                          </a:schemeClr>
                        </a:solidFill>
                        <a:ln/>
                      </wps:spPr>
                      <wps:style>
                        <a:lnRef idx="1">
                          <a:schemeClr val="accent1"/>
                        </a:lnRef>
                        <a:fillRef idx="2">
                          <a:schemeClr val="accent1"/>
                        </a:fillRef>
                        <a:effectRef idx="1">
                          <a:schemeClr val="accent1"/>
                        </a:effectRef>
                        <a:fontRef idx="minor">
                          <a:schemeClr val="dk1"/>
                        </a:fontRef>
                      </wps:style>
                      <wps:txbx>
                        <w:txbxContent>
                          <w:p w14:paraId="0F299266" w14:textId="77777777" w:rsidR="002E0AD1" w:rsidRPr="001C3654" w:rsidRDefault="002E0AD1" w:rsidP="00A64C2E">
                            <w:pPr>
                              <w:shd w:val="clear" w:color="auto" w:fill="DBE5F1" w:themeFill="accent1" w:themeFillTint="33"/>
                              <w:spacing w:before="120"/>
                              <w:rPr>
                                <w:b/>
                                <w:color w:val="1F497D" w:themeColor="text2"/>
                                <w:sz w:val="28"/>
                                <w:szCs w:val="28"/>
                                <w:lang w:val="en-US"/>
                              </w:rPr>
                            </w:pPr>
                            <w:r w:rsidRPr="001C3654">
                              <w:rPr>
                                <w:b/>
                                <w:color w:val="1F497D" w:themeColor="text2"/>
                                <w:sz w:val="28"/>
                                <w:szCs w:val="28"/>
                                <w:lang w:val="en-US"/>
                              </w:rPr>
                              <w:t>Simbo for Change, Solomon Islands</w:t>
                            </w:r>
                          </w:p>
                          <w:p w14:paraId="48E20B53" w14:textId="77777777" w:rsidR="002E0AD1" w:rsidRPr="001C3654" w:rsidRDefault="002E0AD1" w:rsidP="00A64C2E">
                            <w:pPr>
                              <w:shd w:val="clear" w:color="auto" w:fill="DBE5F1" w:themeFill="accent1" w:themeFillTint="33"/>
                              <w:spacing w:before="120"/>
                              <w:rPr>
                                <w:i/>
                                <w:color w:val="1F497D" w:themeColor="text2"/>
                                <w:sz w:val="24"/>
                                <w:szCs w:val="24"/>
                                <w:lang w:val="en-US"/>
                              </w:rPr>
                            </w:pPr>
                            <w:r w:rsidRPr="001C3654">
                              <w:rPr>
                                <w:i/>
                                <w:color w:val="1F497D" w:themeColor="text2"/>
                                <w:sz w:val="24"/>
                                <w:szCs w:val="24"/>
                                <w:lang w:val="en-US"/>
                              </w:rPr>
                              <w:t>Women-led community transformation</w:t>
                            </w:r>
                          </w:p>
                          <w:p w14:paraId="22D958CE" w14:textId="77777777" w:rsidR="002E0AD1" w:rsidRPr="001C3654" w:rsidRDefault="002E0AD1" w:rsidP="00A64C2E">
                            <w:pPr>
                              <w:shd w:val="clear" w:color="auto" w:fill="DBE5F1" w:themeFill="accent1" w:themeFillTint="33"/>
                              <w:spacing w:before="120"/>
                              <w:rPr>
                                <w:color w:val="1F497D" w:themeColor="text2"/>
                                <w:lang w:val="en-US"/>
                              </w:rPr>
                            </w:pPr>
                            <w:r w:rsidRPr="001C3654">
                              <w:rPr>
                                <w:color w:val="1F497D" w:themeColor="text2"/>
                                <w:lang w:val="en-US"/>
                              </w:rPr>
                              <w:t>Simbo is an island in the Western Province of the Solomon Islands.  It has a population of 1,782 people living in four main communities.  The island faces a number of development challenges, including a scarcity of natural resources, weak infrastructure and lack of services (including water supply, sanitation and health).  Many of Simbo’s challenges reflect those of other islands in Western Province and throughout Solomon Islands.</w:t>
                            </w:r>
                          </w:p>
                          <w:p w14:paraId="07308EA9" w14:textId="77777777" w:rsidR="002E0AD1" w:rsidRPr="001C3654" w:rsidRDefault="002E0AD1" w:rsidP="00A64C2E">
                            <w:pPr>
                              <w:shd w:val="clear" w:color="auto" w:fill="DBE5F1" w:themeFill="accent1" w:themeFillTint="33"/>
                              <w:spacing w:before="120"/>
                              <w:rPr>
                                <w:color w:val="1F497D" w:themeColor="text2"/>
                                <w:lang w:val="en-US"/>
                              </w:rPr>
                            </w:pPr>
                            <w:r w:rsidRPr="001C3654">
                              <w:rPr>
                                <w:color w:val="1F497D" w:themeColor="text2"/>
                                <w:lang w:val="en-US"/>
                              </w:rPr>
                              <w:t>‘</w:t>
                            </w:r>
                            <w:r w:rsidRPr="001C3654">
                              <w:rPr>
                                <w:b/>
                                <w:color w:val="1F497D" w:themeColor="text2"/>
                                <w:lang w:val="en-US"/>
                              </w:rPr>
                              <w:t>Simbo for Change’</w:t>
                            </w:r>
                            <w:r w:rsidRPr="001C3654">
                              <w:rPr>
                                <w:color w:val="1F497D" w:themeColor="text2"/>
                                <w:lang w:val="en-US"/>
                              </w:rPr>
                              <w:t xml:space="preserve"> is the name chosen by Simbo people to describe the partnership between the tribes of Simbo, PLP, and Samoan NGO WIBDI (Women in Business Development Inc.) with whom PLP had a previous relationship.  The partnership was initiated in 2012 (during PLP phase 2) by Esther Suti, a businesswoman native to Simbo and living in the nearby provincial capital of Gizo. </w:t>
                            </w:r>
                          </w:p>
                          <w:p w14:paraId="6CDDA93B" w14:textId="77777777" w:rsidR="002E0AD1" w:rsidRPr="001C3654" w:rsidRDefault="002E0AD1" w:rsidP="00A64C2E">
                            <w:pPr>
                              <w:shd w:val="clear" w:color="auto" w:fill="DBE5F1" w:themeFill="accent1" w:themeFillTint="33"/>
                              <w:spacing w:before="120"/>
                              <w:rPr>
                                <w:color w:val="1F497D" w:themeColor="text2"/>
                                <w:lang w:val="en-US"/>
                              </w:rPr>
                            </w:pPr>
                            <w:r w:rsidRPr="001C3654">
                              <w:rPr>
                                <w:color w:val="1F497D" w:themeColor="text2"/>
                                <w:lang w:val="en-US"/>
                              </w:rPr>
                              <w:t>PLP has supported WIBDI to provide a range of support and training to the communities on Gizo, through activities driven by the local women under Esther's developmental leadership.  It has also provided technical and advisory support, and facilitated access to other stakeholders.  A range of change strategies have been employed, including:</w:t>
                            </w:r>
                          </w:p>
                          <w:p w14:paraId="0EB23359" w14:textId="77777777" w:rsidR="002E0AD1" w:rsidRPr="001C3654" w:rsidRDefault="002E0AD1" w:rsidP="00A64C2E">
                            <w:pPr>
                              <w:pStyle w:val="ListParagraph"/>
                              <w:numPr>
                                <w:ilvl w:val="0"/>
                                <w:numId w:val="50"/>
                              </w:numPr>
                              <w:shd w:val="clear" w:color="auto" w:fill="DBE5F1" w:themeFill="accent1" w:themeFillTint="33"/>
                              <w:spacing w:before="120"/>
                              <w:rPr>
                                <w:color w:val="1F497D" w:themeColor="text2"/>
                                <w:lang w:val="en-US"/>
                              </w:rPr>
                            </w:pPr>
                            <w:r w:rsidRPr="001C3654">
                              <w:rPr>
                                <w:color w:val="1F497D" w:themeColor="text2"/>
                                <w:lang w:val="en-US"/>
                              </w:rPr>
                              <w:t xml:space="preserve">Improving livelihoods – traditional weaving, print-making and honey production </w:t>
                            </w:r>
                          </w:p>
                          <w:p w14:paraId="65689AFF" w14:textId="77777777" w:rsidR="002E0AD1" w:rsidRPr="001C3654" w:rsidRDefault="002E0AD1" w:rsidP="00A64C2E">
                            <w:pPr>
                              <w:pStyle w:val="ListParagraph"/>
                              <w:numPr>
                                <w:ilvl w:val="0"/>
                                <w:numId w:val="50"/>
                              </w:numPr>
                              <w:shd w:val="clear" w:color="auto" w:fill="DBE5F1" w:themeFill="accent1" w:themeFillTint="33"/>
                              <w:spacing w:before="120"/>
                              <w:rPr>
                                <w:color w:val="1F497D" w:themeColor="text2"/>
                                <w:lang w:val="en-US"/>
                              </w:rPr>
                            </w:pPr>
                            <w:r w:rsidRPr="001C3654">
                              <w:rPr>
                                <w:color w:val="1F497D" w:themeColor="text2"/>
                                <w:lang w:val="en-US"/>
                              </w:rPr>
                              <w:t>Working towards organic accreditation – environmental cleanup and seeking value-added export opportunities</w:t>
                            </w:r>
                          </w:p>
                          <w:p w14:paraId="790F1548" w14:textId="77777777" w:rsidR="002E0AD1" w:rsidRPr="001C3654" w:rsidRDefault="002E0AD1" w:rsidP="00A64C2E">
                            <w:pPr>
                              <w:pStyle w:val="ListParagraph"/>
                              <w:numPr>
                                <w:ilvl w:val="0"/>
                                <w:numId w:val="50"/>
                              </w:numPr>
                              <w:shd w:val="clear" w:color="auto" w:fill="DBE5F1" w:themeFill="accent1" w:themeFillTint="33"/>
                              <w:spacing w:before="120"/>
                              <w:rPr>
                                <w:color w:val="1F497D" w:themeColor="text2"/>
                                <w:lang w:val="en-US"/>
                              </w:rPr>
                            </w:pPr>
                            <w:r w:rsidRPr="001C3654">
                              <w:rPr>
                                <w:color w:val="1F497D" w:themeColor="text2"/>
                                <w:lang w:val="en-US"/>
                              </w:rPr>
                              <w:t xml:space="preserve">Enhancing </w:t>
                            </w:r>
                            <w:r>
                              <w:rPr>
                                <w:color w:val="1F497D" w:themeColor="text2"/>
                                <w:lang w:val="en-US"/>
                              </w:rPr>
                              <w:t>savings – savings clubs and</w:t>
                            </w:r>
                            <w:r w:rsidRPr="001C3654">
                              <w:rPr>
                                <w:color w:val="1F497D" w:themeColor="text2"/>
                                <w:lang w:val="en-US"/>
                              </w:rPr>
                              <w:t xml:space="preserve"> participation in the national superannuation fund</w:t>
                            </w:r>
                          </w:p>
                          <w:p w14:paraId="52B05388" w14:textId="77777777" w:rsidR="002E0AD1" w:rsidRPr="001C3654" w:rsidRDefault="002E0AD1" w:rsidP="00A64C2E">
                            <w:pPr>
                              <w:pStyle w:val="ListParagraph"/>
                              <w:numPr>
                                <w:ilvl w:val="0"/>
                                <w:numId w:val="50"/>
                              </w:numPr>
                              <w:shd w:val="clear" w:color="auto" w:fill="DBE5F1" w:themeFill="accent1" w:themeFillTint="33"/>
                              <w:spacing w:before="120"/>
                              <w:rPr>
                                <w:color w:val="1F497D" w:themeColor="text2"/>
                                <w:lang w:val="en-US"/>
                              </w:rPr>
                            </w:pPr>
                            <w:r w:rsidRPr="001C3654">
                              <w:rPr>
                                <w:color w:val="1F497D" w:themeColor="text2"/>
                                <w:lang w:val="en-US"/>
                              </w:rPr>
                              <w:t>Empowering women – economically, within families and through establishment of the Madegugusu Women’s Association</w:t>
                            </w:r>
                          </w:p>
                          <w:p w14:paraId="5181634B" w14:textId="77777777" w:rsidR="002E0AD1" w:rsidRPr="001C3654" w:rsidRDefault="002E0AD1" w:rsidP="00A64C2E">
                            <w:pPr>
                              <w:pStyle w:val="ListParagraph"/>
                              <w:numPr>
                                <w:ilvl w:val="0"/>
                                <w:numId w:val="50"/>
                              </w:numPr>
                              <w:shd w:val="clear" w:color="auto" w:fill="DBE5F1" w:themeFill="accent1" w:themeFillTint="33"/>
                              <w:spacing w:before="120"/>
                              <w:rPr>
                                <w:color w:val="1F497D" w:themeColor="text2"/>
                                <w:lang w:val="en-US"/>
                              </w:rPr>
                            </w:pPr>
                            <w:r w:rsidRPr="001C3654">
                              <w:rPr>
                                <w:color w:val="1F497D" w:themeColor="text2"/>
                                <w:lang w:val="en-US"/>
                              </w:rPr>
                              <w:t>Engaging men – to ensure men support women's empowerment, and see that it does not take place at their expense</w:t>
                            </w:r>
                          </w:p>
                          <w:p w14:paraId="6BCB1ABF" w14:textId="77777777" w:rsidR="002E0AD1" w:rsidRPr="001C3654" w:rsidRDefault="002E0AD1" w:rsidP="00A64C2E">
                            <w:pPr>
                              <w:pStyle w:val="ListParagraph"/>
                              <w:numPr>
                                <w:ilvl w:val="0"/>
                                <w:numId w:val="50"/>
                              </w:numPr>
                              <w:shd w:val="clear" w:color="auto" w:fill="DBE5F1" w:themeFill="accent1" w:themeFillTint="33"/>
                              <w:spacing w:before="120"/>
                              <w:rPr>
                                <w:color w:val="1F497D" w:themeColor="text2"/>
                                <w:lang w:val="en-US"/>
                              </w:rPr>
                            </w:pPr>
                            <w:r w:rsidRPr="001C3654">
                              <w:rPr>
                                <w:color w:val="1F497D" w:themeColor="text2"/>
                                <w:lang w:val="en-US"/>
                              </w:rPr>
                              <w:t xml:space="preserve">Enlivening the community – encouraging developmental leadership by traditional tribal authorities, churches and school authorities </w:t>
                            </w:r>
                          </w:p>
                          <w:p w14:paraId="69CDFDCE" w14:textId="77777777" w:rsidR="002E0AD1" w:rsidRPr="001C3654" w:rsidRDefault="002E0AD1" w:rsidP="00A64C2E">
                            <w:pPr>
                              <w:pStyle w:val="ListParagraph"/>
                              <w:numPr>
                                <w:ilvl w:val="0"/>
                                <w:numId w:val="50"/>
                              </w:numPr>
                              <w:shd w:val="clear" w:color="auto" w:fill="DBE5F1" w:themeFill="accent1" w:themeFillTint="33"/>
                              <w:spacing w:before="120"/>
                              <w:rPr>
                                <w:color w:val="1F497D" w:themeColor="text2"/>
                                <w:lang w:val="en-US"/>
                              </w:rPr>
                            </w:pPr>
                            <w:r w:rsidRPr="001C3654">
                              <w:rPr>
                                <w:color w:val="1F497D" w:themeColor="text2"/>
                                <w:lang w:val="en-US"/>
                              </w:rPr>
                              <w:t xml:space="preserve">Bringing government to Simbo – to attract funding, improved services and respect.  </w:t>
                            </w:r>
                          </w:p>
                          <w:p w14:paraId="1E8EC1BF" w14:textId="77777777" w:rsidR="002E0AD1" w:rsidRPr="001C3654" w:rsidRDefault="002E0AD1" w:rsidP="00A64C2E">
                            <w:pPr>
                              <w:shd w:val="clear" w:color="auto" w:fill="DBE5F1" w:themeFill="accent1" w:themeFillTint="33"/>
                              <w:spacing w:before="120"/>
                              <w:rPr>
                                <w:color w:val="1F497D" w:themeColor="text2"/>
                                <w:lang w:val="en-US"/>
                              </w:rPr>
                            </w:pPr>
                            <w:r w:rsidRPr="001C3654">
                              <w:rPr>
                                <w:b/>
                                <w:color w:val="1F497D" w:themeColor="text2"/>
                                <w:lang w:val="en-US"/>
                              </w:rPr>
                              <w:t>PLP's support, through WIBDI, has enabled the women of Simbo to come together and collectively drive remarkable change on the island</w:t>
                            </w:r>
                            <w:r w:rsidRPr="001C3654">
                              <w:rPr>
                                <w:color w:val="1F497D" w:themeColor="text2"/>
                                <w:lang w:val="en-US"/>
                              </w:rPr>
                              <w:t>.  Some families report that they can more easily pay for school fees and save small amounts for emergency medical treatment for the first time.  Food security is enhanced</w:t>
                            </w:r>
                            <w:r>
                              <w:rPr>
                                <w:color w:val="1F497D" w:themeColor="text2"/>
                                <w:lang w:val="en-US"/>
                              </w:rPr>
                              <w:t>. Simbo w</w:t>
                            </w:r>
                            <w:r w:rsidRPr="001C3654">
                              <w:rPr>
                                <w:color w:val="1F497D" w:themeColor="text2"/>
                                <w:lang w:val="en-US"/>
                              </w:rPr>
                              <w:t xml:space="preserve">omen have joined the National Provident (superannuation) Fund for the first time. Ongoing clean up campaigns towards organic certification have led to a cleaner island, and improved health and food security.  Both male and female members of the community interviewed for this evaluation reported improved relationships within families and less family violence as a direct result of the Simbo for Change activities.  Women are no longer required to spend as long off the island selling produce, and there has reportedly been a reduction in child protection issues on the island.  Provincial and national MPs have taken notice of the project's impact, and the island is attracting increased attention and funding from elected representatives.  The provincial government is exploring opportunities to replicate the successes of the approach on other islands.  It should be noted there have also been a number of challenges in the project, which does not enjoy universal support on the island. </w:t>
                            </w:r>
                          </w:p>
                          <w:p w14:paraId="65AB842B" w14:textId="77777777" w:rsidR="002E0AD1" w:rsidRDefault="002E0AD1" w:rsidP="00A64C2E">
                            <w:pPr>
                              <w:shd w:val="clear" w:color="auto" w:fill="DBE5F1" w:themeFill="accent1" w:themeFillTint="33"/>
                              <w:spacing w:before="120"/>
                              <w:rPr>
                                <w:color w:val="1F497D" w:themeColor="text2"/>
                                <w:lang w:val="en-US"/>
                              </w:rPr>
                            </w:pPr>
                            <w:r w:rsidRPr="001C3654">
                              <w:rPr>
                                <w:color w:val="1F497D" w:themeColor="text2"/>
                                <w:lang w:val="en-US"/>
                              </w:rPr>
                              <w:t xml:space="preserve">PLP's participation in Simbo for Change has enabled the learning and capturing of significant lessons and knowledge.  These include, among others, the role that an external donor can play in supporting development entrepreneurs, what grassroots women's leadership looks like in a Melanesian context, and flow-on effects of women's economic empowerment to general poverty reduction and social issues such as </w:t>
                            </w:r>
                            <w:r>
                              <w:rPr>
                                <w:color w:val="1F497D" w:themeColor="text2"/>
                                <w:lang w:val="en-US"/>
                              </w:rPr>
                              <w:t>family</w:t>
                            </w:r>
                            <w:r w:rsidRPr="001C3654">
                              <w:rPr>
                                <w:color w:val="1F497D" w:themeColor="text2"/>
                                <w:lang w:val="en-US"/>
                              </w:rPr>
                              <w:t xml:space="preserve"> violence.  Further information on Simbo for Change is recorded in the action research case stu</w:t>
                            </w:r>
                            <w:r>
                              <w:rPr>
                                <w:color w:val="1F497D" w:themeColor="text2"/>
                                <w:lang w:val="en-US"/>
                              </w:rPr>
                              <w:t>dy</w:t>
                            </w:r>
                            <w:r w:rsidRPr="001C3654">
                              <w:rPr>
                                <w:color w:val="1F497D" w:themeColor="text2"/>
                                <w:lang w:val="en-US"/>
                              </w:rPr>
                              <w:t>.</w:t>
                            </w:r>
                            <w:r w:rsidRPr="000D7A9C">
                              <w:rPr>
                                <w:color w:val="1F497D" w:themeColor="text2"/>
                                <w:vertAlign w:val="superscript"/>
                                <w:lang w:val="en-US"/>
                              </w:rPr>
                              <w:t>A</w:t>
                            </w:r>
                          </w:p>
                          <w:p w14:paraId="7FFA3FE8" w14:textId="77777777" w:rsidR="002E0AD1" w:rsidRPr="000D7A9C" w:rsidRDefault="002E0AD1" w:rsidP="00A64C2E">
                            <w:pPr>
                              <w:shd w:val="clear" w:color="auto" w:fill="DBE5F1" w:themeFill="accent1" w:themeFillTint="33"/>
                              <w:spacing w:before="120"/>
                              <w:rPr>
                                <w:color w:val="1F497D" w:themeColor="text2"/>
                                <w:sz w:val="18"/>
                                <w:szCs w:val="18"/>
                                <w:lang w:val="en-US"/>
                              </w:rPr>
                            </w:pPr>
                            <w:r w:rsidRPr="000D7A9C">
                              <w:rPr>
                                <w:color w:val="1F497D" w:themeColor="text2"/>
                                <w:sz w:val="18"/>
                                <w:szCs w:val="18"/>
                                <w:vertAlign w:val="superscript"/>
                                <w:lang w:val="en-US"/>
                              </w:rPr>
                              <w:t>A</w:t>
                            </w:r>
                            <w:r w:rsidRPr="000D7A9C">
                              <w:rPr>
                                <w:color w:val="1F497D" w:themeColor="text2"/>
                                <w:sz w:val="18"/>
                                <w:szCs w:val="18"/>
                                <w:lang w:val="en-US"/>
                              </w:rPr>
                              <w:t xml:space="preserve"> Hoatson, Lesley. Case study on Simbo for Change, forthcoming. The information in this box is drawn in part from the case study.</w:t>
                            </w:r>
                          </w:p>
                          <w:p w14:paraId="3E72A2C3" w14:textId="77777777" w:rsidR="002E0AD1" w:rsidRDefault="002E0AD1" w:rsidP="00A64C2E">
                            <w:pPr>
                              <w:shd w:val="clear" w:color="auto" w:fill="DBE5F1" w:themeFill="accent1" w:themeFillTint="33"/>
                            </w:pPr>
                          </w:p>
                          <w:p w14:paraId="4EDAF9DE" w14:textId="77777777" w:rsidR="002E0AD1" w:rsidRDefault="002E0AD1" w:rsidP="00A64C2E">
                            <w:pPr>
                              <w:shd w:val="clear" w:color="auto" w:fill="DBE5F1" w:themeFill="accent1" w:themeFillTint="33"/>
                              <w:spacing w:before="1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5ECF1" id="Text Box 4" o:spid="_x0000_s1028" type="#_x0000_t202" style="position:absolute;left:0;text-align:left;margin-left:0;margin-top:0;width:464.65pt;height:709pt;z-index:25166438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" fillcolor="#dbe5f1 [660]" strokecolor="#4579b8 [3044]">
                <v:shadow on="t" color="black" opacity="24903f" origin=",.5" offset="0,.55556mm"/>
                <v:textbox>
                  <w:txbxContent>
                    <w:p w14:paraId="0F299266" w14:textId="77777777" w:rsidR="002E0AD1" w:rsidRPr="001C3654" w:rsidRDefault="002E0AD1" w:rsidP="00A64C2E">
                      <w:pPr>
                        <w:shd w:val="clear" w:color="auto" w:fill="DBE5F1" w:themeFill="accent1" w:themeFillTint="33"/>
                        <w:spacing w:before="120"/>
                        <w:rPr>
                          <w:b/>
                          <w:color w:val="1F497D" w:themeColor="text2"/>
                          <w:sz w:val="28"/>
                          <w:szCs w:val="28"/>
                          <w:lang w:val="en-US"/>
                        </w:rPr>
                      </w:pPr>
                      <w:r w:rsidRPr="001C3654">
                        <w:rPr>
                          <w:b/>
                          <w:color w:val="1F497D" w:themeColor="text2"/>
                          <w:sz w:val="28"/>
                          <w:szCs w:val="28"/>
                          <w:lang w:val="en-US"/>
                        </w:rPr>
                        <w:t>Simbo for Change, Solomon Islands</w:t>
                      </w:r>
                    </w:p>
                    <w:p w14:paraId="48E20B53" w14:textId="77777777" w:rsidR="002E0AD1" w:rsidRPr="001C3654" w:rsidRDefault="002E0AD1" w:rsidP="00A64C2E">
                      <w:pPr>
                        <w:shd w:val="clear" w:color="auto" w:fill="DBE5F1" w:themeFill="accent1" w:themeFillTint="33"/>
                        <w:spacing w:before="120"/>
                        <w:rPr>
                          <w:i/>
                          <w:color w:val="1F497D" w:themeColor="text2"/>
                          <w:sz w:val="24"/>
                          <w:szCs w:val="24"/>
                          <w:lang w:val="en-US"/>
                        </w:rPr>
                      </w:pPr>
                      <w:r w:rsidRPr="001C3654">
                        <w:rPr>
                          <w:i/>
                          <w:color w:val="1F497D" w:themeColor="text2"/>
                          <w:sz w:val="24"/>
                          <w:szCs w:val="24"/>
                          <w:lang w:val="en-US"/>
                        </w:rPr>
                        <w:t>Women-led community transformation</w:t>
                      </w:r>
                    </w:p>
                    <w:p w14:paraId="22D958CE" w14:textId="77777777" w:rsidR="002E0AD1" w:rsidRPr="001C3654" w:rsidRDefault="002E0AD1" w:rsidP="00A64C2E">
                      <w:pPr>
                        <w:shd w:val="clear" w:color="auto" w:fill="DBE5F1" w:themeFill="accent1" w:themeFillTint="33"/>
                        <w:spacing w:before="120"/>
                        <w:rPr>
                          <w:color w:val="1F497D" w:themeColor="text2"/>
                          <w:lang w:val="en-US"/>
                        </w:rPr>
                      </w:pPr>
                      <w:r w:rsidRPr="001C3654">
                        <w:rPr>
                          <w:color w:val="1F497D" w:themeColor="text2"/>
                          <w:lang w:val="en-US"/>
                        </w:rPr>
                        <w:t>Simbo is an island in the Western Province of the Solomon Islands.  It has a population of 1,782 people living in four main communities.  The island faces a number of development challenges, including a scarcity of natural resources, weak infrastructure and lack of services (including water supply, sanitation and health).  Many of Simbo’s challenges reflect those of other islands in Western Province and throughout Solomon Islands.</w:t>
                      </w:r>
                    </w:p>
                    <w:p w14:paraId="07308EA9" w14:textId="77777777" w:rsidR="002E0AD1" w:rsidRPr="001C3654" w:rsidRDefault="002E0AD1" w:rsidP="00A64C2E">
                      <w:pPr>
                        <w:shd w:val="clear" w:color="auto" w:fill="DBE5F1" w:themeFill="accent1" w:themeFillTint="33"/>
                        <w:spacing w:before="120"/>
                        <w:rPr>
                          <w:color w:val="1F497D" w:themeColor="text2"/>
                          <w:lang w:val="en-US"/>
                        </w:rPr>
                      </w:pPr>
                      <w:r w:rsidRPr="001C3654">
                        <w:rPr>
                          <w:color w:val="1F497D" w:themeColor="text2"/>
                          <w:lang w:val="en-US"/>
                        </w:rPr>
                        <w:t>‘</w:t>
                      </w:r>
                      <w:r w:rsidRPr="001C3654">
                        <w:rPr>
                          <w:b/>
                          <w:color w:val="1F497D" w:themeColor="text2"/>
                          <w:lang w:val="en-US"/>
                        </w:rPr>
                        <w:t>Simbo for Change’</w:t>
                      </w:r>
                      <w:r w:rsidRPr="001C3654">
                        <w:rPr>
                          <w:color w:val="1F497D" w:themeColor="text2"/>
                          <w:lang w:val="en-US"/>
                        </w:rPr>
                        <w:t xml:space="preserve"> is the name chosen by Simbo people to describe the partnership between the tribes of Simbo, PLP, and Samoan NGO WIBDI (Women in Business Development Inc.) with whom PLP had a previous relationship.  The partnership was initiated in 2012 (during PLP phase 2) by Esther Suti, a businesswoman native to Simbo and living in the nearby provincial capital of Gizo. </w:t>
                      </w:r>
                    </w:p>
                    <w:p w14:paraId="6CDDA93B" w14:textId="77777777" w:rsidR="002E0AD1" w:rsidRPr="001C3654" w:rsidRDefault="002E0AD1" w:rsidP="00A64C2E">
                      <w:pPr>
                        <w:shd w:val="clear" w:color="auto" w:fill="DBE5F1" w:themeFill="accent1" w:themeFillTint="33"/>
                        <w:spacing w:before="120"/>
                        <w:rPr>
                          <w:color w:val="1F497D" w:themeColor="text2"/>
                          <w:lang w:val="en-US"/>
                        </w:rPr>
                      </w:pPr>
                      <w:r w:rsidRPr="001C3654">
                        <w:rPr>
                          <w:color w:val="1F497D" w:themeColor="text2"/>
                          <w:lang w:val="en-US"/>
                        </w:rPr>
                        <w:t>PLP has supported WIBDI to provide a range of support and training to the communities on Gizo, through activities driven by the local women under Esther's developmental leadership.  It has also provided technical and advisory support, and facilitated access to other stakeholders.  A range of change strategies have been employed, including:</w:t>
                      </w:r>
                    </w:p>
                    <w:p w14:paraId="0EB23359" w14:textId="77777777" w:rsidR="002E0AD1" w:rsidRPr="001C3654" w:rsidRDefault="002E0AD1" w:rsidP="00A64C2E">
                      <w:pPr>
                        <w:pStyle w:val="ListParagraph"/>
                        <w:numPr>
                          <w:ilvl w:val="0"/>
                          <w:numId w:val="50"/>
                        </w:numPr>
                        <w:shd w:val="clear" w:color="auto" w:fill="DBE5F1" w:themeFill="accent1" w:themeFillTint="33"/>
                        <w:spacing w:before="120"/>
                        <w:rPr>
                          <w:color w:val="1F497D" w:themeColor="text2"/>
                          <w:lang w:val="en-US"/>
                        </w:rPr>
                      </w:pPr>
                      <w:r w:rsidRPr="001C3654">
                        <w:rPr>
                          <w:color w:val="1F497D" w:themeColor="text2"/>
                          <w:lang w:val="en-US"/>
                        </w:rPr>
                        <w:t xml:space="preserve">Improving livelihoods – traditional weaving, print-making and honey production </w:t>
                      </w:r>
                    </w:p>
                    <w:p w14:paraId="65689AFF" w14:textId="77777777" w:rsidR="002E0AD1" w:rsidRPr="001C3654" w:rsidRDefault="002E0AD1" w:rsidP="00A64C2E">
                      <w:pPr>
                        <w:pStyle w:val="ListParagraph"/>
                        <w:numPr>
                          <w:ilvl w:val="0"/>
                          <w:numId w:val="50"/>
                        </w:numPr>
                        <w:shd w:val="clear" w:color="auto" w:fill="DBE5F1" w:themeFill="accent1" w:themeFillTint="33"/>
                        <w:spacing w:before="120"/>
                        <w:rPr>
                          <w:color w:val="1F497D" w:themeColor="text2"/>
                          <w:lang w:val="en-US"/>
                        </w:rPr>
                      </w:pPr>
                      <w:r w:rsidRPr="001C3654">
                        <w:rPr>
                          <w:color w:val="1F497D" w:themeColor="text2"/>
                          <w:lang w:val="en-US"/>
                        </w:rPr>
                        <w:t>Working towards organic accreditation – environmental cleanup and seeking value-added export opportunities</w:t>
                      </w:r>
                    </w:p>
                    <w:p w14:paraId="790F1548" w14:textId="77777777" w:rsidR="002E0AD1" w:rsidRPr="001C3654" w:rsidRDefault="002E0AD1" w:rsidP="00A64C2E">
                      <w:pPr>
                        <w:pStyle w:val="ListParagraph"/>
                        <w:numPr>
                          <w:ilvl w:val="0"/>
                          <w:numId w:val="50"/>
                        </w:numPr>
                        <w:shd w:val="clear" w:color="auto" w:fill="DBE5F1" w:themeFill="accent1" w:themeFillTint="33"/>
                        <w:spacing w:before="120"/>
                        <w:rPr>
                          <w:color w:val="1F497D" w:themeColor="text2"/>
                          <w:lang w:val="en-US"/>
                        </w:rPr>
                      </w:pPr>
                      <w:r w:rsidRPr="001C3654">
                        <w:rPr>
                          <w:color w:val="1F497D" w:themeColor="text2"/>
                          <w:lang w:val="en-US"/>
                        </w:rPr>
                        <w:t xml:space="preserve">Enhancing </w:t>
                      </w:r>
                      <w:r>
                        <w:rPr>
                          <w:color w:val="1F497D" w:themeColor="text2"/>
                          <w:lang w:val="en-US"/>
                        </w:rPr>
                        <w:t>savings – savings clubs and</w:t>
                      </w:r>
                      <w:r w:rsidRPr="001C3654">
                        <w:rPr>
                          <w:color w:val="1F497D" w:themeColor="text2"/>
                          <w:lang w:val="en-US"/>
                        </w:rPr>
                        <w:t xml:space="preserve"> participation in the national superannuation fund</w:t>
                      </w:r>
                    </w:p>
                    <w:p w14:paraId="52B05388" w14:textId="77777777" w:rsidR="002E0AD1" w:rsidRPr="001C3654" w:rsidRDefault="002E0AD1" w:rsidP="00A64C2E">
                      <w:pPr>
                        <w:pStyle w:val="ListParagraph"/>
                        <w:numPr>
                          <w:ilvl w:val="0"/>
                          <w:numId w:val="50"/>
                        </w:numPr>
                        <w:shd w:val="clear" w:color="auto" w:fill="DBE5F1" w:themeFill="accent1" w:themeFillTint="33"/>
                        <w:spacing w:before="120"/>
                        <w:rPr>
                          <w:color w:val="1F497D" w:themeColor="text2"/>
                          <w:lang w:val="en-US"/>
                        </w:rPr>
                      </w:pPr>
                      <w:r w:rsidRPr="001C3654">
                        <w:rPr>
                          <w:color w:val="1F497D" w:themeColor="text2"/>
                          <w:lang w:val="en-US"/>
                        </w:rPr>
                        <w:t>Empowering women – economically, within families and through establishment of the Madegugusu Women’s Association</w:t>
                      </w:r>
                    </w:p>
                    <w:p w14:paraId="5181634B" w14:textId="77777777" w:rsidR="002E0AD1" w:rsidRPr="001C3654" w:rsidRDefault="002E0AD1" w:rsidP="00A64C2E">
                      <w:pPr>
                        <w:pStyle w:val="ListParagraph"/>
                        <w:numPr>
                          <w:ilvl w:val="0"/>
                          <w:numId w:val="50"/>
                        </w:numPr>
                        <w:shd w:val="clear" w:color="auto" w:fill="DBE5F1" w:themeFill="accent1" w:themeFillTint="33"/>
                        <w:spacing w:before="120"/>
                        <w:rPr>
                          <w:color w:val="1F497D" w:themeColor="text2"/>
                          <w:lang w:val="en-US"/>
                        </w:rPr>
                      </w:pPr>
                      <w:r w:rsidRPr="001C3654">
                        <w:rPr>
                          <w:color w:val="1F497D" w:themeColor="text2"/>
                          <w:lang w:val="en-US"/>
                        </w:rPr>
                        <w:t>Engaging men – to ensure men support women's empowerment, and see that it does not take place at their expense</w:t>
                      </w:r>
                    </w:p>
                    <w:p w14:paraId="6BCB1ABF" w14:textId="77777777" w:rsidR="002E0AD1" w:rsidRPr="001C3654" w:rsidRDefault="002E0AD1" w:rsidP="00A64C2E">
                      <w:pPr>
                        <w:pStyle w:val="ListParagraph"/>
                        <w:numPr>
                          <w:ilvl w:val="0"/>
                          <w:numId w:val="50"/>
                        </w:numPr>
                        <w:shd w:val="clear" w:color="auto" w:fill="DBE5F1" w:themeFill="accent1" w:themeFillTint="33"/>
                        <w:spacing w:before="120"/>
                        <w:rPr>
                          <w:color w:val="1F497D" w:themeColor="text2"/>
                          <w:lang w:val="en-US"/>
                        </w:rPr>
                      </w:pPr>
                      <w:r w:rsidRPr="001C3654">
                        <w:rPr>
                          <w:color w:val="1F497D" w:themeColor="text2"/>
                          <w:lang w:val="en-US"/>
                        </w:rPr>
                        <w:t xml:space="preserve">Enlivening the community – encouraging developmental leadership by traditional tribal authorities, churches and school authorities </w:t>
                      </w:r>
                    </w:p>
                    <w:p w14:paraId="69CDFDCE" w14:textId="77777777" w:rsidR="002E0AD1" w:rsidRPr="001C3654" w:rsidRDefault="002E0AD1" w:rsidP="00A64C2E">
                      <w:pPr>
                        <w:pStyle w:val="ListParagraph"/>
                        <w:numPr>
                          <w:ilvl w:val="0"/>
                          <w:numId w:val="50"/>
                        </w:numPr>
                        <w:shd w:val="clear" w:color="auto" w:fill="DBE5F1" w:themeFill="accent1" w:themeFillTint="33"/>
                        <w:spacing w:before="120"/>
                        <w:rPr>
                          <w:color w:val="1F497D" w:themeColor="text2"/>
                          <w:lang w:val="en-US"/>
                        </w:rPr>
                      </w:pPr>
                      <w:r w:rsidRPr="001C3654">
                        <w:rPr>
                          <w:color w:val="1F497D" w:themeColor="text2"/>
                          <w:lang w:val="en-US"/>
                        </w:rPr>
                        <w:t xml:space="preserve">Bringing government to Simbo – to attract funding, improved services and respect.  </w:t>
                      </w:r>
                    </w:p>
                    <w:p w14:paraId="1E8EC1BF" w14:textId="77777777" w:rsidR="002E0AD1" w:rsidRPr="001C3654" w:rsidRDefault="002E0AD1" w:rsidP="00A64C2E">
                      <w:pPr>
                        <w:shd w:val="clear" w:color="auto" w:fill="DBE5F1" w:themeFill="accent1" w:themeFillTint="33"/>
                        <w:spacing w:before="120"/>
                        <w:rPr>
                          <w:color w:val="1F497D" w:themeColor="text2"/>
                          <w:lang w:val="en-US"/>
                        </w:rPr>
                      </w:pPr>
                      <w:r w:rsidRPr="001C3654">
                        <w:rPr>
                          <w:b/>
                          <w:color w:val="1F497D" w:themeColor="text2"/>
                          <w:lang w:val="en-US"/>
                        </w:rPr>
                        <w:t>PLP's support, through WIBDI, has enabled the women of Simbo to come together and collectively drive remarkable change on the island</w:t>
                      </w:r>
                      <w:r w:rsidRPr="001C3654">
                        <w:rPr>
                          <w:color w:val="1F497D" w:themeColor="text2"/>
                          <w:lang w:val="en-US"/>
                        </w:rPr>
                        <w:t>.  Some families report that they can more easily pay for school fees and save small amounts for emergency medical treatment for the first time.  Food security is enhanced</w:t>
                      </w:r>
                      <w:r>
                        <w:rPr>
                          <w:color w:val="1F497D" w:themeColor="text2"/>
                          <w:lang w:val="en-US"/>
                        </w:rPr>
                        <w:t>. Simbo w</w:t>
                      </w:r>
                      <w:r w:rsidRPr="001C3654">
                        <w:rPr>
                          <w:color w:val="1F497D" w:themeColor="text2"/>
                          <w:lang w:val="en-US"/>
                        </w:rPr>
                        <w:t xml:space="preserve">omen have joined the National Provident (superannuation) Fund for the first time. Ongoing clean up campaigns towards organic certification have led to a cleaner island, and improved health and food security.  Both male and female members of the community interviewed for this evaluation reported improved relationships within families and less family violence as a direct result of the Simbo for Change activities.  Women are no longer required to spend as long off the island selling produce, and there has reportedly been a reduction in child protection issues on the island.  Provincial and national MPs have taken notice of the project's impact, and the island is attracting increased attention and funding from elected representatives.  The provincial government is exploring opportunities to replicate the successes of the approach on other islands.  It should be noted there have also been a number of challenges in the project, which does not enjoy universal support on the island. </w:t>
                      </w:r>
                    </w:p>
                    <w:p w14:paraId="65AB842B" w14:textId="77777777" w:rsidR="002E0AD1" w:rsidRDefault="002E0AD1" w:rsidP="00A64C2E">
                      <w:pPr>
                        <w:shd w:val="clear" w:color="auto" w:fill="DBE5F1" w:themeFill="accent1" w:themeFillTint="33"/>
                        <w:spacing w:before="120"/>
                        <w:rPr>
                          <w:color w:val="1F497D" w:themeColor="text2"/>
                          <w:lang w:val="en-US"/>
                        </w:rPr>
                      </w:pPr>
                      <w:r w:rsidRPr="001C3654">
                        <w:rPr>
                          <w:color w:val="1F497D" w:themeColor="text2"/>
                          <w:lang w:val="en-US"/>
                        </w:rPr>
                        <w:t xml:space="preserve">PLP's participation in Simbo for Change has enabled the learning and capturing of significant lessons and knowledge.  These include, among others, the role that an external donor can play in supporting development entrepreneurs, what grassroots women's leadership looks like in a Melanesian context, and flow-on effects of women's economic empowerment to general poverty reduction and social issues such as </w:t>
                      </w:r>
                      <w:r>
                        <w:rPr>
                          <w:color w:val="1F497D" w:themeColor="text2"/>
                          <w:lang w:val="en-US"/>
                        </w:rPr>
                        <w:t>family</w:t>
                      </w:r>
                      <w:r w:rsidRPr="001C3654">
                        <w:rPr>
                          <w:color w:val="1F497D" w:themeColor="text2"/>
                          <w:lang w:val="en-US"/>
                        </w:rPr>
                        <w:t xml:space="preserve"> violence.  Further information on Simbo for Change is recorded in the action research case stu</w:t>
                      </w:r>
                      <w:r>
                        <w:rPr>
                          <w:color w:val="1F497D" w:themeColor="text2"/>
                          <w:lang w:val="en-US"/>
                        </w:rPr>
                        <w:t>dy</w:t>
                      </w:r>
                      <w:r w:rsidRPr="001C3654">
                        <w:rPr>
                          <w:color w:val="1F497D" w:themeColor="text2"/>
                          <w:lang w:val="en-US"/>
                        </w:rPr>
                        <w:t>.</w:t>
                      </w:r>
                      <w:r w:rsidRPr="000D7A9C">
                        <w:rPr>
                          <w:color w:val="1F497D" w:themeColor="text2"/>
                          <w:vertAlign w:val="superscript"/>
                          <w:lang w:val="en-US"/>
                        </w:rPr>
                        <w:t>A</w:t>
                      </w:r>
                    </w:p>
                    <w:p w14:paraId="7FFA3FE8" w14:textId="77777777" w:rsidR="002E0AD1" w:rsidRPr="000D7A9C" w:rsidRDefault="002E0AD1" w:rsidP="00A64C2E">
                      <w:pPr>
                        <w:shd w:val="clear" w:color="auto" w:fill="DBE5F1" w:themeFill="accent1" w:themeFillTint="33"/>
                        <w:spacing w:before="120"/>
                        <w:rPr>
                          <w:color w:val="1F497D" w:themeColor="text2"/>
                          <w:sz w:val="18"/>
                          <w:szCs w:val="18"/>
                          <w:lang w:val="en-US"/>
                        </w:rPr>
                      </w:pPr>
                      <w:r w:rsidRPr="000D7A9C">
                        <w:rPr>
                          <w:color w:val="1F497D" w:themeColor="text2"/>
                          <w:sz w:val="18"/>
                          <w:szCs w:val="18"/>
                          <w:vertAlign w:val="superscript"/>
                          <w:lang w:val="en-US"/>
                        </w:rPr>
                        <w:t>A</w:t>
                      </w:r>
                      <w:r w:rsidRPr="000D7A9C">
                        <w:rPr>
                          <w:color w:val="1F497D" w:themeColor="text2"/>
                          <w:sz w:val="18"/>
                          <w:szCs w:val="18"/>
                          <w:lang w:val="en-US"/>
                        </w:rPr>
                        <w:t xml:space="preserve"> Hoatson, Lesley. Case study on Simbo for Change, forthcoming. The information in this box is drawn in part from the case study.</w:t>
                      </w:r>
                    </w:p>
                    <w:p w14:paraId="3E72A2C3" w14:textId="77777777" w:rsidR="002E0AD1" w:rsidRDefault="002E0AD1" w:rsidP="00A64C2E">
                      <w:pPr>
                        <w:shd w:val="clear" w:color="auto" w:fill="DBE5F1" w:themeFill="accent1" w:themeFillTint="33"/>
                      </w:pPr>
                    </w:p>
                    <w:p w14:paraId="4EDAF9DE" w14:textId="77777777" w:rsidR="002E0AD1" w:rsidRDefault="002E0AD1" w:rsidP="00A64C2E">
                      <w:pPr>
                        <w:shd w:val="clear" w:color="auto" w:fill="DBE5F1" w:themeFill="accent1" w:themeFillTint="33"/>
                        <w:spacing w:before="120"/>
                      </w:pPr>
                    </w:p>
                  </w:txbxContent>
                </v:textbox>
                <w10:wrap type="square" anchorx="margin" anchory="margin"/>
              </v:shape>
            </w:pict>
          </mc:Fallback>
        </mc:AlternateContent>
      </w:r>
      <w:r w:rsidR="00397EA0" w:rsidRPr="00134A02">
        <w:rPr>
          <w:color w:val="1F497D" w:themeColor="text2"/>
          <w:sz w:val="24"/>
          <w:szCs w:val="24"/>
          <w:lang w:val="en-US"/>
        </w:rPr>
        <w:t xml:space="preserve"> </w:t>
      </w:r>
    </w:p>
    <w:p w14:paraId="082771F5" w14:textId="77777777" w:rsidR="009F2021" w:rsidRDefault="00997223" w:rsidP="00C72FAF">
      <w:pPr>
        <w:shd w:val="clear" w:color="auto" w:fill="FFFFFF" w:themeFill="background1"/>
        <w:spacing w:before="120"/>
        <w:rPr>
          <w:color w:val="1F497D" w:themeColor="text2"/>
          <w:sz w:val="24"/>
          <w:szCs w:val="24"/>
          <w:lang w:val="en-US"/>
        </w:rPr>
      </w:pPr>
      <w:r>
        <w:rPr>
          <w:noProof/>
          <w:color w:val="1F497D" w:themeColor="text2"/>
          <w:sz w:val="24"/>
          <w:szCs w:val="24"/>
          <w:lang w:eastAsia="en-AU"/>
        </w:rPr>
        <mc:AlternateContent>
          <mc:Choice Requires="wps">
            <w:drawing>
              <wp:anchor distT="0" distB="0" distL="114300" distR="114300" simplePos="0" relativeHeight="251666432" behindDoc="0" locked="0" layoutInCell="1" allowOverlap="1" wp14:anchorId="6434EAC8" wp14:editId="5D1FE7C0">
                <wp:simplePos x="0" y="0"/>
                <wp:positionH relativeFrom="margin">
                  <wp:align>center</wp:align>
                </wp:positionH>
                <wp:positionV relativeFrom="margin">
                  <wp:align>top</wp:align>
                </wp:positionV>
                <wp:extent cx="5901690" cy="9144000"/>
                <wp:effectExtent l="0" t="0" r="16510" b="25400"/>
                <wp:wrapSquare wrapText="bothSides"/>
                <wp:docPr id="8" name="Text Box 8"/>
                <wp:cNvGraphicFramePr/>
                <a:graphic xmlns:a="http://schemas.openxmlformats.org/drawingml/2006/main">
                  <a:graphicData uri="http://schemas.microsoft.com/office/word/2010/wordprocessingShape">
                    <wps:wsp>
                      <wps:cNvSpPr txBox="1"/>
                      <wps:spPr>
                        <a:xfrm>
                          <a:off x="0" y="0"/>
                          <a:ext cx="5901690" cy="9144000"/>
                        </a:xfrm>
                        <a:prstGeom prst="rect">
                          <a:avLst/>
                        </a:prstGeom>
                        <a:solidFill>
                          <a:schemeClr val="accent1">
                            <a:lumMod val="20000"/>
                            <a:lumOff val="80000"/>
                          </a:schemeClr>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CAFA440" w14:textId="77777777" w:rsidR="002E0AD1" w:rsidRPr="001C3654" w:rsidRDefault="002E0AD1" w:rsidP="00A64C2E">
                            <w:pPr>
                              <w:shd w:val="clear" w:color="auto" w:fill="DBE5F1" w:themeFill="accent1" w:themeFillTint="33"/>
                              <w:tabs>
                                <w:tab w:val="left" w:pos="4536"/>
                              </w:tabs>
                              <w:spacing w:before="120"/>
                              <w:rPr>
                                <w:b/>
                                <w:color w:val="1F497D" w:themeColor="text2"/>
                                <w:sz w:val="28"/>
                                <w:szCs w:val="28"/>
                                <w:lang w:val="en-US"/>
                              </w:rPr>
                            </w:pPr>
                            <w:r w:rsidRPr="001C3654">
                              <w:rPr>
                                <w:b/>
                                <w:color w:val="1F497D" w:themeColor="text2"/>
                                <w:sz w:val="28"/>
                                <w:szCs w:val="28"/>
                                <w:lang w:val="en-US"/>
                              </w:rPr>
                              <w:t>Tongan National Leadership Development Forum</w:t>
                            </w:r>
                          </w:p>
                          <w:p w14:paraId="693CEEAF" w14:textId="77777777" w:rsidR="002E0AD1" w:rsidRPr="001C3654" w:rsidRDefault="002E0AD1" w:rsidP="00A64C2E">
                            <w:pPr>
                              <w:shd w:val="clear" w:color="auto" w:fill="DBE5F1" w:themeFill="accent1" w:themeFillTint="33"/>
                              <w:tabs>
                                <w:tab w:val="left" w:pos="4536"/>
                              </w:tabs>
                              <w:spacing w:before="120"/>
                              <w:rPr>
                                <w:i/>
                                <w:color w:val="1F497D" w:themeColor="text2"/>
                                <w:sz w:val="24"/>
                                <w:szCs w:val="24"/>
                                <w:lang w:val="en-US"/>
                              </w:rPr>
                            </w:pPr>
                            <w:r w:rsidRPr="001C3654">
                              <w:rPr>
                                <w:i/>
                                <w:color w:val="1F497D" w:themeColor="text2"/>
                                <w:sz w:val="24"/>
                                <w:szCs w:val="24"/>
                                <w:lang w:val="en-US"/>
                              </w:rPr>
                              <w:t>A national-level developmental leadership coalition</w:t>
                            </w:r>
                          </w:p>
                          <w:p w14:paraId="619D9BB2" w14:textId="77777777" w:rsidR="002E0AD1" w:rsidRPr="001C3654" w:rsidRDefault="002E0AD1" w:rsidP="00A64C2E">
                            <w:pPr>
                              <w:shd w:val="clear" w:color="auto" w:fill="DBE5F1" w:themeFill="accent1" w:themeFillTint="33"/>
                              <w:tabs>
                                <w:tab w:val="left" w:pos="4536"/>
                              </w:tabs>
                              <w:spacing w:before="120"/>
                              <w:textAlignment w:val="baseline"/>
                              <w:rPr>
                                <w:rFonts w:cstheme="minorHAnsi"/>
                                <w:color w:val="1F497D" w:themeColor="text2"/>
                              </w:rPr>
                            </w:pPr>
                            <w:r w:rsidRPr="001C3654">
                              <w:rPr>
                                <w:rFonts w:eastAsia="Calibri" w:cstheme="minorHAnsi"/>
                                <w:b/>
                                <w:color w:val="1F497D" w:themeColor="text2"/>
                              </w:rPr>
                              <w:t>The concept of leadership is changing in the Kingdom of Tonga</w:t>
                            </w:r>
                            <w:r w:rsidRPr="001C3654">
                              <w:rPr>
                                <w:rFonts w:eastAsia="Calibri" w:cstheme="minorHAnsi"/>
                                <w:color w:val="1F497D" w:themeColor="text2"/>
                              </w:rPr>
                              <w:t xml:space="preserve"> – the only monarchy in the Pacific. The country is in a state of political transition, with its first government democratically elected in 2010. </w:t>
                            </w:r>
                            <w:r w:rsidRPr="001C3654">
                              <w:rPr>
                                <w:rFonts w:cstheme="minorHAnsi"/>
                                <w:color w:val="1F497D" w:themeColor="text2"/>
                              </w:rPr>
                              <w:t xml:space="preserve">The </w:t>
                            </w:r>
                            <w:r w:rsidRPr="001C3654">
                              <w:rPr>
                                <w:rFonts w:cstheme="minorHAnsi"/>
                                <w:b/>
                                <w:color w:val="1F497D" w:themeColor="text2"/>
                              </w:rPr>
                              <w:t>Tonga National Leadership Development Forum</w:t>
                            </w:r>
                            <w:r w:rsidRPr="001C3654">
                              <w:rPr>
                                <w:rFonts w:cstheme="minorHAnsi"/>
                                <w:color w:val="1F497D" w:themeColor="text2"/>
                              </w:rPr>
                              <w:t xml:space="preserve"> (TNLDF) is a coalition which brings together a unique combination of individuals across Tongan society: from the royal family, the nobility, the church, government and civil society. </w:t>
                            </w:r>
                          </w:p>
                          <w:p w14:paraId="766AD99F" w14:textId="77777777" w:rsidR="002E0AD1" w:rsidRPr="001C3654" w:rsidRDefault="002E0AD1" w:rsidP="00A64C2E">
                            <w:pPr>
                              <w:shd w:val="clear" w:color="auto" w:fill="DBE5F1" w:themeFill="accent1" w:themeFillTint="33"/>
                              <w:tabs>
                                <w:tab w:val="left" w:pos="4536"/>
                              </w:tabs>
                              <w:spacing w:before="120"/>
                              <w:textAlignment w:val="baseline"/>
                              <w:rPr>
                                <w:rFonts w:cstheme="minorHAnsi"/>
                                <w:color w:val="1F497D" w:themeColor="text2"/>
                              </w:rPr>
                            </w:pPr>
                            <w:r w:rsidRPr="001C3654">
                              <w:rPr>
                                <w:rFonts w:cstheme="minorHAnsi"/>
                                <w:color w:val="1F497D" w:themeColor="text2"/>
                              </w:rPr>
                              <w:t xml:space="preserve">The TNLDF was established in 2010 and is managed by a Secretariat based in the Civil Society Forum of Tonga (CSFT). Both TNLDF and CSFT are partners of PLP. Interestingly, </w:t>
                            </w:r>
                            <w:r w:rsidRPr="001C3654">
                              <w:rPr>
                                <w:rFonts w:cstheme="minorHAnsi"/>
                                <w:b/>
                                <w:color w:val="1F497D" w:themeColor="text2"/>
                              </w:rPr>
                              <w:t>PLP helped to initiate the very idea of the TNLDF coalition</w:t>
                            </w:r>
                            <w:r w:rsidRPr="001C3654">
                              <w:rPr>
                                <w:rFonts w:cstheme="minorHAnsi"/>
                                <w:color w:val="1F497D" w:themeColor="text2"/>
                              </w:rPr>
                              <w:t xml:space="preserve"> by bringing together key individuals and giving them the space to discuss what leadership issues might be ready for change in Tonga. The TNLDF was formed following this initial PLP-supported meeting.</w:t>
                            </w:r>
                          </w:p>
                          <w:p w14:paraId="7C2BA06B" w14:textId="77777777" w:rsidR="002E0AD1" w:rsidRPr="001C3654" w:rsidRDefault="002E0AD1" w:rsidP="00A64C2E">
                            <w:pPr>
                              <w:shd w:val="clear" w:color="auto" w:fill="DBE5F1" w:themeFill="accent1" w:themeFillTint="33"/>
                              <w:tabs>
                                <w:tab w:val="left" w:pos="4536"/>
                              </w:tabs>
                              <w:spacing w:before="120"/>
                              <w:rPr>
                                <w:rFonts w:cstheme="minorHAnsi"/>
                                <w:color w:val="1F497D" w:themeColor="text2"/>
                              </w:rPr>
                            </w:pPr>
                            <w:r w:rsidRPr="001C3654">
                              <w:rPr>
                                <w:rFonts w:cstheme="minorHAnsi"/>
                                <w:b/>
                                <w:color w:val="1F497D" w:themeColor="text2"/>
                              </w:rPr>
                              <w:t>PLP has supported TNLDF since its inception through providing a range of resources</w:t>
                            </w:r>
                            <w:r w:rsidRPr="001C3654">
                              <w:rPr>
                                <w:rFonts w:cstheme="minorHAnsi"/>
                                <w:color w:val="1F497D" w:themeColor="text2"/>
                              </w:rPr>
                              <w:t xml:space="preserve"> including funding, providing training and technical advice, facilitating connections (i.e. between TNLDF</w:t>
                            </w:r>
                            <w:r>
                              <w:rPr>
                                <w:rFonts w:cstheme="minorHAnsi"/>
                                <w:color w:val="1F497D" w:themeColor="text2"/>
                              </w:rPr>
                              <w:t>,</w:t>
                            </w:r>
                            <w:r w:rsidRPr="001C3654">
                              <w:rPr>
                                <w:rFonts w:cstheme="minorHAnsi"/>
                                <w:color w:val="1F497D" w:themeColor="text2"/>
                              </w:rPr>
                              <w:t xml:space="preserve"> IUCN and the GGLC) and supporting key activities (i.e. TNLDF’s work with traditional young leaders (or nobles) which is a unique offering).</w:t>
                            </w:r>
                          </w:p>
                          <w:p w14:paraId="30B62C39" w14:textId="77777777" w:rsidR="002E0AD1" w:rsidRPr="001C3654" w:rsidRDefault="002E0AD1" w:rsidP="00A64C2E">
                            <w:pPr>
                              <w:shd w:val="clear" w:color="auto" w:fill="DBE5F1" w:themeFill="accent1" w:themeFillTint="33"/>
                              <w:tabs>
                                <w:tab w:val="left" w:pos="4536"/>
                              </w:tabs>
                              <w:spacing w:before="120"/>
                              <w:rPr>
                                <w:rFonts w:cstheme="minorHAnsi"/>
                                <w:color w:val="1F497D" w:themeColor="text2"/>
                              </w:rPr>
                            </w:pPr>
                            <w:r w:rsidRPr="001C3654">
                              <w:rPr>
                                <w:rFonts w:cstheme="minorHAnsi"/>
                                <w:color w:val="1F497D" w:themeColor="text2"/>
                              </w:rPr>
                              <w:t>TNLDF is a developmental leadership coalition. Key achievements of TNLDF include</w:t>
                            </w:r>
                            <w:bookmarkStart w:id="48" w:name="_Toc483483872"/>
                            <w:r w:rsidRPr="001C3654">
                              <w:rPr>
                                <w:rFonts w:cstheme="minorHAnsi"/>
                                <w:color w:val="1F497D" w:themeColor="text2"/>
                              </w:rPr>
                              <w:t xml:space="preserve">: </w:t>
                            </w:r>
                          </w:p>
                          <w:bookmarkEnd w:id="48"/>
                          <w:p w14:paraId="57CB4A37" w14:textId="77777777" w:rsidR="002E0AD1" w:rsidRPr="001C3654" w:rsidRDefault="002E0AD1" w:rsidP="00A64C2E">
                            <w:pPr>
                              <w:shd w:val="clear" w:color="auto" w:fill="DBE5F1" w:themeFill="accent1" w:themeFillTint="33"/>
                              <w:tabs>
                                <w:tab w:val="left" w:pos="4536"/>
                              </w:tabs>
                              <w:spacing w:before="120"/>
                              <w:rPr>
                                <w:rFonts w:cstheme="minorHAnsi"/>
                                <w:b/>
                                <w:color w:val="1F497D" w:themeColor="text2"/>
                              </w:rPr>
                            </w:pPr>
                            <w:r w:rsidRPr="001C3654">
                              <w:rPr>
                                <w:rFonts w:cstheme="minorHAnsi"/>
                                <w:b/>
                                <w:color w:val="1F497D" w:themeColor="text2"/>
                              </w:rPr>
                              <w:t>1. Tonga National Leadership Code</w:t>
                            </w:r>
                          </w:p>
                          <w:p w14:paraId="2CEB1312" w14:textId="77777777" w:rsidR="002E0AD1" w:rsidRPr="001C3654" w:rsidRDefault="002E0AD1" w:rsidP="00A64C2E">
                            <w:pPr>
                              <w:pStyle w:val="ListParagraph"/>
                              <w:numPr>
                                <w:ilvl w:val="0"/>
                                <w:numId w:val="27"/>
                              </w:numPr>
                              <w:shd w:val="clear" w:color="auto" w:fill="DBE5F1" w:themeFill="accent1" w:themeFillTint="33"/>
                              <w:tabs>
                                <w:tab w:val="left" w:pos="4536"/>
                              </w:tabs>
                              <w:spacing w:before="120"/>
                              <w:rPr>
                                <w:rFonts w:cstheme="minorHAnsi"/>
                                <w:color w:val="1F497D" w:themeColor="text2"/>
                              </w:rPr>
                            </w:pPr>
                            <w:r w:rsidRPr="001C3654">
                              <w:rPr>
                                <w:rFonts w:cstheme="minorHAnsi"/>
                                <w:color w:val="1F497D" w:themeColor="text2"/>
                              </w:rPr>
                              <w:t xml:space="preserve">14 Principles that comprise a uniquely Tongan set of leadership values, developed through a nation-wide consultation process, which was as important as the Code itself as a demonstration of democracy </w:t>
                            </w:r>
                          </w:p>
                          <w:p w14:paraId="51477361" w14:textId="77777777" w:rsidR="002E0AD1" w:rsidRPr="001C3654" w:rsidRDefault="002E0AD1" w:rsidP="00A64C2E">
                            <w:pPr>
                              <w:pStyle w:val="ListParagraph"/>
                              <w:numPr>
                                <w:ilvl w:val="0"/>
                                <w:numId w:val="27"/>
                              </w:numPr>
                              <w:shd w:val="clear" w:color="auto" w:fill="DBE5F1" w:themeFill="accent1" w:themeFillTint="33"/>
                              <w:tabs>
                                <w:tab w:val="left" w:pos="4536"/>
                              </w:tabs>
                              <w:spacing w:before="120"/>
                              <w:rPr>
                                <w:rFonts w:cstheme="minorHAnsi"/>
                                <w:color w:val="1F497D" w:themeColor="text2"/>
                              </w:rPr>
                            </w:pPr>
                            <w:r w:rsidRPr="001C3654">
                              <w:rPr>
                                <w:rFonts w:cstheme="minorHAnsi"/>
                                <w:color w:val="1F497D" w:themeColor="text2"/>
                              </w:rPr>
                              <w:t>Endorsed by Tonga’s King and Queen, former and current Prime Ministers, Cabinet Ministers and church leaders</w:t>
                            </w:r>
                          </w:p>
                          <w:p w14:paraId="3D2221E9" w14:textId="77777777" w:rsidR="002E0AD1" w:rsidRPr="00FB0282" w:rsidRDefault="002E0AD1" w:rsidP="00A64C2E">
                            <w:pPr>
                              <w:pStyle w:val="ListParagraph"/>
                              <w:numPr>
                                <w:ilvl w:val="0"/>
                                <w:numId w:val="27"/>
                              </w:numPr>
                              <w:shd w:val="clear" w:color="auto" w:fill="DBE5F1" w:themeFill="accent1" w:themeFillTint="33"/>
                              <w:tabs>
                                <w:tab w:val="left" w:pos="4536"/>
                              </w:tabs>
                              <w:spacing w:before="120"/>
                              <w:rPr>
                                <w:rFonts w:cstheme="minorHAnsi"/>
                                <w:color w:val="1F497D" w:themeColor="text2"/>
                              </w:rPr>
                            </w:pPr>
                            <w:r w:rsidRPr="00FB0282">
                              <w:rPr>
                                <w:rFonts w:cstheme="minorHAnsi"/>
                                <w:color w:val="1F497D" w:themeColor="text2"/>
                              </w:rPr>
                              <w:t>Incorporated into the Tonga Strategic Development Framework 2015-2025</w:t>
                            </w:r>
                          </w:p>
                          <w:p w14:paraId="617BC108" w14:textId="77777777" w:rsidR="002E0AD1" w:rsidRPr="001C3654" w:rsidRDefault="002E0AD1" w:rsidP="00A64C2E">
                            <w:pPr>
                              <w:pStyle w:val="ListParagraph"/>
                              <w:numPr>
                                <w:ilvl w:val="0"/>
                                <w:numId w:val="27"/>
                              </w:numPr>
                              <w:shd w:val="clear" w:color="auto" w:fill="DBE5F1" w:themeFill="accent1" w:themeFillTint="33"/>
                              <w:tabs>
                                <w:tab w:val="left" w:pos="4536"/>
                              </w:tabs>
                              <w:spacing w:before="120"/>
                              <w:rPr>
                                <w:rFonts w:cstheme="minorHAnsi"/>
                                <w:color w:val="1F497D" w:themeColor="text2"/>
                              </w:rPr>
                            </w:pPr>
                            <w:r w:rsidRPr="001C3654">
                              <w:rPr>
                                <w:rFonts w:cstheme="minorHAnsi"/>
                                <w:color w:val="1F497D" w:themeColor="text2"/>
                              </w:rPr>
                              <w:t>Continues to contribute to a national dialogue on leadership and governance in Tonga.</w:t>
                            </w:r>
                          </w:p>
                          <w:p w14:paraId="63A9447E" w14:textId="77777777" w:rsidR="002E0AD1" w:rsidRPr="001C3654" w:rsidRDefault="002E0AD1" w:rsidP="00A64C2E">
                            <w:pPr>
                              <w:shd w:val="clear" w:color="auto" w:fill="DBE5F1" w:themeFill="accent1" w:themeFillTint="33"/>
                              <w:tabs>
                                <w:tab w:val="left" w:pos="4536"/>
                              </w:tabs>
                              <w:spacing w:before="120"/>
                              <w:rPr>
                                <w:rFonts w:cstheme="minorHAnsi"/>
                                <w:b/>
                                <w:color w:val="1F497D" w:themeColor="text2"/>
                              </w:rPr>
                            </w:pPr>
                            <w:r w:rsidRPr="001C3654">
                              <w:rPr>
                                <w:rFonts w:cstheme="minorHAnsi"/>
                                <w:b/>
                                <w:color w:val="1F497D" w:themeColor="text2"/>
                              </w:rPr>
                              <w:t>2. Green Growth Work</w:t>
                            </w:r>
                          </w:p>
                          <w:p w14:paraId="6FB587E3" w14:textId="77777777" w:rsidR="002E0AD1" w:rsidRPr="001C3654" w:rsidRDefault="002E0AD1" w:rsidP="00A64C2E">
                            <w:pPr>
                              <w:pStyle w:val="ListParagraph"/>
                              <w:numPr>
                                <w:ilvl w:val="0"/>
                                <w:numId w:val="27"/>
                              </w:numPr>
                              <w:shd w:val="clear" w:color="auto" w:fill="DBE5F1" w:themeFill="accent1" w:themeFillTint="33"/>
                              <w:tabs>
                                <w:tab w:val="left" w:pos="4536"/>
                              </w:tabs>
                              <w:spacing w:before="120"/>
                              <w:rPr>
                                <w:rFonts w:cstheme="minorHAnsi"/>
                                <w:color w:val="1F497D" w:themeColor="text2"/>
                              </w:rPr>
                            </w:pPr>
                            <w:r w:rsidRPr="001C3654">
                              <w:rPr>
                                <w:rFonts w:cstheme="minorHAnsi"/>
                                <w:color w:val="1F497D" w:themeColor="text2"/>
                              </w:rPr>
                              <w:t>Facilitated National Dialogues on green growth issues since 2012</w:t>
                            </w:r>
                          </w:p>
                          <w:p w14:paraId="222B01CF" w14:textId="77777777" w:rsidR="002E0AD1" w:rsidRPr="001C3654" w:rsidRDefault="002E0AD1" w:rsidP="00A64C2E">
                            <w:pPr>
                              <w:pStyle w:val="ListParagraph"/>
                              <w:numPr>
                                <w:ilvl w:val="0"/>
                                <w:numId w:val="27"/>
                              </w:numPr>
                              <w:shd w:val="clear" w:color="auto" w:fill="DBE5F1" w:themeFill="accent1" w:themeFillTint="33"/>
                              <w:tabs>
                                <w:tab w:val="left" w:pos="4536"/>
                              </w:tabs>
                              <w:spacing w:before="120"/>
                              <w:rPr>
                                <w:rFonts w:cstheme="minorHAnsi"/>
                                <w:color w:val="1F497D" w:themeColor="text2"/>
                              </w:rPr>
                            </w:pPr>
                            <w:r w:rsidRPr="001C3654">
                              <w:rPr>
                                <w:rFonts w:cstheme="minorHAnsi"/>
                                <w:color w:val="1F497D" w:themeColor="text2"/>
                              </w:rPr>
                              <w:t>Green Growth Strategy developed, which will be integrated into the Ha’apai Development Master Plan, and will be applied across Tonga</w:t>
                            </w:r>
                          </w:p>
                          <w:p w14:paraId="66F11CDE" w14:textId="77777777" w:rsidR="002E0AD1" w:rsidRPr="001C3654" w:rsidRDefault="002E0AD1" w:rsidP="00A64C2E">
                            <w:pPr>
                              <w:pStyle w:val="ListParagraph"/>
                              <w:numPr>
                                <w:ilvl w:val="0"/>
                                <w:numId w:val="27"/>
                              </w:numPr>
                              <w:shd w:val="clear" w:color="auto" w:fill="DBE5F1" w:themeFill="accent1" w:themeFillTint="33"/>
                              <w:tabs>
                                <w:tab w:val="left" w:pos="4536"/>
                              </w:tabs>
                              <w:spacing w:before="120"/>
                              <w:rPr>
                                <w:rFonts w:cstheme="minorHAnsi"/>
                                <w:color w:val="1F497D" w:themeColor="text2"/>
                              </w:rPr>
                            </w:pPr>
                            <w:r w:rsidRPr="001C3654">
                              <w:rPr>
                                <w:rFonts w:cstheme="minorHAnsi"/>
                                <w:color w:val="1F497D" w:themeColor="text2"/>
                              </w:rPr>
                              <w:t>Green Growth Declaration developed for consideration by Cabinet</w:t>
                            </w:r>
                          </w:p>
                          <w:p w14:paraId="4AED531B" w14:textId="77777777" w:rsidR="002E0AD1" w:rsidRPr="001C3654" w:rsidRDefault="002E0AD1" w:rsidP="00A64C2E">
                            <w:pPr>
                              <w:pStyle w:val="ListParagraph"/>
                              <w:numPr>
                                <w:ilvl w:val="0"/>
                                <w:numId w:val="27"/>
                              </w:numPr>
                              <w:shd w:val="clear" w:color="auto" w:fill="DBE5F1" w:themeFill="accent1" w:themeFillTint="33"/>
                              <w:tabs>
                                <w:tab w:val="left" w:pos="4536"/>
                              </w:tabs>
                              <w:spacing w:before="120"/>
                              <w:rPr>
                                <w:rFonts w:cstheme="minorHAnsi"/>
                                <w:color w:val="1F497D" w:themeColor="text2"/>
                              </w:rPr>
                            </w:pPr>
                            <w:r w:rsidRPr="001C3654">
                              <w:rPr>
                                <w:rFonts w:cstheme="minorHAnsi"/>
                                <w:color w:val="1F497D" w:themeColor="text2"/>
                              </w:rPr>
                              <w:t>Declaration on Blue-Green Agenda developed</w:t>
                            </w:r>
                          </w:p>
                          <w:p w14:paraId="0D9A0037" w14:textId="77777777" w:rsidR="002E0AD1" w:rsidRPr="00FB0282" w:rsidRDefault="002E0AD1" w:rsidP="00A64C2E">
                            <w:pPr>
                              <w:pStyle w:val="ListParagraph"/>
                              <w:numPr>
                                <w:ilvl w:val="0"/>
                                <w:numId w:val="27"/>
                              </w:numPr>
                              <w:shd w:val="clear" w:color="auto" w:fill="DBE5F1" w:themeFill="accent1" w:themeFillTint="33"/>
                              <w:tabs>
                                <w:tab w:val="left" w:pos="4536"/>
                              </w:tabs>
                              <w:spacing w:before="120"/>
                              <w:rPr>
                                <w:rFonts w:cstheme="minorHAnsi"/>
                                <w:color w:val="1F497D" w:themeColor="text2"/>
                              </w:rPr>
                            </w:pPr>
                            <w:r w:rsidRPr="00FB0282">
                              <w:rPr>
                                <w:rFonts w:cstheme="minorHAnsi"/>
                                <w:color w:val="1F497D" w:themeColor="text2"/>
                              </w:rPr>
                              <w:t>Contributing to improved governance structures incorporating sustainable development in cooperation with the Ministry of Internal Affairs.</w:t>
                            </w:r>
                          </w:p>
                          <w:p w14:paraId="6806E371" w14:textId="77777777" w:rsidR="002E0AD1" w:rsidRPr="001C3654" w:rsidRDefault="002E0AD1" w:rsidP="00A64C2E">
                            <w:pPr>
                              <w:shd w:val="clear" w:color="auto" w:fill="DBE5F1" w:themeFill="accent1" w:themeFillTint="33"/>
                              <w:tabs>
                                <w:tab w:val="left" w:pos="4536"/>
                              </w:tabs>
                              <w:spacing w:before="120"/>
                              <w:rPr>
                                <w:rFonts w:cstheme="minorHAnsi"/>
                                <w:b/>
                                <w:color w:val="1F497D" w:themeColor="text2"/>
                              </w:rPr>
                            </w:pPr>
                            <w:r w:rsidRPr="001C3654">
                              <w:rPr>
                                <w:rFonts w:cstheme="minorHAnsi"/>
                                <w:b/>
                                <w:color w:val="1F497D" w:themeColor="text2"/>
                              </w:rPr>
                              <w:t>3. Young Tongan Traditional Leaders group (‘the Namoa’)</w:t>
                            </w:r>
                          </w:p>
                          <w:p w14:paraId="6B505F5B" w14:textId="77777777" w:rsidR="002E0AD1" w:rsidRPr="00FB0282" w:rsidRDefault="002E0AD1" w:rsidP="00A64C2E">
                            <w:pPr>
                              <w:pStyle w:val="ListParagraph"/>
                              <w:numPr>
                                <w:ilvl w:val="0"/>
                                <w:numId w:val="27"/>
                              </w:numPr>
                              <w:shd w:val="clear" w:color="auto" w:fill="DBE5F1" w:themeFill="accent1" w:themeFillTint="33"/>
                              <w:tabs>
                                <w:tab w:val="left" w:pos="4536"/>
                              </w:tabs>
                              <w:spacing w:before="120"/>
                              <w:rPr>
                                <w:rFonts w:cstheme="minorHAnsi"/>
                                <w:color w:val="1F497D" w:themeColor="text2"/>
                              </w:rPr>
                            </w:pPr>
                            <w:r w:rsidRPr="00FB0282">
                              <w:rPr>
                                <w:rFonts w:cstheme="minorHAnsi"/>
                                <w:color w:val="1F497D" w:themeColor="text2"/>
                              </w:rPr>
                              <w:t>Unique group of future traditional leaders undergoing developmental leadership training</w:t>
                            </w:r>
                          </w:p>
                          <w:p w14:paraId="05672930" w14:textId="77777777" w:rsidR="002E0AD1" w:rsidRPr="001C3654" w:rsidRDefault="002E0AD1" w:rsidP="00A64C2E">
                            <w:pPr>
                              <w:pStyle w:val="ListParagraph"/>
                              <w:numPr>
                                <w:ilvl w:val="0"/>
                                <w:numId w:val="27"/>
                              </w:numPr>
                              <w:shd w:val="clear" w:color="auto" w:fill="DBE5F1" w:themeFill="accent1" w:themeFillTint="33"/>
                              <w:tabs>
                                <w:tab w:val="left" w:pos="4536"/>
                              </w:tabs>
                              <w:spacing w:before="120"/>
                              <w:rPr>
                                <w:rFonts w:cstheme="minorHAnsi"/>
                                <w:color w:val="1F497D" w:themeColor="text2"/>
                              </w:rPr>
                            </w:pPr>
                            <w:r w:rsidRPr="001C3654">
                              <w:rPr>
                                <w:rFonts w:cstheme="minorHAnsi"/>
                                <w:color w:val="1F497D" w:themeColor="text2"/>
                              </w:rPr>
                              <w:t>Has developed ‘Community chapters’ working with village youth on development</w:t>
                            </w:r>
                            <w:r w:rsidRPr="00DC33BA">
                              <w:rPr>
                                <w:rFonts w:cstheme="minorHAnsi"/>
                                <w:color w:val="1F497D" w:themeColor="text2"/>
                                <w:sz w:val="24"/>
                                <w:szCs w:val="24"/>
                              </w:rPr>
                              <w:t xml:space="preserve"> </w:t>
                            </w:r>
                            <w:r w:rsidRPr="001C3654">
                              <w:rPr>
                                <w:rFonts w:cstheme="minorHAnsi"/>
                                <w:color w:val="1F497D" w:themeColor="text2"/>
                              </w:rPr>
                              <w:t>projects</w:t>
                            </w:r>
                            <w:r w:rsidRPr="00DC33BA">
                              <w:rPr>
                                <w:rFonts w:cstheme="minorHAnsi"/>
                                <w:color w:val="1F497D" w:themeColor="text2"/>
                                <w:sz w:val="24"/>
                                <w:szCs w:val="24"/>
                              </w:rPr>
                              <w:t xml:space="preserve"> </w:t>
                            </w:r>
                            <w:r w:rsidRPr="001C3654">
                              <w:rPr>
                                <w:rFonts w:cstheme="minorHAnsi"/>
                                <w:color w:val="1F497D" w:themeColor="text2"/>
                              </w:rPr>
                              <w:t>and historical research – to be extended across Tonga</w:t>
                            </w:r>
                          </w:p>
                          <w:p w14:paraId="61A3C51E" w14:textId="77777777" w:rsidR="002E0AD1" w:rsidRPr="001C3654" w:rsidRDefault="002E0AD1" w:rsidP="00A64C2E">
                            <w:pPr>
                              <w:pStyle w:val="ListParagraph"/>
                              <w:numPr>
                                <w:ilvl w:val="0"/>
                                <w:numId w:val="27"/>
                              </w:numPr>
                              <w:shd w:val="clear" w:color="auto" w:fill="DBE5F1" w:themeFill="accent1" w:themeFillTint="33"/>
                              <w:tabs>
                                <w:tab w:val="left" w:pos="4536"/>
                              </w:tabs>
                              <w:spacing w:before="120"/>
                              <w:rPr>
                                <w:rFonts w:cstheme="minorHAnsi"/>
                                <w:color w:val="1F497D" w:themeColor="text2"/>
                              </w:rPr>
                            </w:pPr>
                            <w:r w:rsidRPr="001C3654">
                              <w:rPr>
                                <w:rFonts w:cstheme="minorHAnsi"/>
                                <w:color w:val="1F497D" w:themeColor="text2"/>
                              </w:rPr>
                              <w:t>Promoting gender equality and cooperation.</w:t>
                            </w:r>
                          </w:p>
                          <w:p w14:paraId="62CDEFF4" w14:textId="77777777" w:rsidR="002E0AD1" w:rsidRPr="001C3654" w:rsidRDefault="002E0AD1" w:rsidP="00A64C2E">
                            <w:pPr>
                              <w:shd w:val="clear" w:color="auto" w:fill="DBE5F1" w:themeFill="accent1" w:themeFillTint="33"/>
                              <w:tabs>
                                <w:tab w:val="left" w:pos="4536"/>
                              </w:tabs>
                              <w:spacing w:before="120"/>
                              <w:rPr>
                                <w:rFonts w:cstheme="minorHAnsi"/>
                                <w:b/>
                                <w:color w:val="1F497D" w:themeColor="text2"/>
                              </w:rPr>
                            </w:pPr>
                            <w:r w:rsidRPr="001C3654">
                              <w:rPr>
                                <w:rFonts w:cstheme="minorHAnsi"/>
                                <w:b/>
                                <w:color w:val="1F497D" w:themeColor="text2"/>
                              </w:rPr>
                              <w:t>4. District and Village local governance</w:t>
                            </w:r>
                          </w:p>
                          <w:p w14:paraId="117B5E9A" w14:textId="77777777" w:rsidR="002E0AD1" w:rsidRPr="001C3654" w:rsidRDefault="002E0AD1" w:rsidP="00A64C2E">
                            <w:pPr>
                              <w:pStyle w:val="ListParagraph"/>
                              <w:numPr>
                                <w:ilvl w:val="0"/>
                                <w:numId w:val="29"/>
                              </w:numPr>
                              <w:shd w:val="clear" w:color="auto" w:fill="DBE5F1" w:themeFill="accent1" w:themeFillTint="33"/>
                              <w:tabs>
                                <w:tab w:val="left" w:pos="4536"/>
                              </w:tabs>
                              <w:spacing w:before="120"/>
                              <w:rPr>
                                <w:rFonts w:cstheme="minorHAnsi"/>
                                <w:color w:val="1F497D" w:themeColor="text2"/>
                              </w:rPr>
                            </w:pPr>
                            <w:r w:rsidRPr="001C3654">
                              <w:rPr>
                                <w:rFonts w:cstheme="minorHAnsi"/>
                                <w:color w:val="1F497D" w:themeColor="text2"/>
                              </w:rPr>
                              <w:t>Encouraging adoption of the National Leadership Code</w:t>
                            </w:r>
                          </w:p>
                          <w:p w14:paraId="44E8F032" w14:textId="77777777" w:rsidR="002E0AD1" w:rsidRPr="001C3654" w:rsidRDefault="002E0AD1" w:rsidP="00A64C2E">
                            <w:pPr>
                              <w:pStyle w:val="ListParagraph"/>
                              <w:numPr>
                                <w:ilvl w:val="0"/>
                                <w:numId w:val="29"/>
                              </w:numPr>
                              <w:shd w:val="clear" w:color="auto" w:fill="DBE5F1" w:themeFill="accent1" w:themeFillTint="33"/>
                              <w:tabs>
                                <w:tab w:val="left" w:pos="4536"/>
                              </w:tabs>
                              <w:spacing w:before="120"/>
                              <w:rPr>
                                <w:rFonts w:cstheme="minorHAnsi"/>
                                <w:color w:val="1F497D" w:themeColor="text2"/>
                              </w:rPr>
                            </w:pPr>
                            <w:r w:rsidRPr="001C3654">
                              <w:rPr>
                                <w:rFonts w:cstheme="minorHAnsi"/>
                                <w:color w:val="1F497D" w:themeColor="text2"/>
                              </w:rPr>
                              <w:t>Increasing women’s involvement in local leadership</w:t>
                            </w:r>
                          </w:p>
                          <w:p w14:paraId="3753751F" w14:textId="77777777" w:rsidR="002E0AD1" w:rsidRPr="001C3654" w:rsidRDefault="002E0AD1" w:rsidP="00A64C2E">
                            <w:pPr>
                              <w:pStyle w:val="ListParagraph"/>
                              <w:numPr>
                                <w:ilvl w:val="0"/>
                                <w:numId w:val="29"/>
                              </w:numPr>
                              <w:shd w:val="clear" w:color="auto" w:fill="DBE5F1" w:themeFill="accent1" w:themeFillTint="33"/>
                              <w:tabs>
                                <w:tab w:val="left" w:pos="4536"/>
                              </w:tabs>
                              <w:spacing w:before="120"/>
                              <w:rPr>
                                <w:rFonts w:cstheme="minorHAnsi"/>
                                <w:color w:val="1F497D" w:themeColor="text2"/>
                              </w:rPr>
                            </w:pPr>
                            <w:r w:rsidRPr="00FB0282">
                              <w:rPr>
                                <w:rFonts w:cstheme="minorHAnsi"/>
                                <w:color w:val="1F497D" w:themeColor="text2"/>
                              </w:rPr>
                              <w:t>Working towards reform of local governance with the Tongan Ministry of Internal Affairs</w:t>
                            </w:r>
                            <w:r w:rsidRPr="00B86298">
                              <w:rPr>
                                <w:rFonts w:cstheme="minorHAnsi"/>
                                <w:color w:val="1F497D" w:themeColor="text2"/>
                              </w:rPr>
                              <w:t>.</w:t>
                            </w:r>
                            <w:r w:rsidRPr="0000589A">
                              <w:rPr>
                                <w:rFonts w:cstheme="minorHAnsi"/>
                                <w:color w:val="1F497D" w:themeColor="text2"/>
                                <w:vertAlign w:val="superscript"/>
                              </w:rPr>
                              <w:t>B</w:t>
                            </w:r>
                          </w:p>
                          <w:p w14:paraId="17C100A1" w14:textId="77777777" w:rsidR="002E0AD1" w:rsidRPr="0000589A" w:rsidRDefault="002E0AD1" w:rsidP="00452082">
                            <w:pPr>
                              <w:shd w:val="clear" w:color="auto" w:fill="DBE5F1" w:themeFill="accent1" w:themeFillTint="33"/>
                              <w:tabs>
                                <w:tab w:val="left" w:pos="4536"/>
                              </w:tabs>
                              <w:spacing w:before="120"/>
                              <w:rPr>
                                <w:rFonts w:cstheme="minorHAnsi"/>
                                <w:color w:val="1F497D" w:themeColor="text2"/>
                                <w:sz w:val="18"/>
                                <w:szCs w:val="18"/>
                              </w:rPr>
                            </w:pPr>
                            <w:r w:rsidRPr="0000589A">
                              <w:rPr>
                                <w:rFonts w:cstheme="minorHAnsi"/>
                                <w:color w:val="1F497D" w:themeColor="text2"/>
                                <w:sz w:val="18"/>
                                <w:szCs w:val="18"/>
                                <w:vertAlign w:val="superscript"/>
                              </w:rPr>
                              <w:t>B</w:t>
                            </w:r>
                            <w:r w:rsidRPr="0000589A">
                              <w:rPr>
                                <w:rFonts w:cstheme="minorHAnsi"/>
                                <w:color w:val="1F497D" w:themeColor="text2"/>
                                <w:sz w:val="18"/>
                                <w:szCs w:val="18"/>
                              </w:rPr>
                              <w:t xml:space="preserve"> See Tongan Nationa</w:t>
                            </w:r>
                            <w:r>
                              <w:rPr>
                                <w:rFonts w:cstheme="minorHAnsi"/>
                                <w:color w:val="1F497D" w:themeColor="text2"/>
                                <w:sz w:val="18"/>
                                <w:szCs w:val="18"/>
                              </w:rPr>
                              <w:t>l Leadership Development Forum</w:t>
                            </w:r>
                            <w:r w:rsidRPr="0000589A">
                              <w:rPr>
                                <w:rFonts w:cstheme="minorHAnsi"/>
                                <w:color w:val="1F497D" w:themeColor="text2"/>
                                <w:sz w:val="18"/>
                                <w:szCs w:val="18"/>
                              </w:rPr>
                              <w:t xml:space="preserve"> Completion Report, Helen Lee, May 2017; and DLP Research Paper: Thinking and Working Politically to Support Developmental Leadership and Coalitions: The Pacific Leadership Program, Denney and McLaren, October 2016.</w:t>
                            </w:r>
                          </w:p>
                          <w:p w14:paraId="6241D636" w14:textId="77777777" w:rsidR="002E0AD1" w:rsidRDefault="002E0AD1" w:rsidP="00A64C2E">
                            <w:pPr>
                              <w:shd w:val="clear" w:color="auto" w:fill="DBE5F1" w:themeFill="accent1" w:themeFillTint="33"/>
                              <w:tabs>
                                <w:tab w:val="left" w:pos="453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4EAC8" id="Text Box 8" o:spid="_x0000_s1029" type="#_x0000_t202" style="position:absolute;left:0;text-align:left;margin-left:0;margin-top:0;width:464.7pt;height:10in;z-index:251666432;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" fillcolor="#dbe5f1 [660]" strokecolor="black [3213]">
                <v:textbox>
                  <w:txbxContent>
                    <w:p w14:paraId="2CAFA440" w14:textId="77777777" w:rsidR="002E0AD1" w:rsidRPr="001C3654" w:rsidRDefault="002E0AD1" w:rsidP="00A64C2E">
                      <w:pPr>
                        <w:shd w:val="clear" w:color="auto" w:fill="DBE5F1" w:themeFill="accent1" w:themeFillTint="33"/>
                        <w:tabs>
                          <w:tab w:val="left" w:pos="4536"/>
                        </w:tabs>
                        <w:spacing w:before="120"/>
                        <w:rPr>
                          <w:b/>
                          <w:color w:val="1F497D" w:themeColor="text2"/>
                          <w:sz w:val="28"/>
                          <w:szCs w:val="28"/>
                          <w:lang w:val="en-US"/>
                        </w:rPr>
                      </w:pPr>
                      <w:r w:rsidRPr="001C3654">
                        <w:rPr>
                          <w:b/>
                          <w:color w:val="1F497D" w:themeColor="text2"/>
                          <w:sz w:val="28"/>
                          <w:szCs w:val="28"/>
                          <w:lang w:val="en-US"/>
                        </w:rPr>
                        <w:t>Tongan National Leadership Development Forum</w:t>
                      </w:r>
                    </w:p>
                    <w:p w14:paraId="693CEEAF" w14:textId="77777777" w:rsidR="002E0AD1" w:rsidRPr="001C3654" w:rsidRDefault="002E0AD1" w:rsidP="00A64C2E">
                      <w:pPr>
                        <w:shd w:val="clear" w:color="auto" w:fill="DBE5F1" w:themeFill="accent1" w:themeFillTint="33"/>
                        <w:tabs>
                          <w:tab w:val="left" w:pos="4536"/>
                        </w:tabs>
                        <w:spacing w:before="120"/>
                        <w:rPr>
                          <w:i/>
                          <w:color w:val="1F497D" w:themeColor="text2"/>
                          <w:sz w:val="24"/>
                          <w:szCs w:val="24"/>
                          <w:lang w:val="en-US"/>
                        </w:rPr>
                      </w:pPr>
                      <w:r w:rsidRPr="001C3654">
                        <w:rPr>
                          <w:i/>
                          <w:color w:val="1F497D" w:themeColor="text2"/>
                          <w:sz w:val="24"/>
                          <w:szCs w:val="24"/>
                          <w:lang w:val="en-US"/>
                        </w:rPr>
                        <w:t>A national-level developmental leadership coalition</w:t>
                      </w:r>
                    </w:p>
                    <w:p w14:paraId="619D9BB2" w14:textId="77777777" w:rsidR="002E0AD1" w:rsidRPr="001C3654" w:rsidRDefault="002E0AD1" w:rsidP="00A64C2E">
                      <w:pPr>
                        <w:shd w:val="clear" w:color="auto" w:fill="DBE5F1" w:themeFill="accent1" w:themeFillTint="33"/>
                        <w:tabs>
                          <w:tab w:val="left" w:pos="4536"/>
                        </w:tabs>
                        <w:spacing w:before="120"/>
                        <w:textAlignment w:val="baseline"/>
                        <w:rPr>
                          <w:rFonts w:cstheme="minorHAnsi"/>
                          <w:color w:val="1F497D" w:themeColor="text2"/>
                        </w:rPr>
                      </w:pPr>
                      <w:r w:rsidRPr="001C3654">
                        <w:rPr>
                          <w:rFonts w:eastAsia="Calibri" w:cstheme="minorHAnsi"/>
                          <w:b/>
                          <w:color w:val="1F497D" w:themeColor="text2"/>
                        </w:rPr>
                        <w:t>The concept of leadership is changing in the Kingdom of Tonga</w:t>
                      </w:r>
                      <w:r w:rsidRPr="001C3654">
                        <w:rPr>
                          <w:rFonts w:eastAsia="Calibri" w:cstheme="minorHAnsi"/>
                          <w:color w:val="1F497D" w:themeColor="text2"/>
                        </w:rPr>
                        <w:t xml:space="preserve"> – the only monarchy in the Pacific. The country is in a state of political transition, with its first government democratically elected in 2010. </w:t>
                      </w:r>
                      <w:r w:rsidRPr="001C3654">
                        <w:rPr>
                          <w:rFonts w:cstheme="minorHAnsi"/>
                          <w:color w:val="1F497D" w:themeColor="text2"/>
                        </w:rPr>
                        <w:t xml:space="preserve">The </w:t>
                      </w:r>
                      <w:r w:rsidRPr="001C3654">
                        <w:rPr>
                          <w:rFonts w:cstheme="minorHAnsi"/>
                          <w:b/>
                          <w:color w:val="1F497D" w:themeColor="text2"/>
                        </w:rPr>
                        <w:t>Tonga National Leadership Development Forum</w:t>
                      </w:r>
                      <w:r w:rsidRPr="001C3654">
                        <w:rPr>
                          <w:rFonts w:cstheme="minorHAnsi"/>
                          <w:color w:val="1F497D" w:themeColor="text2"/>
                        </w:rPr>
                        <w:t xml:space="preserve"> (TNLDF) is a coalition which brings together a unique combination of individuals across Tongan society: from the royal family, the nobility, the church, government and civil society. </w:t>
                      </w:r>
                    </w:p>
                    <w:p w14:paraId="766AD99F" w14:textId="77777777" w:rsidR="002E0AD1" w:rsidRPr="001C3654" w:rsidRDefault="002E0AD1" w:rsidP="00A64C2E">
                      <w:pPr>
                        <w:shd w:val="clear" w:color="auto" w:fill="DBE5F1" w:themeFill="accent1" w:themeFillTint="33"/>
                        <w:tabs>
                          <w:tab w:val="left" w:pos="4536"/>
                        </w:tabs>
                        <w:spacing w:before="120"/>
                        <w:textAlignment w:val="baseline"/>
                        <w:rPr>
                          <w:rFonts w:cstheme="minorHAnsi"/>
                          <w:color w:val="1F497D" w:themeColor="text2"/>
                        </w:rPr>
                      </w:pPr>
                      <w:r w:rsidRPr="001C3654">
                        <w:rPr>
                          <w:rFonts w:cstheme="minorHAnsi"/>
                          <w:color w:val="1F497D" w:themeColor="text2"/>
                        </w:rPr>
                        <w:t xml:space="preserve">The TNLDF was established in 2010 and is managed by a Secretariat based in the Civil Society Forum of Tonga (CSFT). Both TNLDF and CSFT are partners of PLP. Interestingly, </w:t>
                      </w:r>
                      <w:r w:rsidRPr="001C3654">
                        <w:rPr>
                          <w:rFonts w:cstheme="minorHAnsi"/>
                          <w:b/>
                          <w:color w:val="1F497D" w:themeColor="text2"/>
                        </w:rPr>
                        <w:t>PLP helped to initiate the very idea of the TNLDF coalition</w:t>
                      </w:r>
                      <w:r w:rsidRPr="001C3654">
                        <w:rPr>
                          <w:rFonts w:cstheme="minorHAnsi"/>
                          <w:color w:val="1F497D" w:themeColor="text2"/>
                        </w:rPr>
                        <w:t xml:space="preserve"> by bringing together key individuals and giving them the space to discuss what leadership issues might be ready for change in Tonga. The TNLDF was formed following this initial PLP-supported meeting.</w:t>
                      </w:r>
                    </w:p>
                    <w:p w14:paraId="7C2BA06B" w14:textId="77777777" w:rsidR="002E0AD1" w:rsidRPr="001C3654" w:rsidRDefault="002E0AD1" w:rsidP="00A64C2E">
                      <w:pPr>
                        <w:shd w:val="clear" w:color="auto" w:fill="DBE5F1" w:themeFill="accent1" w:themeFillTint="33"/>
                        <w:tabs>
                          <w:tab w:val="left" w:pos="4536"/>
                        </w:tabs>
                        <w:spacing w:before="120"/>
                        <w:rPr>
                          <w:rFonts w:cstheme="minorHAnsi"/>
                          <w:color w:val="1F497D" w:themeColor="text2"/>
                        </w:rPr>
                      </w:pPr>
                      <w:r w:rsidRPr="001C3654">
                        <w:rPr>
                          <w:rFonts w:cstheme="minorHAnsi"/>
                          <w:b/>
                          <w:color w:val="1F497D" w:themeColor="text2"/>
                        </w:rPr>
                        <w:t>PLP has supported TNLDF since its inception through providing a range of resources</w:t>
                      </w:r>
                      <w:r w:rsidRPr="001C3654">
                        <w:rPr>
                          <w:rFonts w:cstheme="minorHAnsi"/>
                          <w:color w:val="1F497D" w:themeColor="text2"/>
                        </w:rPr>
                        <w:t xml:space="preserve"> including funding, providing training and technical advice, facilitating connections (i.e. between TNLDF</w:t>
                      </w:r>
                      <w:r>
                        <w:rPr>
                          <w:rFonts w:cstheme="minorHAnsi"/>
                          <w:color w:val="1F497D" w:themeColor="text2"/>
                        </w:rPr>
                        <w:t>,</w:t>
                      </w:r>
                      <w:r w:rsidRPr="001C3654">
                        <w:rPr>
                          <w:rFonts w:cstheme="minorHAnsi"/>
                          <w:color w:val="1F497D" w:themeColor="text2"/>
                        </w:rPr>
                        <w:t xml:space="preserve"> IUCN and the GGLC) and supporting key activities (i.e. TNLDF’s work with traditional young leaders (or nobles) which is a unique offering).</w:t>
                      </w:r>
                    </w:p>
                    <w:p w14:paraId="30B62C39" w14:textId="77777777" w:rsidR="002E0AD1" w:rsidRPr="001C3654" w:rsidRDefault="002E0AD1" w:rsidP="00A64C2E">
                      <w:pPr>
                        <w:shd w:val="clear" w:color="auto" w:fill="DBE5F1" w:themeFill="accent1" w:themeFillTint="33"/>
                        <w:tabs>
                          <w:tab w:val="left" w:pos="4536"/>
                        </w:tabs>
                        <w:spacing w:before="120"/>
                        <w:rPr>
                          <w:rFonts w:cstheme="minorHAnsi"/>
                          <w:color w:val="1F497D" w:themeColor="text2"/>
                        </w:rPr>
                      </w:pPr>
                      <w:r w:rsidRPr="001C3654">
                        <w:rPr>
                          <w:rFonts w:cstheme="minorHAnsi"/>
                          <w:color w:val="1F497D" w:themeColor="text2"/>
                        </w:rPr>
                        <w:t>TNLDF is a developmental leadership coalition. Key achievements of TNLDF include</w:t>
                      </w:r>
                      <w:bookmarkStart w:id="49" w:name="_Toc483483872"/>
                      <w:r w:rsidRPr="001C3654">
                        <w:rPr>
                          <w:rFonts w:cstheme="minorHAnsi"/>
                          <w:color w:val="1F497D" w:themeColor="text2"/>
                        </w:rPr>
                        <w:t xml:space="preserve">: </w:t>
                      </w:r>
                    </w:p>
                    <w:bookmarkEnd w:id="49"/>
                    <w:p w14:paraId="57CB4A37" w14:textId="77777777" w:rsidR="002E0AD1" w:rsidRPr="001C3654" w:rsidRDefault="002E0AD1" w:rsidP="00A64C2E">
                      <w:pPr>
                        <w:shd w:val="clear" w:color="auto" w:fill="DBE5F1" w:themeFill="accent1" w:themeFillTint="33"/>
                        <w:tabs>
                          <w:tab w:val="left" w:pos="4536"/>
                        </w:tabs>
                        <w:spacing w:before="120"/>
                        <w:rPr>
                          <w:rFonts w:cstheme="minorHAnsi"/>
                          <w:b/>
                          <w:color w:val="1F497D" w:themeColor="text2"/>
                        </w:rPr>
                      </w:pPr>
                      <w:r w:rsidRPr="001C3654">
                        <w:rPr>
                          <w:rFonts w:cstheme="minorHAnsi"/>
                          <w:b/>
                          <w:color w:val="1F497D" w:themeColor="text2"/>
                        </w:rPr>
                        <w:t>1. Tonga National Leadership Code</w:t>
                      </w:r>
                    </w:p>
                    <w:p w14:paraId="2CEB1312" w14:textId="77777777" w:rsidR="002E0AD1" w:rsidRPr="001C3654" w:rsidRDefault="002E0AD1" w:rsidP="00A64C2E">
                      <w:pPr>
                        <w:pStyle w:val="ListParagraph"/>
                        <w:numPr>
                          <w:ilvl w:val="0"/>
                          <w:numId w:val="27"/>
                        </w:numPr>
                        <w:shd w:val="clear" w:color="auto" w:fill="DBE5F1" w:themeFill="accent1" w:themeFillTint="33"/>
                        <w:tabs>
                          <w:tab w:val="left" w:pos="4536"/>
                        </w:tabs>
                        <w:spacing w:before="120"/>
                        <w:rPr>
                          <w:rFonts w:cstheme="minorHAnsi"/>
                          <w:color w:val="1F497D" w:themeColor="text2"/>
                        </w:rPr>
                      </w:pPr>
                      <w:r w:rsidRPr="001C3654">
                        <w:rPr>
                          <w:rFonts w:cstheme="minorHAnsi"/>
                          <w:color w:val="1F497D" w:themeColor="text2"/>
                        </w:rPr>
                        <w:t xml:space="preserve">14 Principles that comprise a uniquely Tongan set of leadership values, developed through a nation-wide consultation process, which was as important as the Code itself as a demonstration of democracy </w:t>
                      </w:r>
                    </w:p>
                    <w:p w14:paraId="51477361" w14:textId="77777777" w:rsidR="002E0AD1" w:rsidRPr="001C3654" w:rsidRDefault="002E0AD1" w:rsidP="00A64C2E">
                      <w:pPr>
                        <w:pStyle w:val="ListParagraph"/>
                        <w:numPr>
                          <w:ilvl w:val="0"/>
                          <w:numId w:val="27"/>
                        </w:numPr>
                        <w:shd w:val="clear" w:color="auto" w:fill="DBE5F1" w:themeFill="accent1" w:themeFillTint="33"/>
                        <w:tabs>
                          <w:tab w:val="left" w:pos="4536"/>
                        </w:tabs>
                        <w:spacing w:before="120"/>
                        <w:rPr>
                          <w:rFonts w:cstheme="minorHAnsi"/>
                          <w:color w:val="1F497D" w:themeColor="text2"/>
                        </w:rPr>
                      </w:pPr>
                      <w:r w:rsidRPr="001C3654">
                        <w:rPr>
                          <w:rFonts w:cstheme="minorHAnsi"/>
                          <w:color w:val="1F497D" w:themeColor="text2"/>
                        </w:rPr>
                        <w:t>Endorsed by Tonga’s King and Queen, former and current Prime Ministers, Cabinet Ministers and church leaders</w:t>
                      </w:r>
                    </w:p>
                    <w:p w14:paraId="3D2221E9" w14:textId="77777777" w:rsidR="002E0AD1" w:rsidRPr="00FB0282" w:rsidRDefault="002E0AD1" w:rsidP="00A64C2E">
                      <w:pPr>
                        <w:pStyle w:val="ListParagraph"/>
                        <w:numPr>
                          <w:ilvl w:val="0"/>
                          <w:numId w:val="27"/>
                        </w:numPr>
                        <w:shd w:val="clear" w:color="auto" w:fill="DBE5F1" w:themeFill="accent1" w:themeFillTint="33"/>
                        <w:tabs>
                          <w:tab w:val="left" w:pos="4536"/>
                        </w:tabs>
                        <w:spacing w:before="120"/>
                        <w:rPr>
                          <w:rFonts w:cstheme="minorHAnsi"/>
                          <w:color w:val="1F497D" w:themeColor="text2"/>
                        </w:rPr>
                      </w:pPr>
                      <w:r w:rsidRPr="00FB0282">
                        <w:rPr>
                          <w:rFonts w:cstheme="minorHAnsi"/>
                          <w:color w:val="1F497D" w:themeColor="text2"/>
                        </w:rPr>
                        <w:t>Incorporated into the Tonga Strategic Development Framework 2015-2025</w:t>
                      </w:r>
                    </w:p>
                    <w:p w14:paraId="617BC108" w14:textId="77777777" w:rsidR="002E0AD1" w:rsidRPr="001C3654" w:rsidRDefault="002E0AD1" w:rsidP="00A64C2E">
                      <w:pPr>
                        <w:pStyle w:val="ListParagraph"/>
                        <w:numPr>
                          <w:ilvl w:val="0"/>
                          <w:numId w:val="27"/>
                        </w:numPr>
                        <w:shd w:val="clear" w:color="auto" w:fill="DBE5F1" w:themeFill="accent1" w:themeFillTint="33"/>
                        <w:tabs>
                          <w:tab w:val="left" w:pos="4536"/>
                        </w:tabs>
                        <w:spacing w:before="120"/>
                        <w:rPr>
                          <w:rFonts w:cstheme="minorHAnsi"/>
                          <w:color w:val="1F497D" w:themeColor="text2"/>
                        </w:rPr>
                      </w:pPr>
                      <w:r w:rsidRPr="001C3654">
                        <w:rPr>
                          <w:rFonts w:cstheme="minorHAnsi"/>
                          <w:color w:val="1F497D" w:themeColor="text2"/>
                        </w:rPr>
                        <w:t>Continues to contribute to a national dialogue on leadership and governance in Tonga.</w:t>
                      </w:r>
                    </w:p>
                    <w:p w14:paraId="63A9447E" w14:textId="77777777" w:rsidR="002E0AD1" w:rsidRPr="001C3654" w:rsidRDefault="002E0AD1" w:rsidP="00A64C2E">
                      <w:pPr>
                        <w:shd w:val="clear" w:color="auto" w:fill="DBE5F1" w:themeFill="accent1" w:themeFillTint="33"/>
                        <w:tabs>
                          <w:tab w:val="left" w:pos="4536"/>
                        </w:tabs>
                        <w:spacing w:before="120"/>
                        <w:rPr>
                          <w:rFonts w:cstheme="minorHAnsi"/>
                          <w:b/>
                          <w:color w:val="1F497D" w:themeColor="text2"/>
                        </w:rPr>
                      </w:pPr>
                      <w:r w:rsidRPr="001C3654">
                        <w:rPr>
                          <w:rFonts w:cstheme="minorHAnsi"/>
                          <w:b/>
                          <w:color w:val="1F497D" w:themeColor="text2"/>
                        </w:rPr>
                        <w:t>2. Green Growth Work</w:t>
                      </w:r>
                    </w:p>
                    <w:p w14:paraId="6FB587E3" w14:textId="77777777" w:rsidR="002E0AD1" w:rsidRPr="001C3654" w:rsidRDefault="002E0AD1" w:rsidP="00A64C2E">
                      <w:pPr>
                        <w:pStyle w:val="ListParagraph"/>
                        <w:numPr>
                          <w:ilvl w:val="0"/>
                          <w:numId w:val="27"/>
                        </w:numPr>
                        <w:shd w:val="clear" w:color="auto" w:fill="DBE5F1" w:themeFill="accent1" w:themeFillTint="33"/>
                        <w:tabs>
                          <w:tab w:val="left" w:pos="4536"/>
                        </w:tabs>
                        <w:spacing w:before="120"/>
                        <w:rPr>
                          <w:rFonts w:cstheme="minorHAnsi"/>
                          <w:color w:val="1F497D" w:themeColor="text2"/>
                        </w:rPr>
                      </w:pPr>
                      <w:r w:rsidRPr="001C3654">
                        <w:rPr>
                          <w:rFonts w:cstheme="minorHAnsi"/>
                          <w:color w:val="1F497D" w:themeColor="text2"/>
                        </w:rPr>
                        <w:t>Facilitated National Dialogues on green growth issues since 2012</w:t>
                      </w:r>
                    </w:p>
                    <w:p w14:paraId="222B01CF" w14:textId="77777777" w:rsidR="002E0AD1" w:rsidRPr="001C3654" w:rsidRDefault="002E0AD1" w:rsidP="00A64C2E">
                      <w:pPr>
                        <w:pStyle w:val="ListParagraph"/>
                        <w:numPr>
                          <w:ilvl w:val="0"/>
                          <w:numId w:val="27"/>
                        </w:numPr>
                        <w:shd w:val="clear" w:color="auto" w:fill="DBE5F1" w:themeFill="accent1" w:themeFillTint="33"/>
                        <w:tabs>
                          <w:tab w:val="left" w:pos="4536"/>
                        </w:tabs>
                        <w:spacing w:before="120"/>
                        <w:rPr>
                          <w:rFonts w:cstheme="minorHAnsi"/>
                          <w:color w:val="1F497D" w:themeColor="text2"/>
                        </w:rPr>
                      </w:pPr>
                      <w:r w:rsidRPr="001C3654">
                        <w:rPr>
                          <w:rFonts w:cstheme="minorHAnsi"/>
                          <w:color w:val="1F497D" w:themeColor="text2"/>
                        </w:rPr>
                        <w:t>Green Growth Strategy developed, which will be integrated into the Ha’apai Development Master Plan, and will be applied across Tonga</w:t>
                      </w:r>
                    </w:p>
                    <w:p w14:paraId="66F11CDE" w14:textId="77777777" w:rsidR="002E0AD1" w:rsidRPr="001C3654" w:rsidRDefault="002E0AD1" w:rsidP="00A64C2E">
                      <w:pPr>
                        <w:pStyle w:val="ListParagraph"/>
                        <w:numPr>
                          <w:ilvl w:val="0"/>
                          <w:numId w:val="27"/>
                        </w:numPr>
                        <w:shd w:val="clear" w:color="auto" w:fill="DBE5F1" w:themeFill="accent1" w:themeFillTint="33"/>
                        <w:tabs>
                          <w:tab w:val="left" w:pos="4536"/>
                        </w:tabs>
                        <w:spacing w:before="120"/>
                        <w:rPr>
                          <w:rFonts w:cstheme="minorHAnsi"/>
                          <w:color w:val="1F497D" w:themeColor="text2"/>
                        </w:rPr>
                      </w:pPr>
                      <w:r w:rsidRPr="001C3654">
                        <w:rPr>
                          <w:rFonts w:cstheme="minorHAnsi"/>
                          <w:color w:val="1F497D" w:themeColor="text2"/>
                        </w:rPr>
                        <w:t>Green Growth Declaration developed for consideration by Cabinet</w:t>
                      </w:r>
                    </w:p>
                    <w:p w14:paraId="4AED531B" w14:textId="77777777" w:rsidR="002E0AD1" w:rsidRPr="001C3654" w:rsidRDefault="002E0AD1" w:rsidP="00A64C2E">
                      <w:pPr>
                        <w:pStyle w:val="ListParagraph"/>
                        <w:numPr>
                          <w:ilvl w:val="0"/>
                          <w:numId w:val="27"/>
                        </w:numPr>
                        <w:shd w:val="clear" w:color="auto" w:fill="DBE5F1" w:themeFill="accent1" w:themeFillTint="33"/>
                        <w:tabs>
                          <w:tab w:val="left" w:pos="4536"/>
                        </w:tabs>
                        <w:spacing w:before="120"/>
                        <w:rPr>
                          <w:rFonts w:cstheme="minorHAnsi"/>
                          <w:color w:val="1F497D" w:themeColor="text2"/>
                        </w:rPr>
                      </w:pPr>
                      <w:r w:rsidRPr="001C3654">
                        <w:rPr>
                          <w:rFonts w:cstheme="minorHAnsi"/>
                          <w:color w:val="1F497D" w:themeColor="text2"/>
                        </w:rPr>
                        <w:t>Declaration on Blue-Green Agenda developed</w:t>
                      </w:r>
                    </w:p>
                    <w:p w14:paraId="0D9A0037" w14:textId="77777777" w:rsidR="002E0AD1" w:rsidRPr="00FB0282" w:rsidRDefault="002E0AD1" w:rsidP="00A64C2E">
                      <w:pPr>
                        <w:pStyle w:val="ListParagraph"/>
                        <w:numPr>
                          <w:ilvl w:val="0"/>
                          <w:numId w:val="27"/>
                        </w:numPr>
                        <w:shd w:val="clear" w:color="auto" w:fill="DBE5F1" w:themeFill="accent1" w:themeFillTint="33"/>
                        <w:tabs>
                          <w:tab w:val="left" w:pos="4536"/>
                        </w:tabs>
                        <w:spacing w:before="120"/>
                        <w:rPr>
                          <w:rFonts w:cstheme="minorHAnsi"/>
                          <w:color w:val="1F497D" w:themeColor="text2"/>
                        </w:rPr>
                      </w:pPr>
                      <w:r w:rsidRPr="00FB0282">
                        <w:rPr>
                          <w:rFonts w:cstheme="minorHAnsi"/>
                          <w:color w:val="1F497D" w:themeColor="text2"/>
                        </w:rPr>
                        <w:t>Contributing to improved governance structures incorporating sustainable development in cooperation with the Ministry of Internal Affairs.</w:t>
                      </w:r>
                    </w:p>
                    <w:p w14:paraId="6806E371" w14:textId="77777777" w:rsidR="002E0AD1" w:rsidRPr="001C3654" w:rsidRDefault="002E0AD1" w:rsidP="00A64C2E">
                      <w:pPr>
                        <w:shd w:val="clear" w:color="auto" w:fill="DBE5F1" w:themeFill="accent1" w:themeFillTint="33"/>
                        <w:tabs>
                          <w:tab w:val="left" w:pos="4536"/>
                        </w:tabs>
                        <w:spacing w:before="120"/>
                        <w:rPr>
                          <w:rFonts w:cstheme="minorHAnsi"/>
                          <w:b/>
                          <w:color w:val="1F497D" w:themeColor="text2"/>
                        </w:rPr>
                      </w:pPr>
                      <w:r w:rsidRPr="001C3654">
                        <w:rPr>
                          <w:rFonts w:cstheme="minorHAnsi"/>
                          <w:b/>
                          <w:color w:val="1F497D" w:themeColor="text2"/>
                        </w:rPr>
                        <w:t>3. Young Tongan Traditional Leaders group (‘the Namoa’)</w:t>
                      </w:r>
                    </w:p>
                    <w:p w14:paraId="6B505F5B" w14:textId="77777777" w:rsidR="002E0AD1" w:rsidRPr="00FB0282" w:rsidRDefault="002E0AD1" w:rsidP="00A64C2E">
                      <w:pPr>
                        <w:pStyle w:val="ListParagraph"/>
                        <w:numPr>
                          <w:ilvl w:val="0"/>
                          <w:numId w:val="27"/>
                        </w:numPr>
                        <w:shd w:val="clear" w:color="auto" w:fill="DBE5F1" w:themeFill="accent1" w:themeFillTint="33"/>
                        <w:tabs>
                          <w:tab w:val="left" w:pos="4536"/>
                        </w:tabs>
                        <w:spacing w:before="120"/>
                        <w:rPr>
                          <w:rFonts w:cstheme="minorHAnsi"/>
                          <w:color w:val="1F497D" w:themeColor="text2"/>
                        </w:rPr>
                      </w:pPr>
                      <w:r w:rsidRPr="00FB0282">
                        <w:rPr>
                          <w:rFonts w:cstheme="minorHAnsi"/>
                          <w:color w:val="1F497D" w:themeColor="text2"/>
                        </w:rPr>
                        <w:t>Unique group of future traditional leaders undergoing developmental leadership training</w:t>
                      </w:r>
                    </w:p>
                    <w:p w14:paraId="05672930" w14:textId="77777777" w:rsidR="002E0AD1" w:rsidRPr="001C3654" w:rsidRDefault="002E0AD1" w:rsidP="00A64C2E">
                      <w:pPr>
                        <w:pStyle w:val="ListParagraph"/>
                        <w:numPr>
                          <w:ilvl w:val="0"/>
                          <w:numId w:val="27"/>
                        </w:numPr>
                        <w:shd w:val="clear" w:color="auto" w:fill="DBE5F1" w:themeFill="accent1" w:themeFillTint="33"/>
                        <w:tabs>
                          <w:tab w:val="left" w:pos="4536"/>
                        </w:tabs>
                        <w:spacing w:before="120"/>
                        <w:rPr>
                          <w:rFonts w:cstheme="minorHAnsi"/>
                          <w:color w:val="1F497D" w:themeColor="text2"/>
                        </w:rPr>
                      </w:pPr>
                      <w:r w:rsidRPr="001C3654">
                        <w:rPr>
                          <w:rFonts w:cstheme="minorHAnsi"/>
                          <w:color w:val="1F497D" w:themeColor="text2"/>
                        </w:rPr>
                        <w:t>Has developed ‘Community chapters’ working with village youth on development</w:t>
                      </w:r>
                      <w:r w:rsidRPr="00DC33BA">
                        <w:rPr>
                          <w:rFonts w:cstheme="minorHAnsi"/>
                          <w:color w:val="1F497D" w:themeColor="text2"/>
                          <w:sz w:val="24"/>
                          <w:szCs w:val="24"/>
                        </w:rPr>
                        <w:t xml:space="preserve"> </w:t>
                      </w:r>
                      <w:r w:rsidRPr="001C3654">
                        <w:rPr>
                          <w:rFonts w:cstheme="minorHAnsi"/>
                          <w:color w:val="1F497D" w:themeColor="text2"/>
                        </w:rPr>
                        <w:t>projects</w:t>
                      </w:r>
                      <w:r w:rsidRPr="00DC33BA">
                        <w:rPr>
                          <w:rFonts w:cstheme="minorHAnsi"/>
                          <w:color w:val="1F497D" w:themeColor="text2"/>
                          <w:sz w:val="24"/>
                          <w:szCs w:val="24"/>
                        </w:rPr>
                        <w:t xml:space="preserve"> </w:t>
                      </w:r>
                      <w:r w:rsidRPr="001C3654">
                        <w:rPr>
                          <w:rFonts w:cstheme="minorHAnsi"/>
                          <w:color w:val="1F497D" w:themeColor="text2"/>
                        </w:rPr>
                        <w:t>and historical research – to be extended across Tonga</w:t>
                      </w:r>
                    </w:p>
                    <w:p w14:paraId="61A3C51E" w14:textId="77777777" w:rsidR="002E0AD1" w:rsidRPr="001C3654" w:rsidRDefault="002E0AD1" w:rsidP="00A64C2E">
                      <w:pPr>
                        <w:pStyle w:val="ListParagraph"/>
                        <w:numPr>
                          <w:ilvl w:val="0"/>
                          <w:numId w:val="27"/>
                        </w:numPr>
                        <w:shd w:val="clear" w:color="auto" w:fill="DBE5F1" w:themeFill="accent1" w:themeFillTint="33"/>
                        <w:tabs>
                          <w:tab w:val="left" w:pos="4536"/>
                        </w:tabs>
                        <w:spacing w:before="120"/>
                        <w:rPr>
                          <w:rFonts w:cstheme="minorHAnsi"/>
                          <w:color w:val="1F497D" w:themeColor="text2"/>
                        </w:rPr>
                      </w:pPr>
                      <w:r w:rsidRPr="001C3654">
                        <w:rPr>
                          <w:rFonts w:cstheme="minorHAnsi"/>
                          <w:color w:val="1F497D" w:themeColor="text2"/>
                        </w:rPr>
                        <w:t>Promoting gender equality and cooperation.</w:t>
                      </w:r>
                    </w:p>
                    <w:p w14:paraId="62CDEFF4" w14:textId="77777777" w:rsidR="002E0AD1" w:rsidRPr="001C3654" w:rsidRDefault="002E0AD1" w:rsidP="00A64C2E">
                      <w:pPr>
                        <w:shd w:val="clear" w:color="auto" w:fill="DBE5F1" w:themeFill="accent1" w:themeFillTint="33"/>
                        <w:tabs>
                          <w:tab w:val="left" w:pos="4536"/>
                        </w:tabs>
                        <w:spacing w:before="120"/>
                        <w:rPr>
                          <w:rFonts w:cstheme="minorHAnsi"/>
                          <w:b/>
                          <w:color w:val="1F497D" w:themeColor="text2"/>
                        </w:rPr>
                      </w:pPr>
                      <w:r w:rsidRPr="001C3654">
                        <w:rPr>
                          <w:rFonts w:cstheme="minorHAnsi"/>
                          <w:b/>
                          <w:color w:val="1F497D" w:themeColor="text2"/>
                        </w:rPr>
                        <w:t>4. District and Village local governance</w:t>
                      </w:r>
                    </w:p>
                    <w:p w14:paraId="117B5E9A" w14:textId="77777777" w:rsidR="002E0AD1" w:rsidRPr="001C3654" w:rsidRDefault="002E0AD1" w:rsidP="00A64C2E">
                      <w:pPr>
                        <w:pStyle w:val="ListParagraph"/>
                        <w:numPr>
                          <w:ilvl w:val="0"/>
                          <w:numId w:val="29"/>
                        </w:numPr>
                        <w:shd w:val="clear" w:color="auto" w:fill="DBE5F1" w:themeFill="accent1" w:themeFillTint="33"/>
                        <w:tabs>
                          <w:tab w:val="left" w:pos="4536"/>
                        </w:tabs>
                        <w:spacing w:before="120"/>
                        <w:rPr>
                          <w:rFonts w:cstheme="minorHAnsi"/>
                          <w:color w:val="1F497D" w:themeColor="text2"/>
                        </w:rPr>
                      </w:pPr>
                      <w:r w:rsidRPr="001C3654">
                        <w:rPr>
                          <w:rFonts w:cstheme="minorHAnsi"/>
                          <w:color w:val="1F497D" w:themeColor="text2"/>
                        </w:rPr>
                        <w:t>Encouraging adoption of the National Leadership Code</w:t>
                      </w:r>
                    </w:p>
                    <w:p w14:paraId="44E8F032" w14:textId="77777777" w:rsidR="002E0AD1" w:rsidRPr="001C3654" w:rsidRDefault="002E0AD1" w:rsidP="00A64C2E">
                      <w:pPr>
                        <w:pStyle w:val="ListParagraph"/>
                        <w:numPr>
                          <w:ilvl w:val="0"/>
                          <w:numId w:val="29"/>
                        </w:numPr>
                        <w:shd w:val="clear" w:color="auto" w:fill="DBE5F1" w:themeFill="accent1" w:themeFillTint="33"/>
                        <w:tabs>
                          <w:tab w:val="left" w:pos="4536"/>
                        </w:tabs>
                        <w:spacing w:before="120"/>
                        <w:rPr>
                          <w:rFonts w:cstheme="minorHAnsi"/>
                          <w:color w:val="1F497D" w:themeColor="text2"/>
                        </w:rPr>
                      </w:pPr>
                      <w:r w:rsidRPr="001C3654">
                        <w:rPr>
                          <w:rFonts w:cstheme="minorHAnsi"/>
                          <w:color w:val="1F497D" w:themeColor="text2"/>
                        </w:rPr>
                        <w:t>Increasing women’s involvement in local leadership</w:t>
                      </w:r>
                    </w:p>
                    <w:p w14:paraId="3753751F" w14:textId="77777777" w:rsidR="002E0AD1" w:rsidRPr="001C3654" w:rsidRDefault="002E0AD1" w:rsidP="00A64C2E">
                      <w:pPr>
                        <w:pStyle w:val="ListParagraph"/>
                        <w:numPr>
                          <w:ilvl w:val="0"/>
                          <w:numId w:val="29"/>
                        </w:numPr>
                        <w:shd w:val="clear" w:color="auto" w:fill="DBE5F1" w:themeFill="accent1" w:themeFillTint="33"/>
                        <w:tabs>
                          <w:tab w:val="left" w:pos="4536"/>
                        </w:tabs>
                        <w:spacing w:before="120"/>
                        <w:rPr>
                          <w:rFonts w:cstheme="minorHAnsi"/>
                          <w:color w:val="1F497D" w:themeColor="text2"/>
                        </w:rPr>
                      </w:pPr>
                      <w:r w:rsidRPr="00FB0282">
                        <w:rPr>
                          <w:rFonts w:cstheme="minorHAnsi"/>
                          <w:color w:val="1F497D" w:themeColor="text2"/>
                        </w:rPr>
                        <w:t>Working towards reform of local governance with the Tongan Ministry of Internal Affairs</w:t>
                      </w:r>
                      <w:r w:rsidRPr="00B86298">
                        <w:rPr>
                          <w:rFonts w:cstheme="minorHAnsi"/>
                          <w:color w:val="1F497D" w:themeColor="text2"/>
                        </w:rPr>
                        <w:t>.</w:t>
                      </w:r>
                      <w:r w:rsidRPr="0000589A">
                        <w:rPr>
                          <w:rFonts w:cstheme="minorHAnsi"/>
                          <w:color w:val="1F497D" w:themeColor="text2"/>
                          <w:vertAlign w:val="superscript"/>
                        </w:rPr>
                        <w:t>B</w:t>
                      </w:r>
                    </w:p>
                    <w:p w14:paraId="17C100A1" w14:textId="77777777" w:rsidR="002E0AD1" w:rsidRPr="0000589A" w:rsidRDefault="002E0AD1" w:rsidP="00452082">
                      <w:pPr>
                        <w:shd w:val="clear" w:color="auto" w:fill="DBE5F1" w:themeFill="accent1" w:themeFillTint="33"/>
                        <w:tabs>
                          <w:tab w:val="left" w:pos="4536"/>
                        </w:tabs>
                        <w:spacing w:before="120"/>
                        <w:rPr>
                          <w:rFonts w:cstheme="minorHAnsi"/>
                          <w:color w:val="1F497D" w:themeColor="text2"/>
                          <w:sz w:val="18"/>
                          <w:szCs w:val="18"/>
                        </w:rPr>
                      </w:pPr>
                      <w:r w:rsidRPr="0000589A">
                        <w:rPr>
                          <w:rFonts w:cstheme="minorHAnsi"/>
                          <w:color w:val="1F497D" w:themeColor="text2"/>
                          <w:sz w:val="18"/>
                          <w:szCs w:val="18"/>
                          <w:vertAlign w:val="superscript"/>
                        </w:rPr>
                        <w:t>B</w:t>
                      </w:r>
                      <w:r w:rsidRPr="0000589A">
                        <w:rPr>
                          <w:rFonts w:cstheme="minorHAnsi"/>
                          <w:color w:val="1F497D" w:themeColor="text2"/>
                          <w:sz w:val="18"/>
                          <w:szCs w:val="18"/>
                        </w:rPr>
                        <w:t xml:space="preserve"> See Tongan Nationa</w:t>
                      </w:r>
                      <w:r>
                        <w:rPr>
                          <w:rFonts w:cstheme="minorHAnsi"/>
                          <w:color w:val="1F497D" w:themeColor="text2"/>
                          <w:sz w:val="18"/>
                          <w:szCs w:val="18"/>
                        </w:rPr>
                        <w:t>l Leadership Development Forum</w:t>
                      </w:r>
                      <w:r w:rsidRPr="0000589A">
                        <w:rPr>
                          <w:rFonts w:cstheme="minorHAnsi"/>
                          <w:color w:val="1F497D" w:themeColor="text2"/>
                          <w:sz w:val="18"/>
                          <w:szCs w:val="18"/>
                        </w:rPr>
                        <w:t xml:space="preserve"> Completion Report, Helen Lee, May 2017; and DLP Research Paper: Thinking and Working Politically to Support Developmental Leadership and Coalitions: The Pacific Leadership Program, Denney and McLaren, October 2016.</w:t>
                      </w:r>
                    </w:p>
                    <w:p w14:paraId="6241D636" w14:textId="77777777" w:rsidR="002E0AD1" w:rsidRDefault="002E0AD1" w:rsidP="00A64C2E">
                      <w:pPr>
                        <w:shd w:val="clear" w:color="auto" w:fill="DBE5F1" w:themeFill="accent1" w:themeFillTint="33"/>
                        <w:tabs>
                          <w:tab w:val="left" w:pos="4536"/>
                        </w:tabs>
                      </w:pPr>
                    </w:p>
                  </w:txbxContent>
                </v:textbox>
                <w10:wrap type="square" anchorx="margin" anchory="margin"/>
              </v:shape>
            </w:pict>
          </mc:Fallback>
        </mc:AlternateContent>
      </w:r>
    </w:p>
    <w:p w14:paraId="6C4B7B60" w14:textId="77777777" w:rsidR="00D32DEC" w:rsidRDefault="00997223" w:rsidP="00A146D9">
      <w:pPr>
        <w:spacing w:before="120"/>
        <w:rPr>
          <w:color w:val="1F497D" w:themeColor="text2"/>
          <w:sz w:val="24"/>
          <w:szCs w:val="24"/>
          <w:lang w:val="en-US"/>
        </w:rPr>
      </w:pPr>
      <w:r>
        <w:rPr>
          <w:noProof/>
          <w:color w:val="1F497D" w:themeColor="text2"/>
          <w:sz w:val="24"/>
          <w:szCs w:val="24"/>
          <w:lang w:eastAsia="en-AU"/>
        </w:rPr>
        <mc:AlternateContent>
          <mc:Choice Requires="wps">
            <w:drawing>
              <wp:anchor distT="0" distB="0" distL="114300" distR="114300" simplePos="0" relativeHeight="251670528" behindDoc="0" locked="0" layoutInCell="1" allowOverlap="1" wp14:anchorId="2C0A9C93" wp14:editId="0312E66D">
                <wp:simplePos x="0" y="0"/>
                <wp:positionH relativeFrom="margin">
                  <wp:align>center</wp:align>
                </wp:positionH>
                <wp:positionV relativeFrom="margin">
                  <wp:align>top</wp:align>
                </wp:positionV>
                <wp:extent cx="5902325" cy="5416550"/>
                <wp:effectExtent l="0" t="0" r="22225" b="12700"/>
                <wp:wrapSquare wrapText="bothSides"/>
                <wp:docPr id="12" name="Text Box 12"/>
                <wp:cNvGraphicFramePr/>
                <a:graphic xmlns:a="http://schemas.openxmlformats.org/drawingml/2006/main">
                  <a:graphicData uri="http://schemas.microsoft.com/office/word/2010/wordprocessingShape">
                    <wps:wsp>
                      <wps:cNvSpPr txBox="1"/>
                      <wps:spPr>
                        <a:xfrm>
                          <a:off x="0" y="0"/>
                          <a:ext cx="5902325" cy="5416550"/>
                        </a:xfrm>
                        <a:prstGeom prst="rect">
                          <a:avLst/>
                        </a:prstGeom>
                        <a:solidFill>
                          <a:schemeClr val="accent1">
                            <a:lumMod val="20000"/>
                            <a:lumOff val="80000"/>
                          </a:schemeClr>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98ABD86" w14:textId="77777777" w:rsidR="002E0AD1" w:rsidRPr="001C3654" w:rsidRDefault="002E0AD1" w:rsidP="00A64C2E">
                            <w:pPr>
                              <w:widowControl w:val="0"/>
                              <w:shd w:val="clear" w:color="auto" w:fill="DBE5F1" w:themeFill="accent1" w:themeFillTint="33"/>
                              <w:autoSpaceDE w:val="0"/>
                              <w:autoSpaceDN w:val="0"/>
                              <w:adjustRightInd w:val="0"/>
                              <w:spacing w:before="120"/>
                              <w:rPr>
                                <w:rFonts w:ascii="Calibri" w:hAnsi="Calibri" w:cs="Calibri"/>
                                <w:b/>
                                <w:sz w:val="28"/>
                                <w:szCs w:val="28"/>
                                <w:lang w:val="en-US"/>
                              </w:rPr>
                            </w:pPr>
                            <w:r w:rsidRPr="001C3654">
                              <w:rPr>
                                <w:rFonts w:ascii="Calibri" w:hAnsi="Calibri" w:cs="Calibri"/>
                                <w:b/>
                                <w:bCs/>
                                <w:color w:val="18376A"/>
                                <w:sz w:val="28"/>
                                <w:szCs w:val="28"/>
                                <w:lang w:val="en-US"/>
                              </w:rPr>
                              <w:t>Samoa Chamber of Commerce and Industry</w:t>
                            </w:r>
                          </w:p>
                          <w:p w14:paraId="5A95BD82" w14:textId="77777777" w:rsidR="002E0AD1" w:rsidRPr="001C3654" w:rsidRDefault="002E0AD1" w:rsidP="00A64C2E">
                            <w:pPr>
                              <w:widowControl w:val="0"/>
                              <w:shd w:val="clear" w:color="auto" w:fill="DBE5F1" w:themeFill="accent1" w:themeFillTint="33"/>
                              <w:autoSpaceDE w:val="0"/>
                              <w:autoSpaceDN w:val="0"/>
                              <w:adjustRightInd w:val="0"/>
                              <w:spacing w:before="120"/>
                              <w:rPr>
                                <w:rFonts w:ascii="Calibri" w:hAnsi="Calibri" w:cs="Calibri"/>
                                <w:bCs/>
                                <w:i/>
                                <w:color w:val="18376A"/>
                                <w:sz w:val="24"/>
                                <w:szCs w:val="24"/>
                                <w:lang w:val="en-US"/>
                              </w:rPr>
                            </w:pPr>
                            <w:r w:rsidRPr="001C3654">
                              <w:rPr>
                                <w:rFonts w:ascii="Calibri" w:hAnsi="Calibri" w:cs="Calibri"/>
                                <w:bCs/>
                                <w:i/>
                                <w:color w:val="18376A"/>
                                <w:sz w:val="24"/>
                                <w:szCs w:val="24"/>
                                <w:lang w:val="en-US"/>
                              </w:rPr>
                              <w:t>Building capacity for private-public dialogues to support economic growth</w:t>
                            </w:r>
                          </w:p>
                          <w:p w14:paraId="3D93F992" w14:textId="77777777" w:rsidR="002E0AD1" w:rsidRPr="001C3654" w:rsidRDefault="002E0AD1" w:rsidP="00A64C2E">
                            <w:pPr>
                              <w:widowControl w:val="0"/>
                              <w:shd w:val="clear" w:color="auto" w:fill="DBE5F1" w:themeFill="accent1" w:themeFillTint="33"/>
                              <w:autoSpaceDE w:val="0"/>
                              <w:autoSpaceDN w:val="0"/>
                              <w:adjustRightInd w:val="0"/>
                              <w:spacing w:before="120"/>
                              <w:rPr>
                                <w:rFonts w:ascii="Calibri" w:hAnsi="Calibri" w:cs="Calibri"/>
                                <w:u w:color="0000FF"/>
                                <w:lang w:val="en-US"/>
                              </w:rPr>
                            </w:pPr>
                            <w:r w:rsidRPr="001C3654">
                              <w:rPr>
                                <w:rFonts w:ascii="Calibri" w:hAnsi="Calibri" w:cs="Calibri"/>
                                <w:color w:val="18376A"/>
                                <w:lang w:val="en-US"/>
                              </w:rPr>
                              <w:t>In Samoa, PLP3 is working in areas which are important and relevant to the capacity of the country to meet its overarching development goals (i.e. economic sustainability, the sensible use of public resources, and a responsive public sector which facilitates private sector development and innovation). Through the participation of high to senior level participants in PLP3-supported programs in Samoa, there has been a broad awareness and interest in the significance of good and ethical leadership.</w:t>
                            </w:r>
                            <w:r w:rsidRPr="008B0240">
                              <w:rPr>
                                <w:rFonts w:ascii="Calibri" w:hAnsi="Calibri" w:cs="Calibri"/>
                                <w:color w:val="18376A"/>
                                <w:vertAlign w:val="superscript"/>
                                <w:lang w:val="en-US"/>
                              </w:rPr>
                              <w:t>C</w:t>
                            </w:r>
                          </w:p>
                          <w:p w14:paraId="70DA2B9B" w14:textId="77777777" w:rsidR="002E0AD1" w:rsidRPr="001C3654" w:rsidRDefault="002E0AD1" w:rsidP="00A64C2E">
                            <w:pPr>
                              <w:widowControl w:val="0"/>
                              <w:shd w:val="clear" w:color="auto" w:fill="DBE5F1" w:themeFill="accent1" w:themeFillTint="33"/>
                              <w:autoSpaceDE w:val="0"/>
                              <w:autoSpaceDN w:val="0"/>
                              <w:adjustRightInd w:val="0"/>
                              <w:spacing w:before="120"/>
                              <w:rPr>
                                <w:rFonts w:ascii="Calibri" w:hAnsi="Calibri" w:cs="Calibri"/>
                                <w:u w:color="0000FF"/>
                                <w:lang w:val="en-US"/>
                              </w:rPr>
                            </w:pPr>
                            <w:r w:rsidRPr="001C3654">
                              <w:rPr>
                                <w:rFonts w:ascii="Calibri" w:hAnsi="Calibri" w:cs="Calibri"/>
                                <w:color w:val="18376A"/>
                                <w:u w:color="0000FF"/>
                                <w:lang w:val="en-US"/>
                              </w:rPr>
                              <w:t xml:space="preserve">One example of this engagement is PLP’s long-term partnership with Samoa’s leading private sector organisation, </w:t>
                            </w:r>
                            <w:r w:rsidRPr="001C3654">
                              <w:rPr>
                                <w:rFonts w:ascii="Calibri" w:hAnsi="Calibri" w:cs="Calibri"/>
                                <w:b/>
                                <w:bCs/>
                                <w:color w:val="18376A"/>
                                <w:u w:color="0000FF"/>
                                <w:lang w:val="en-US"/>
                              </w:rPr>
                              <w:t xml:space="preserve">the Samoa Chamber of Commerce and Industry (SCCI). </w:t>
                            </w:r>
                            <w:r w:rsidRPr="001C3654">
                              <w:rPr>
                                <w:rFonts w:ascii="Calibri" w:hAnsi="Calibri" w:cs="Calibri"/>
                                <w:color w:val="18376A"/>
                                <w:u w:color="0000FF"/>
                                <w:lang w:val="en-US"/>
                              </w:rPr>
                              <w:t>Through PLP’s support, SCCI has been able to act and operate in ways which contribute strongly to its objectives to help shape the direction of national development policies and initiatives affecting business.</w:t>
                            </w:r>
                          </w:p>
                          <w:p w14:paraId="7CC7C3C7" w14:textId="77777777" w:rsidR="002E0AD1" w:rsidRPr="001C3654" w:rsidRDefault="002E0AD1" w:rsidP="00A64C2E">
                            <w:pPr>
                              <w:widowControl w:val="0"/>
                              <w:shd w:val="clear" w:color="auto" w:fill="DBE5F1" w:themeFill="accent1" w:themeFillTint="33"/>
                              <w:autoSpaceDE w:val="0"/>
                              <w:autoSpaceDN w:val="0"/>
                              <w:adjustRightInd w:val="0"/>
                              <w:spacing w:before="120"/>
                              <w:rPr>
                                <w:rFonts w:ascii="Calibri" w:hAnsi="Calibri" w:cs="Calibri"/>
                                <w:u w:color="0000FF"/>
                                <w:lang w:val="en-US"/>
                              </w:rPr>
                            </w:pPr>
                            <w:r w:rsidRPr="001C3654">
                              <w:rPr>
                                <w:rFonts w:ascii="Calibri" w:hAnsi="Calibri" w:cs="Calibri"/>
                                <w:b/>
                                <w:color w:val="18376A"/>
                                <w:u w:color="0000FF"/>
                                <w:lang w:val="en-US"/>
                              </w:rPr>
                              <w:t>Today, the Chamber is recognised as an effective and powerful lobby group within the public and political system.</w:t>
                            </w:r>
                            <w:r w:rsidRPr="001C3654">
                              <w:rPr>
                                <w:rFonts w:ascii="Calibri" w:hAnsi="Calibri" w:cs="Calibri"/>
                                <w:color w:val="18376A"/>
                                <w:u w:color="0000FF"/>
                                <w:lang w:val="en-US"/>
                              </w:rPr>
                              <w:t xml:space="preserve"> It enjoys strong collaboration with the Samoan government and industry members, including by undertaking surveys and producing research on commercial issues which affect its members and assist the Chamber to effectively execute high level policy dialogue with the government.  The Chamber now sits on numerous government committees and policy development forums, including the Government Revenue Board. It has also implemented member ‘think tanks’ to workshop key policy issues affecting business in Samoa and drive reforms, and has be able to expand its membership base.</w:t>
                            </w:r>
                            <w:r w:rsidRPr="008B0240">
                              <w:rPr>
                                <w:rFonts w:ascii="Calibri" w:hAnsi="Calibri" w:cs="Calibri"/>
                                <w:color w:val="18376A"/>
                                <w:u w:color="0000FF"/>
                                <w:vertAlign w:val="superscript"/>
                                <w:lang w:val="en-US"/>
                              </w:rPr>
                              <w:t>D</w:t>
                            </w:r>
                            <w:r w:rsidRPr="001C3654">
                              <w:rPr>
                                <w:rFonts w:ascii="Calibri" w:hAnsi="Calibri" w:cs="Calibri"/>
                                <w:color w:val="18376A"/>
                                <w:u w:color="0000FF"/>
                                <w:lang w:val="en-US"/>
                              </w:rPr>
                              <w:t xml:space="preserve"> Stakeholders in Samoa state that this growth in the capacity of the SCCI would not have been possible without PLP support.</w:t>
                            </w:r>
                            <w:r w:rsidRPr="008B0240">
                              <w:rPr>
                                <w:rFonts w:ascii="Calibri" w:hAnsi="Calibri" w:cs="Calibri"/>
                                <w:color w:val="18376A"/>
                                <w:u w:color="0000FF"/>
                                <w:vertAlign w:val="superscript"/>
                                <w:lang w:val="en-US"/>
                              </w:rPr>
                              <w:t>E</w:t>
                            </w:r>
                          </w:p>
                          <w:p w14:paraId="16AEADD8" w14:textId="77777777" w:rsidR="002E0AD1" w:rsidRPr="001C3654" w:rsidRDefault="002E0AD1" w:rsidP="00A64C2E">
                            <w:pPr>
                              <w:shd w:val="clear" w:color="auto" w:fill="DBE5F1" w:themeFill="accent1" w:themeFillTint="33"/>
                              <w:spacing w:before="120"/>
                              <w:rPr>
                                <w:rFonts w:ascii="Calibri" w:hAnsi="Calibri" w:cs="Calibri"/>
                                <w:color w:val="18376A"/>
                                <w:u w:color="0000FF"/>
                                <w:lang w:val="en-US"/>
                              </w:rPr>
                            </w:pPr>
                            <w:r w:rsidRPr="001C3654">
                              <w:rPr>
                                <w:rFonts w:ascii="Calibri" w:hAnsi="Calibri" w:cs="Calibri"/>
                                <w:color w:val="18376A"/>
                                <w:u w:color="0000FF"/>
                                <w:lang w:val="en-US"/>
                              </w:rPr>
                              <w:t xml:space="preserve">The PLP’s support included approximately AUD450,000 to SCCI in phase 3. This funding supported research and analysis; development of policy papers; two staff salaries; ‘think tanks’ and specific programs such as ‘2 Samoa Trade’. </w:t>
                            </w:r>
                          </w:p>
                          <w:p w14:paraId="464FF762" w14:textId="77777777" w:rsidR="002E0AD1" w:rsidRDefault="002E0AD1" w:rsidP="00A64C2E">
                            <w:pPr>
                              <w:shd w:val="clear" w:color="auto" w:fill="DBE5F1" w:themeFill="accent1" w:themeFillTint="33"/>
                              <w:spacing w:before="120"/>
                              <w:rPr>
                                <w:rFonts w:ascii="Calibri" w:hAnsi="Calibri" w:cs="Calibri"/>
                                <w:color w:val="18376A"/>
                                <w:u w:color="0000FF"/>
                                <w:lang w:val="en-US"/>
                              </w:rPr>
                            </w:pPr>
                            <w:r w:rsidRPr="001C3654">
                              <w:rPr>
                                <w:rFonts w:ascii="Calibri" w:hAnsi="Calibri" w:cs="Calibri"/>
                                <w:color w:val="18376A"/>
                                <w:u w:color="0000FF"/>
                                <w:lang w:val="en-US"/>
                              </w:rPr>
                              <w:t>For further information, see PLP Briefing Note on the SCCI (February 2017).</w:t>
                            </w:r>
                          </w:p>
                          <w:p w14:paraId="04D2421F" w14:textId="77777777" w:rsidR="002E0AD1" w:rsidRPr="008B0240" w:rsidRDefault="002E0AD1" w:rsidP="008B0240">
                            <w:pPr>
                              <w:shd w:val="clear" w:color="auto" w:fill="DBE5F1" w:themeFill="accent1" w:themeFillTint="33"/>
                              <w:spacing w:after="0"/>
                              <w:rPr>
                                <w:rFonts w:ascii="Calibri" w:hAnsi="Calibri" w:cs="Calibri"/>
                                <w:color w:val="18376A"/>
                                <w:sz w:val="18"/>
                                <w:szCs w:val="18"/>
                                <w:u w:color="0000FF"/>
                                <w:lang w:val="en-US"/>
                              </w:rPr>
                            </w:pPr>
                            <w:r w:rsidRPr="008B0240">
                              <w:rPr>
                                <w:rFonts w:ascii="Calibri" w:hAnsi="Calibri" w:cs="Calibri"/>
                                <w:color w:val="18376A"/>
                                <w:sz w:val="18"/>
                                <w:szCs w:val="18"/>
                                <w:u w:color="0000FF"/>
                                <w:vertAlign w:val="superscript"/>
                                <w:lang w:val="en-US"/>
                              </w:rPr>
                              <w:t>C</w:t>
                            </w:r>
                            <w:r w:rsidRPr="008B0240">
                              <w:rPr>
                                <w:rFonts w:ascii="Calibri" w:hAnsi="Calibri" w:cs="Calibri"/>
                                <w:color w:val="18376A"/>
                                <w:sz w:val="18"/>
                                <w:szCs w:val="18"/>
                                <w:u w:color="0000FF"/>
                                <w:lang w:val="en-US"/>
                              </w:rPr>
                              <w:t xml:space="preserve"> Stakeholder consultations.</w:t>
                            </w:r>
                          </w:p>
                          <w:p w14:paraId="113F58BC" w14:textId="77777777" w:rsidR="002E0AD1" w:rsidRPr="008B0240" w:rsidRDefault="002E0AD1" w:rsidP="008B0240">
                            <w:pPr>
                              <w:shd w:val="clear" w:color="auto" w:fill="DBE5F1" w:themeFill="accent1" w:themeFillTint="33"/>
                              <w:spacing w:after="0"/>
                              <w:rPr>
                                <w:rFonts w:ascii="Calibri" w:hAnsi="Calibri" w:cs="Calibri"/>
                                <w:color w:val="18376A"/>
                                <w:sz w:val="18"/>
                                <w:szCs w:val="18"/>
                                <w:u w:color="0000FF"/>
                                <w:lang w:val="en-US"/>
                              </w:rPr>
                            </w:pPr>
                            <w:r w:rsidRPr="008B0240">
                              <w:rPr>
                                <w:rFonts w:ascii="Calibri" w:hAnsi="Calibri" w:cs="Calibri"/>
                                <w:color w:val="18376A"/>
                                <w:sz w:val="18"/>
                                <w:szCs w:val="18"/>
                                <w:u w:color="0000FF"/>
                                <w:vertAlign w:val="superscript"/>
                                <w:lang w:val="en-US"/>
                              </w:rPr>
                              <w:t>D</w:t>
                            </w:r>
                            <w:r w:rsidRPr="008B0240">
                              <w:rPr>
                                <w:rFonts w:ascii="Calibri" w:hAnsi="Calibri" w:cs="Calibri"/>
                                <w:color w:val="18376A"/>
                                <w:sz w:val="18"/>
                                <w:szCs w:val="18"/>
                                <w:u w:color="0000FF"/>
                                <w:lang w:val="en-US"/>
                              </w:rPr>
                              <w:t xml:space="preserve"> PLP Briefing Note: SCCI, February 2017.</w:t>
                            </w:r>
                          </w:p>
                          <w:p w14:paraId="463BE3FC" w14:textId="77777777" w:rsidR="002E0AD1" w:rsidRPr="008B0240" w:rsidRDefault="002E0AD1" w:rsidP="008B0240">
                            <w:pPr>
                              <w:shd w:val="clear" w:color="auto" w:fill="DBE5F1" w:themeFill="accent1" w:themeFillTint="33"/>
                              <w:spacing w:after="0"/>
                              <w:rPr>
                                <w:b/>
                                <w:sz w:val="18"/>
                                <w:szCs w:val="18"/>
                                <w:lang w:val="en-US"/>
                              </w:rPr>
                            </w:pPr>
                            <w:r w:rsidRPr="008B0240">
                              <w:rPr>
                                <w:rFonts w:ascii="Calibri" w:hAnsi="Calibri" w:cs="Calibri"/>
                                <w:color w:val="18376A"/>
                                <w:sz w:val="18"/>
                                <w:szCs w:val="18"/>
                                <w:u w:color="0000FF"/>
                                <w:vertAlign w:val="superscript"/>
                                <w:lang w:val="en-US"/>
                              </w:rPr>
                              <w:t>E</w:t>
                            </w:r>
                            <w:r w:rsidRPr="008B0240">
                              <w:rPr>
                                <w:rFonts w:ascii="Calibri" w:hAnsi="Calibri" w:cs="Calibri"/>
                                <w:color w:val="18376A"/>
                                <w:sz w:val="18"/>
                                <w:szCs w:val="18"/>
                                <w:u w:color="0000FF"/>
                                <w:lang w:val="en-US"/>
                              </w:rPr>
                              <w:t xml:space="preserve"> Stakeholder consultations.</w:t>
                            </w:r>
                          </w:p>
                          <w:p w14:paraId="02A62387" w14:textId="77777777" w:rsidR="002E0AD1" w:rsidRDefault="002E0AD1" w:rsidP="00A64C2E">
                            <w:pPr>
                              <w:shd w:val="clear" w:color="auto" w:fill="DBE5F1" w:themeFill="accent1" w:themeFillTint="3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A9C93" id="Text Box 12" o:spid="_x0000_s1030" type="#_x0000_t202" style="position:absolute;left:0;text-align:left;margin-left:0;margin-top:0;width:464.75pt;height:426.5pt;z-index:251670528;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" fillcolor="#dbe5f1 [660]" strokecolor="black [3213]">
                <v:textbox>
                  <w:txbxContent>
                    <w:p w14:paraId="798ABD86" w14:textId="77777777" w:rsidR="002E0AD1" w:rsidRPr="001C3654" w:rsidRDefault="002E0AD1" w:rsidP="00A64C2E">
                      <w:pPr>
                        <w:widowControl w:val="0"/>
                        <w:shd w:val="clear" w:color="auto" w:fill="DBE5F1" w:themeFill="accent1" w:themeFillTint="33"/>
                        <w:autoSpaceDE w:val="0"/>
                        <w:autoSpaceDN w:val="0"/>
                        <w:adjustRightInd w:val="0"/>
                        <w:spacing w:before="120"/>
                        <w:rPr>
                          <w:rFonts w:ascii="Calibri" w:hAnsi="Calibri" w:cs="Calibri"/>
                          <w:b/>
                          <w:sz w:val="28"/>
                          <w:szCs w:val="28"/>
                          <w:lang w:val="en-US"/>
                        </w:rPr>
                      </w:pPr>
                      <w:r w:rsidRPr="001C3654">
                        <w:rPr>
                          <w:rFonts w:ascii="Calibri" w:hAnsi="Calibri" w:cs="Calibri"/>
                          <w:b/>
                          <w:bCs/>
                          <w:color w:val="18376A"/>
                          <w:sz w:val="28"/>
                          <w:szCs w:val="28"/>
                          <w:lang w:val="en-US"/>
                        </w:rPr>
                        <w:t>Samoa Chamber of Commerce and Industry</w:t>
                      </w:r>
                    </w:p>
                    <w:p w14:paraId="5A95BD82" w14:textId="77777777" w:rsidR="002E0AD1" w:rsidRPr="001C3654" w:rsidRDefault="002E0AD1" w:rsidP="00A64C2E">
                      <w:pPr>
                        <w:widowControl w:val="0"/>
                        <w:shd w:val="clear" w:color="auto" w:fill="DBE5F1" w:themeFill="accent1" w:themeFillTint="33"/>
                        <w:autoSpaceDE w:val="0"/>
                        <w:autoSpaceDN w:val="0"/>
                        <w:adjustRightInd w:val="0"/>
                        <w:spacing w:before="120"/>
                        <w:rPr>
                          <w:rFonts w:ascii="Calibri" w:hAnsi="Calibri" w:cs="Calibri"/>
                          <w:bCs/>
                          <w:i/>
                          <w:color w:val="18376A"/>
                          <w:sz w:val="24"/>
                          <w:szCs w:val="24"/>
                          <w:lang w:val="en-US"/>
                        </w:rPr>
                      </w:pPr>
                      <w:r w:rsidRPr="001C3654">
                        <w:rPr>
                          <w:rFonts w:ascii="Calibri" w:hAnsi="Calibri" w:cs="Calibri"/>
                          <w:bCs/>
                          <w:i/>
                          <w:color w:val="18376A"/>
                          <w:sz w:val="24"/>
                          <w:szCs w:val="24"/>
                          <w:lang w:val="en-US"/>
                        </w:rPr>
                        <w:t>Building capacity for private-public dialogues to support economic growth</w:t>
                      </w:r>
                    </w:p>
                    <w:p w14:paraId="3D93F992" w14:textId="77777777" w:rsidR="002E0AD1" w:rsidRPr="001C3654" w:rsidRDefault="002E0AD1" w:rsidP="00A64C2E">
                      <w:pPr>
                        <w:widowControl w:val="0"/>
                        <w:shd w:val="clear" w:color="auto" w:fill="DBE5F1" w:themeFill="accent1" w:themeFillTint="33"/>
                        <w:autoSpaceDE w:val="0"/>
                        <w:autoSpaceDN w:val="0"/>
                        <w:adjustRightInd w:val="0"/>
                        <w:spacing w:before="120"/>
                        <w:rPr>
                          <w:rFonts w:ascii="Calibri" w:hAnsi="Calibri" w:cs="Calibri"/>
                          <w:u w:color="0000FF"/>
                          <w:lang w:val="en-US"/>
                        </w:rPr>
                      </w:pPr>
                      <w:r w:rsidRPr="001C3654">
                        <w:rPr>
                          <w:rFonts w:ascii="Calibri" w:hAnsi="Calibri" w:cs="Calibri"/>
                          <w:color w:val="18376A"/>
                          <w:lang w:val="en-US"/>
                        </w:rPr>
                        <w:t>In Samoa, PLP3 is working in areas which are important and relevant to the capacity of the country to meet its overarching development goals (i.e. economic sustainability, the sensible use of public resources, and a responsive public sector which facilitates private sector development and innovation). Through the participation of high to senior level participants in PLP3-supported programs in Samoa, there has been a broad awareness and interest in the significance of good and ethical leadership.</w:t>
                      </w:r>
                      <w:r w:rsidRPr="008B0240">
                        <w:rPr>
                          <w:rFonts w:ascii="Calibri" w:hAnsi="Calibri" w:cs="Calibri"/>
                          <w:color w:val="18376A"/>
                          <w:vertAlign w:val="superscript"/>
                          <w:lang w:val="en-US"/>
                        </w:rPr>
                        <w:t>C</w:t>
                      </w:r>
                    </w:p>
                    <w:p w14:paraId="70DA2B9B" w14:textId="77777777" w:rsidR="002E0AD1" w:rsidRPr="001C3654" w:rsidRDefault="002E0AD1" w:rsidP="00A64C2E">
                      <w:pPr>
                        <w:widowControl w:val="0"/>
                        <w:shd w:val="clear" w:color="auto" w:fill="DBE5F1" w:themeFill="accent1" w:themeFillTint="33"/>
                        <w:autoSpaceDE w:val="0"/>
                        <w:autoSpaceDN w:val="0"/>
                        <w:adjustRightInd w:val="0"/>
                        <w:spacing w:before="120"/>
                        <w:rPr>
                          <w:rFonts w:ascii="Calibri" w:hAnsi="Calibri" w:cs="Calibri"/>
                          <w:u w:color="0000FF"/>
                          <w:lang w:val="en-US"/>
                        </w:rPr>
                      </w:pPr>
                      <w:r w:rsidRPr="001C3654">
                        <w:rPr>
                          <w:rFonts w:ascii="Calibri" w:hAnsi="Calibri" w:cs="Calibri"/>
                          <w:color w:val="18376A"/>
                          <w:u w:color="0000FF"/>
                          <w:lang w:val="en-US"/>
                        </w:rPr>
                        <w:t xml:space="preserve">One example of this engagement is PLP’s long-term partnership with Samoa’s leading private sector organisation, </w:t>
                      </w:r>
                      <w:r w:rsidRPr="001C3654">
                        <w:rPr>
                          <w:rFonts w:ascii="Calibri" w:hAnsi="Calibri" w:cs="Calibri"/>
                          <w:b/>
                          <w:bCs/>
                          <w:color w:val="18376A"/>
                          <w:u w:color="0000FF"/>
                          <w:lang w:val="en-US"/>
                        </w:rPr>
                        <w:t xml:space="preserve">the Samoa Chamber of Commerce and Industry (SCCI). </w:t>
                      </w:r>
                      <w:r w:rsidRPr="001C3654">
                        <w:rPr>
                          <w:rFonts w:ascii="Calibri" w:hAnsi="Calibri" w:cs="Calibri"/>
                          <w:color w:val="18376A"/>
                          <w:u w:color="0000FF"/>
                          <w:lang w:val="en-US"/>
                        </w:rPr>
                        <w:t>Through PLP’s support, SCCI has been able to act and operate in ways which contribute strongly to its objectives to help shape the direction of national development policies and initiatives affecting business.</w:t>
                      </w:r>
                    </w:p>
                    <w:p w14:paraId="7CC7C3C7" w14:textId="77777777" w:rsidR="002E0AD1" w:rsidRPr="001C3654" w:rsidRDefault="002E0AD1" w:rsidP="00A64C2E">
                      <w:pPr>
                        <w:widowControl w:val="0"/>
                        <w:shd w:val="clear" w:color="auto" w:fill="DBE5F1" w:themeFill="accent1" w:themeFillTint="33"/>
                        <w:autoSpaceDE w:val="0"/>
                        <w:autoSpaceDN w:val="0"/>
                        <w:adjustRightInd w:val="0"/>
                        <w:spacing w:before="120"/>
                        <w:rPr>
                          <w:rFonts w:ascii="Calibri" w:hAnsi="Calibri" w:cs="Calibri"/>
                          <w:u w:color="0000FF"/>
                          <w:lang w:val="en-US"/>
                        </w:rPr>
                      </w:pPr>
                      <w:r w:rsidRPr="001C3654">
                        <w:rPr>
                          <w:rFonts w:ascii="Calibri" w:hAnsi="Calibri" w:cs="Calibri"/>
                          <w:b/>
                          <w:color w:val="18376A"/>
                          <w:u w:color="0000FF"/>
                          <w:lang w:val="en-US"/>
                        </w:rPr>
                        <w:t>Today, the Chamber is recognised as an effective and powerful lobby group within the public and political system.</w:t>
                      </w:r>
                      <w:r w:rsidRPr="001C3654">
                        <w:rPr>
                          <w:rFonts w:ascii="Calibri" w:hAnsi="Calibri" w:cs="Calibri"/>
                          <w:color w:val="18376A"/>
                          <w:u w:color="0000FF"/>
                          <w:lang w:val="en-US"/>
                        </w:rPr>
                        <w:t xml:space="preserve"> It enjoys strong collaboration with the Samoan government and industry members, including by undertaking surveys and producing research on commercial issues which affect its members and assist the Chamber to effectively execute high level policy dialogue with the government.  The Chamber now sits on numerous government committees and policy development forums, including the Government Revenue Board. It has also implemented member ‘think tanks’ to workshop key policy issues affecting business in Samoa and drive reforms, and has be able to expand its membership base.</w:t>
                      </w:r>
                      <w:r w:rsidRPr="008B0240">
                        <w:rPr>
                          <w:rFonts w:ascii="Calibri" w:hAnsi="Calibri" w:cs="Calibri"/>
                          <w:color w:val="18376A"/>
                          <w:u w:color="0000FF"/>
                          <w:vertAlign w:val="superscript"/>
                          <w:lang w:val="en-US"/>
                        </w:rPr>
                        <w:t>D</w:t>
                      </w:r>
                      <w:r w:rsidRPr="001C3654">
                        <w:rPr>
                          <w:rFonts w:ascii="Calibri" w:hAnsi="Calibri" w:cs="Calibri"/>
                          <w:color w:val="18376A"/>
                          <w:u w:color="0000FF"/>
                          <w:lang w:val="en-US"/>
                        </w:rPr>
                        <w:t xml:space="preserve"> Stakeholders in Samoa state that this growth in the capacity of the SCCI would not have been possible without PLP support.</w:t>
                      </w:r>
                      <w:r w:rsidRPr="008B0240">
                        <w:rPr>
                          <w:rFonts w:ascii="Calibri" w:hAnsi="Calibri" w:cs="Calibri"/>
                          <w:color w:val="18376A"/>
                          <w:u w:color="0000FF"/>
                          <w:vertAlign w:val="superscript"/>
                          <w:lang w:val="en-US"/>
                        </w:rPr>
                        <w:t>E</w:t>
                      </w:r>
                    </w:p>
                    <w:p w14:paraId="16AEADD8" w14:textId="77777777" w:rsidR="002E0AD1" w:rsidRPr="001C3654" w:rsidRDefault="002E0AD1" w:rsidP="00A64C2E">
                      <w:pPr>
                        <w:shd w:val="clear" w:color="auto" w:fill="DBE5F1" w:themeFill="accent1" w:themeFillTint="33"/>
                        <w:spacing w:before="120"/>
                        <w:rPr>
                          <w:rFonts w:ascii="Calibri" w:hAnsi="Calibri" w:cs="Calibri"/>
                          <w:color w:val="18376A"/>
                          <w:u w:color="0000FF"/>
                          <w:lang w:val="en-US"/>
                        </w:rPr>
                      </w:pPr>
                      <w:r w:rsidRPr="001C3654">
                        <w:rPr>
                          <w:rFonts w:ascii="Calibri" w:hAnsi="Calibri" w:cs="Calibri"/>
                          <w:color w:val="18376A"/>
                          <w:u w:color="0000FF"/>
                          <w:lang w:val="en-US"/>
                        </w:rPr>
                        <w:t xml:space="preserve">The PLP’s support included approximately AUD450,000 to SCCI in phase 3. This funding supported research and analysis; development of policy papers; two staff salaries; ‘think tanks’ and specific programs such as ‘2 Samoa Trade’. </w:t>
                      </w:r>
                    </w:p>
                    <w:p w14:paraId="464FF762" w14:textId="77777777" w:rsidR="002E0AD1" w:rsidRDefault="002E0AD1" w:rsidP="00A64C2E">
                      <w:pPr>
                        <w:shd w:val="clear" w:color="auto" w:fill="DBE5F1" w:themeFill="accent1" w:themeFillTint="33"/>
                        <w:spacing w:before="120"/>
                        <w:rPr>
                          <w:rFonts w:ascii="Calibri" w:hAnsi="Calibri" w:cs="Calibri"/>
                          <w:color w:val="18376A"/>
                          <w:u w:color="0000FF"/>
                          <w:lang w:val="en-US"/>
                        </w:rPr>
                      </w:pPr>
                      <w:r w:rsidRPr="001C3654">
                        <w:rPr>
                          <w:rFonts w:ascii="Calibri" w:hAnsi="Calibri" w:cs="Calibri"/>
                          <w:color w:val="18376A"/>
                          <w:u w:color="0000FF"/>
                          <w:lang w:val="en-US"/>
                        </w:rPr>
                        <w:t>For further information, see PLP Briefing Note on the SCCI (February 2017).</w:t>
                      </w:r>
                    </w:p>
                    <w:p w14:paraId="04D2421F" w14:textId="77777777" w:rsidR="002E0AD1" w:rsidRPr="008B0240" w:rsidRDefault="002E0AD1" w:rsidP="008B0240">
                      <w:pPr>
                        <w:shd w:val="clear" w:color="auto" w:fill="DBE5F1" w:themeFill="accent1" w:themeFillTint="33"/>
                        <w:spacing w:after="0"/>
                        <w:rPr>
                          <w:rFonts w:ascii="Calibri" w:hAnsi="Calibri" w:cs="Calibri"/>
                          <w:color w:val="18376A"/>
                          <w:sz w:val="18"/>
                          <w:szCs w:val="18"/>
                          <w:u w:color="0000FF"/>
                          <w:lang w:val="en-US"/>
                        </w:rPr>
                      </w:pPr>
                      <w:r w:rsidRPr="008B0240">
                        <w:rPr>
                          <w:rFonts w:ascii="Calibri" w:hAnsi="Calibri" w:cs="Calibri"/>
                          <w:color w:val="18376A"/>
                          <w:sz w:val="18"/>
                          <w:szCs w:val="18"/>
                          <w:u w:color="0000FF"/>
                          <w:vertAlign w:val="superscript"/>
                          <w:lang w:val="en-US"/>
                        </w:rPr>
                        <w:t>C</w:t>
                      </w:r>
                      <w:r w:rsidRPr="008B0240">
                        <w:rPr>
                          <w:rFonts w:ascii="Calibri" w:hAnsi="Calibri" w:cs="Calibri"/>
                          <w:color w:val="18376A"/>
                          <w:sz w:val="18"/>
                          <w:szCs w:val="18"/>
                          <w:u w:color="0000FF"/>
                          <w:lang w:val="en-US"/>
                        </w:rPr>
                        <w:t xml:space="preserve"> Stakeholder consultations.</w:t>
                      </w:r>
                    </w:p>
                    <w:p w14:paraId="113F58BC" w14:textId="77777777" w:rsidR="002E0AD1" w:rsidRPr="008B0240" w:rsidRDefault="002E0AD1" w:rsidP="008B0240">
                      <w:pPr>
                        <w:shd w:val="clear" w:color="auto" w:fill="DBE5F1" w:themeFill="accent1" w:themeFillTint="33"/>
                        <w:spacing w:after="0"/>
                        <w:rPr>
                          <w:rFonts w:ascii="Calibri" w:hAnsi="Calibri" w:cs="Calibri"/>
                          <w:color w:val="18376A"/>
                          <w:sz w:val="18"/>
                          <w:szCs w:val="18"/>
                          <w:u w:color="0000FF"/>
                          <w:lang w:val="en-US"/>
                        </w:rPr>
                      </w:pPr>
                      <w:r w:rsidRPr="008B0240">
                        <w:rPr>
                          <w:rFonts w:ascii="Calibri" w:hAnsi="Calibri" w:cs="Calibri"/>
                          <w:color w:val="18376A"/>
                          <w:sz w:val="18"/>
                          <w:szCs w:val="18"/>
                          <w:u w:color="0000FF"/>
                          <w:vertAlign w:val="superscript"/>
                          <w:lang w:val="en-US"/>
                        </w:rPr>
                        <w:t>D</w:t>
                      </w:r>
                      <w:r w:rsidRPr="008B0240">
                        <w:rPr>
                          <w:rFonts w:ascii="Calibri" w:hAnsi="Calibri" w:cs="Calibri"/>
                          <w:color w:val="18376A"/>
                          <w:sz w:val="18"/>
                          <w:szCs w:val="18"/>
                          <w:u w:color="0000FF"/>
                          <w:lang w:val="en-US"/>
                        </w:rPr>
                        <w:t xml:space="preserve"> PLP Briefing Note: SCCI, February 2017.</w:t>
                      </w:r>
                    </w:p>
                    <w:p w14:paraId="463BE3FC" w14:textId="77777777" w:rsidR="002E0AD1" w:rsidRPr="008B0240" w:rsidRDefault="002E0AD1" w:rsidP="008B0240">
                      <w:pPr>
                        <w:shd w:val="clear" w:color="auto" w:fill="DBE5F1" w:themeFill="accent1" w:themeFillTint="33"/>
                        <w:spacing w:after="0"/>
                        <w:rPr>
                          <w:b/>
                          <w:sz w:val="18"/>
                          <w:szCs w:val="18"/>
                          <w:lang w:val="en-US"/>
                        </w:rPr>
                      </w:pPr>
                      <w:r w:rsidRPr="008B0240">
                        <w:rPr>
                          <w:rFonts w:ascii="Calibri" w:hAnsi="Calibri" w:cs="Calibri"/>
                          <w:color w:val="18376A"/>
                          <w:sz w:val="18"/>
                          <w:szCs w:val="18"/>
                          <w:u w:color="0000FF"/>
                          <w:vertAlign w:val="superscript"/>
                          <w:lang w:val="en-US"/>
                        </w:rPr>
                        <w:t>E</w:t>
                      </w:r>
                      <w:r w:rsidRPr="008B0240">
                        <w:rPr>
                          <w:rFonts w:ascii="Calibri" w:hAnsi="Calibri" w:cs="Calibri"/>
                          <w:color w:val="18376A"/>
                          <w:sz w:val="18"/>
                          <w:szCs w:val="18"/>
                          <w:u w:color="0000FF"/>
                          <w:lang w:val="en-US"/>
                        </w:rPr>
                        <w:t xml:space="preserve"> Stakeholder consultations.</w:t>
                      </w:r>
                    </w:p>
                    <w:p w14:paraId="02A62387" w14:textId="77777777" w:rsidR="002E0AD1" w:rsidRDefault="002E0AD1" w:rsidP="00A64C2E">
                      <w:pPr>
                        <w:shd w:val="clear" w:color="auto" w:fill="DBE5F1" w:themeFill="accent1" w:themeFillTint="33"/>
                      </w:pPr>
                    </w:p>
                  </w:txbxContent>
                </v:textbox>
                <w10:wrap type="square" anchorx="margin" anchory="margin"/>
              </v:shape>
            </w:pict>
          </mc:Fallback>
        </mc:AlternateContent>
      </w:r>
    </w:p>
    <w:p w14:paraId="26C8F4A2" w14:textId="77777777" w:rsidR="007A09AD" w:rsidRPr="001C3654" w:rsidRDefault="007A09AD" w:rsidP="007A09AD">
      <w:pPr>
        <w:spacing w:before="120"/>
        <w:rPr>
          <w:lang w:val="en-US"/>
        </w:rPr>
      </w:pPr>
      <w:r w:rsidRPr="001C3654">
        <w:rPr>
          <w:b/>
          <w:lang w:val="en-US"/>
        </w:rPr>
        <w:t>There have been other cases where PLP</w:t>
      </w:r>
      <w:r w:rsidR="0069046E" w:rsidRPr="001C3654">
        <w:rPr>
          <w:b/>
          <w:lang w:val="en-US"/>
        </w:rPr>
        <w:t>3</w:t>
      </w:r>
      <w:r w:rsidRPr="001C3654">
        <w:rPr>
          <w:b/>
          <w:lang w:val="en-US"/>
        </w:rPr>
        <w:t xml:space="preserve">'s support is not especially different to other donor </w:t>
      </w:r>
      <w:r w:rsidR="00CA1DBC">
        <w:rPr>
          <w:b/>
          <w:lang w:val="en-US"/>
        </w:rPr>
        <w:t>programs</w:t>
      </w:r>
      <w:r w:rsidRPr="001C3654">
        <w:rPr>
          <w:b/>
          <w:lang w:val="en-US"/>
        </w:rPr>
        <w:t>, and indeed not especially different to DFAT's existing bilateral and regional programming</w:t>
      </w:r>
      <w:r w:rsidRPr="001C3654">
        <w:rPr>
          <w:lang w:val="en-US"/>
        </w:rPr>
        <w:t>.  For example, PLP</w:t>
      </w:r>
      <w:r w:rsidR="00925CAA" w:rsidRPr="001C3654">
        <w:rPr>
          <w:lang w:val="en-US"/>
        </w:rPr>
        <w:t>3</w:t>
      </w:r>
      <w:r w:rsidRPr="001C3654">
        <w:rPr>
          <w:lang w:val="en-US"/>
        </w:rPr>
        <w:t>'s funding for People With a Disability Solomon Islands (PWDSI) through SPC's RRRT (Regional Rights Resource Team, DFAT-funded) provided support for worthwhile activities but does not seem to have been used as an opportunity to bring PLP's unique value-add.</w:t>
      </w:r>
      <w:r w:rsidR="008824C3">
        <w:rPr>
          <w:lang w:val="en-US"/>
        </w:rPr>
        <w:t xml:space="preserve"> </w:t>
      </w:r>
      <w:r w:rsidR="00CA6362">
        <w:rPr>
          <w:lang w:val="en-US"/>
        </w:rPr>
        <w:t xml:space="preserve"> </w:t>
      </w:r>
      <w:r w:rsidRPr="001C3654">
        <w:rPr>
          <w:lang w:val="en-US"/>
        </w:rPr>
        <w:t xml:space="preserve">Such funding of existing DFAT partners, through additional layers of implementing partners, suggests potential duplication and inefficiency.  </w:t>
      </w:r>
      <w:r w:rsidR="008824C3" w:rsidRPr="008824C3">
        <w:rPr>
          <w:lang w:val="en-US"/>
        </w:rPr>
        <w:t xml:space="preserve"> </w:t>
      </w:r>
      <w:r w:rsidR="008824C3">
        <w:rPr>
          <w:lang w:val="en-US"/>
        </w:rPr>
        <w:t xml:space="preserve">While it is not necessarily the case that it is inefficient to support partners already receiving funding from other DFAT sources, there should be a clear rationale articulating why the co-investment is complementary (i.e. that the investment brings PLP's unique value-add) rather than duplicative. </w:t>
      </w:r>
      <w:r w:rsidR="00845C31">
        <w:rPr>
          <w:lang w:val="en-US"/>
        </w:rPr>
        <w:t xml:space="preserve"> This rationale </w:t>
      </w:r>
      <w:r w:rsidR="004F4D42">
        <w:rPr>
          <w:lang w:val="en-US"/>
        </w:rPr>
        <w:t>did not appear</w:t>
      </w:r>
      <w:r w:rsidR="00845C31">
        <w:rPr>
          <w:lang w:val="en-US"/>
        </w:rPr>
        <w:t xml:space="preserve"> evident in all cases.</w:t>
      </w:r>
      <w:r w:rsidR="000978BF">
        <w:rPr>
          <w:rStyle w:val="FootnoteReference"/>
          <w:lang w:val="en-US"/>
        </w:rPr>
        <w:footnoteReference w:id="82"/>
      </w:r>
      <w:r w:rsidR="008824C3">
        <w:rPr>
          <w:lang w:val="en-US"/>
        </w:rPr>
        <w:t xml:space="preserve"> </w:t>
      </w:r>
    </w:p>
    <w:p w14:paraId="065DADEB" w14:textId="1B6386D3" w:rsidR="007A09AD" w:rsidRPr="001C3654" w:rsidRDefault="007A09AD" w:rsidP="007A09AD">
      <w:pPr>
        <w:spacing w:before="120"/>
        <w:rPr>
          <w:lang w:val="en-US"/>
        </w:rPr>
      </w:pPr>
      <w:r w:rsidRPr="001C3654">
        <w:rPr>
          <w:lang w:val="en-US"/>
        </w:rPr>
        <w:t>Early research findings</w:t>
      </w:r>
      <w:r w:rsidRPr="001C3654">
        <w:rPr>
          <w:rStyle w:val="FootnoteReference"/>
          <w:lang w:val="en-US"/>
        </w:rPr>
        <w:footnoteReference w:id="83"/>
      </w:r>
      <w:r w:rsidRPr="001C3654">
        <w:rPr>
          <w:lang w:val="en-US"/>
        </w:rPr>
        <w:t xml:space="preserve"> </w:t>
      </w:r>
      <w:r w:rsidR="00E0089D">
        <w:rPr>
          <w:lang w:val="en-US"/>
        </w:rPr>
        <w:t xml:space="preserve">of PLP-supported coalitions </w:t>
      </w:r>
      <w:r w:rsidRPr="001C3654">
        <w:rPr>
          <w:lang w:val="en-US"/>
        </w:rPr>
        <w:t>indicate that</w:t>
      </w:r>
      <w:r w:rsidRPr="001C3654">
        <w:rPr>
          <w:b/>
          <w:lang w:val="en-US"/>
        </w:rPr>
        <w:t xml:space="preserve"> while there is no single attribute of successful interventions, the</w:t>
      </w:r>
      <w:r w:rsidR="00AE64DF" w:rsidRPr="001C3654">
        <w:rPr>
          <w:b/>
          <w:lang w:val="en-US"/>
        </w:rPr>
        <w:t>re are a number of identifiable</w:t>
      </w:r>
      <w:r w:rsidRPr="001C3654">
        <w:rPr>
          <w:b/>
          <w:lang w:val="en-US"/>
        </w:rPr>
        <w:t xml:space="preserve"> attributes most often related to greater success in supporting collective action in pursuit of policy and institutional changes</w:t>
      </w:r>
      <w:r w:rsidR="00AE64DF" w:rsidRPr="001C3654">
        <w:rPr>
          <w:lang w:val="en-US"/>
        </w:rPr>
        <w:t>.</w:t>
      </w:r>
      <w:r w:rsidRPr="001C3654">
        <w:rPr>
          <w:lang w:val="en-US"/>
        </w:rPr>
        <w:t xml:space="preserve"> </w:t>
      </w:r>
      <w:r w:rsidR="00AE64DF" w:rsidRPr="001C3654">
        <w:rPr>
          <w:lang w:val="en-US"/>
        </w:rPr>
        <w:t xml:space="preserve"> These </w:t>
      </w:r>
      <w:r w:rsidRPr="001C3654">
        <w:rPr>
          <w:lang w:val="en-US"/>
        </w:rPr>
        <w:t>were that: the project partner and PLP had shared values; the partner was led by a woman; the partner consisted of people with cross-sectoral knowledge; the partner's key people (staff or members) were prepared to expend political capital; the partner's key people were recognised in the field the partner operated within; and the partner had a strong, well-connected leader.</w:t>
      </w:r>
    </w:p>
    <w:p w14:paraId="52E5B349" w14:textId="77777777" w:rsidR="007A09AD" w:rsidRPr="001C3654" w:rsidRDefault="007A09AD" w:rsidP="007A09AD">
      <w:pPr>
        <w:spacing w:before="120"/>
        <w:rPr>
          <w:lang w:val="en-US"/>
        </w:rPr>
      </w:pPr>
      <w:r w:rsidRPr="001C3654">
        <w:rPr>
          <w:b/>
          <w:lang w:val="en-US"/>
        </w:rPr>
        <w:t>There is potential for PLP</w:t>
      </w:r>
      <w:r w:rsidR="002518FC" w:rsidRPr="001C3654">
        <w:rPr>
          <w:b/>
          <w:lang w:val="en-US"/>
        </w:rPr>
        <w:t>3</w:t>
      </w:r>
      <w:r w:rsidRPr="001C3654">
        <w:rPr>
          <w:b/>
          <w:lang w:val="en-US"/>
        </w:rPr>
        <w:t xml:space="preserve"> to play a valuable role 'connecting the dots' – linking together diverse partners with shared interests.</w:t>
      </w:r>
      <w:r w:rsidRPr="001C3654">
        <w:rPr>
          <w:lang w:val="en-US"/>
        </w:rPr>
        <w:t xml:space="preserve">  For example, grassroots communities creating export opportunities (such as Simbo for Change) could be effectively linked with peak private sector bodies working with export agencies (such as the Solomon Islands Chamber of Commerce), potentially combined with youth employment schemes (such as Youth@Work) and other PLP</w:t>
      </w:r>
      <w:r w:rsidR="00FE41C5" w:rsidRPr="001C3654">
        <w:rPr>
          <w:lang w:val="en-US"/>
        </w:rPr>
        <w:t>3</w:t>
      </w:r>
      <w:r w:rsidRPr="001C3654">
        <w:rPr>
          <w:lang w:val="en-US"/>
        </w:rPr>
        <w:t xml:space="preserve"> partners.  There have been some examples of this taking place</w:t>
      </w:r>
      <w:r w:rsidR="002934EB" w:rsidRPr="001C3654">
        <w:rPr>
          <w:lang w:val="en-US"/>
        </w:rPr>
        <w:t xml:space="preserve">: i.e. PLP’s work in facilitating the creation of the TNLDF is an example of its ability to link parties together; and True </w:t>
      </w:r>
      <w:r w:rsidR="00FE41C5" w:rsidRPr="001C3654">
        <w:rPr>
          <w:lang w:val="en-US"/>
        </w:rPr>
        <w:t>Tonga Inc</w:t>
      </w:r>
      <w:r w:rsidR="002934EB" w:rsidRPr="001C3654">
        <w:rPr>
          <w:lang w:val="en-US"/>
        </w:rPr>
        <w:t>.</w:t>
      </w:r>
      <w:r w:rsidR="00FE41C5" w:rsidRPr="001C3654">
        <w:rPr>
          <w:lang w:val="en-US"/>
        </w:rPr>
        <w:t xml:space="preserve"> </w:t>
      </w:r>
      <w:r w:rsidR="002934EB" w:rsidRPr="001C3654">
        <w:rPr>
          <w:lang w:val="en-US"/>
        </w:rPr>
        <w:t>‘joined the dots’</w:t>
      </w:r>
      <w:r w:rsidR="00FE41C5" w:rsidRPr="001C3654">
        <w:rPr>
          <w:lang w:val="en-US"/>
        </w:rPr>
        <w:t xml:space="preserve"> with the Australian-funded PHAMA</w:t>
      </w:r>
      <w:r w:rsidR="009961F6" w:rsidRPr="001C3654">
        <w:rPr>
          <w:rStyle w:val="FootnoteReference"/>
          <w:lang w:val="en-US"/>
        </w:rPr>
        <w:footnoteReference w:id="84"/>
      </w:r>
      <w:r w:rsidR="00FE41C5" w:rsidRPr="001C3654">
        <w:rPr>
          <w:lang w:val="en-US"/>
        </w:rPr>
        <w:t xml:space="preserve"> project around biodiversity issues for handicraft produce</w:t>
      </w:r>
      <w:r w:rsidR="002934EB" w:rsidRPr="001C3654">
        <w:rPr>
          <w:lang w:val="en-US"/>
        </w:rPr>
        <w:t xml:space="preserve">rs. </w:t>
      </w:r>
      <w:r w:rsidRPr="001C3654">
        <w:rPr>
          <w:lang w:val="en-US"/>
        </w:rPr>
        <w:t xml:space="preserve">However, some stakeholders suggest </w:t>
      </w:r>
      <w:r w:rsidR="00925CAA" w:rsidRPr="001C3654">
        <w:rPr>
          <w:lang w:val="en-US"/>
        </w:rPr>
        <w:t xml:space="preserve">that during phase 3, PLP </w:t>
      </w:r>
      <w:r w:rsidRPr="001C3654">
        <w:rPr>
          <w:lang w:val="en-US"/>
        </w:rPr>
        <w:t xml:space="preserve">has become </w:t>
      </w:r>
      <w:r w:rsidR="00925CAA" w:rsidRPr="001C3654">
        <w:rPr>
          <w:lang w:val="en-US"/>
        </w:rPr>
        <w:t xml:space="preserve">more focused on project management </w:t>
      </w:r>
      <w:r w:rsidR="00C02011" w:rsidRPr="001C3654">
        <w:rPr>
          <w:lang w:val="en-US"/>
        </w:rPr>
        <w:t xml:space="preserve">than the higher </w:t>
      </w:r>
      <w:r w:rsidRPr="001C3654">
        <w:rPr>
          <w:lang w:val="en-US"/>
        </w:rPr>
        <w:t xml:space="preserve">level facilitation of networks, coalitions and leadership. </w:t>
      </w:r>
    </w:p>
    <w:p w14:paraId="511BEA16" w14:textId="77777777" w:rsidR="007A09AD" w:rsidRPr="001C3654" w:rsidRDefault="007A09AD" w:rsidP="007A09AD">
      <w:pPr>
        <w:spacing w:before="120"/>
        <w:rPr>
          <w:lang w:val="en-US"/>
        </w:rPr>
      </w:pPr>
      <w:r w:rsidRPr="001C3654">
        <w:rPr>
          <w:b/>
          <w:lang w:val="en-US"/>
        </w:rPr>
        <w:t>PLP</w:t>
      </w:r>
      <w:r w:rsidR="002518FC" w:rsidRPr="001C3654">
        <w:rPr>
          <w:b/>
          <w:lang w:val="en-US"/>
        </w:rPr>
        <w:t>3</w:t>
      </w:r>
      <w:r w:rsidRPr="001C3654">
        <w:rPr>
          <w:b/>
          <w:lang w:val="en-US"/>
        </w:rPr>
        <w:t xml:space="preserve"> has been less effective </w:t>
      </w:r>
      <w:r w:rsidR="005C0952" w:rsidRPr="001C3654">
        <w:rPr>
          <w:b/>
          <w:lang w:val="en-US"/>
        </w:rPr>
        <w:t xml:space="preserve">at the regional level </w:t>
      </w:r>
      <w:r w:rsidRPr="001C3654">
        <w:rPr>
          <w:b/>
          <w:lang w:val="en-US"/>
        </w:rPr>
        <w:t xml:space="preserve">in supporting collective action by Pacific Island leaders in </w:t>
      </w:r>
      <w:r w:rsidRPr="00893AD7">
        <w:rPr>
          <w:b/>
          <w:lang w:val="en-US"/>
        </w:rPr>
        <w:t>pursuit of policy and institutional changes and reforms.</w:t>
      </w:r>
      <w:r w:rsidRPr="00893AD7">
        <w:rPr>
          <w:lang w:val="en-US"/>
        </w:rPr>
        <w:t xml:space="preserve">  PLP's support for collective action is most effective when the general purpose of the change being sought is clear.  That has tended to be more often the case at the national and sub-national </w:t>
      </w:r>
      <w:r w:rsidR="00CA1DBC" w:rsidRPr="00893AD7">
        <w:rPr>
          <w:lang w:val="en-US"/>
        </w:rPr>
        <w:t>level</w:t>
      </w:r>
      <w:r w:rsidRPr="00893AD7">
        <w:rPr>
          <w:lang w:val="en-US"/>
        </w:rPr>
        <w:t xml:space="preserve"> and significantly less so at the regional level.</w:t>
      </w:r>
      <w:r w:rsidR="005A3709" w:rsidRPr="00893AD7">
        <w:rPr>
          <w:rStyle w:val="FootnoteReference"/>
          <w:lang w:val="en-US"/>
        </w:rPr>
        <w:footnoteReference w:id="85"/>
      </w:r>
      <w:r w:rsidRPr="00893AD7">
        <w:rPr>
          <w:lang w:val="en-US"/>
        </w:rPr>
        <w:t xml:space="preserve">  The Pacific Islands Private Sector Organisation</w:t>
      </w:r>
      <w:r w:rsidR="005C0952" w:rsidRPr="00893AD7">
        <w:rPr>
          <w:lang w:val="en-US"/>
        </w:rPr>
        <w:t xml:space="preserve"> (PIPSO)</w:t>
      </w:r>
      <w:r w:rsidRPr="00893AD7">
        <w:rPr>
          <w:lang w:val="en-US"/>
        </w:rPr>
        <w:t xml:space="preserve"> is one </w:t>
      </w:r>
      <w:r w:rsidR="005C0952" w:rsidRPr="00893AD7">
        <w:rPr>
          <w:lang w:val="en-US"/>
        </w:rPr>
        <w:t xml:space="preserve">good </w:t>
      </w:r>
      <w:r w:rsidRPr="00893AD7">
        <w:rPr>
          <w:lang w:val="en-US"/>
        </w:rPr>
        <w:t>example of PLP's support for collective</w:t>
      </w:r>
      <w:r w:rsidRPr="001C3654">
        <w:rPr>
          <w:lang w:val="en-US"/>
        </w:rPr>
        <w:t xml:space="preserve"> action at the regional level (see below).  </w:t>
      </w:r>
      <w:r w:rsidR="00D36438">
        <w:rPr>
          <w:lang w:val="en-US"/>
        </w:rPr>
        <w:t xml:space="preserve">PLP's support for PIPSO dates to 2008, when PIPSO was still a fledgling organisation seeking to </w:t>
      </w:r>
      <w:r w:rsidR="00540540">
        <w:rPr>
          <w:lang w:val="en-US"/>
        </w:rPr>
        <w:t>give meaning to the Forum Economic Ministers' statement that the private sector voice needed to be heard in regional deliberations.  By providing flexible support – including beyond financial resources – PLP has helped PIPSO to establish itself as a significant voice in regional deliberations.</w:t>
      </w:r>
      <w:r w:rsidR="00540540">
        <w:rPr>
          <w:rStyle w:val="FootnoteReference"/>
          <w:lang w:val="en-US"/>
        </w:rPr>
        <w:footnoteReference w:id="86"/>
      </w:r>
      <w:r w:rsidR="00540540">
        <w:rPr>
          <w:lang w:val="en-US"/>
        </w:rPr>
        <w:t xml:space="preserve"> </w:t>
      </w:r>
      <w:r w:rsidRPr="001C3654">
        <w:rPr>
          <w:lang w:val="en-US"/>
        </w:rPr>
        <w:t xml:space="preserve">The Green Growth Leaders' Coalition (GGLC) </w:t>
      </w:r>
      <w:r w:rsidR="00CA1DBC">
        <w:rPr>
          <w:lang w:val="en-US"/>
        </w:rPr>
        <w:t xml:space="preserve">is a regional coalition that </w:t>
      </w:r>
      <w:r w:rsidRPr="001C3654">
        <w:rPr>
          <w:lang w:val="en-US"/>
        </w:rPr>
        <w:t xml:space="preserve">promotes collaboration between leaders to incorporate sustainable development priorities into national and regional development plans.  GGLC has been most effective at supporting policy progress at the sub-national and national levels (for example, </w:t>
      </w:r>
      <w:r w:rsidR="005741A4" w:rsidRPr="001C3654">
        <w:rPr>
          <w:lang w:val="en-US"/>
        </w:rPr>
        <w:t>working with the TNLDF to</w:t>
      </w:r>
      <w:r w:rsidRPr="001C3654">
        <w:rPr>
          <w:lang w:val="en-US"/>
        </w:rPr>
        <w:t xml:space="preserve"> integrat</w:t>
      </w:r>
      <w:r w:rsidR="005741A4" w:rsidRPr="001C3654">
        <w:rPr>
          <w:lang w:val="en-US"/>
        </w:rPr>
        <w:t>e</w:t>
      </w:r>
      <w:r w:rsidRPr="001C3654">
        <w:rPr>
          <w:lang w:val="en-US"/>
        </w:rPr>
        <w:t xml:space="preserve"> the Ha'apai </w:t>
      </w:r>
      <w:r w:rsidR="0082592F" w:rsidRPr="001C3654">
        <w:rPr>
          <w:lang w:val="en-US"/>
        </w:rPr>
        <w:t>Green Growth Strategy into the H</w:t>
      </w:r>
      <w:r w:rsidRPr="001C3654">
        <w:rPr>
          <w:lang w:val="en-US"/>
        </w:rPr>
        <w:t>a'apai Development Master Plan in Tonga), rather than at the regional level</w:t>
      </w:r>
      <w:r w:rsidR="00DC1CF7" w:rsidRPr="001C3654">
        <w:rPr>
          <w:lang w:val="en-US"/>
        </w:rPr>
        <w:t xml:space="preserve"> (although they have had influence at the sub-regional level in regards to the</w:t>
      </w:r>
      <w:r w:rsidR="00C02011" w:rsidRPr="001C3654">
        <w:rPr>
          <w:lang w:val="en-US"/>
        </w:rPr>
        <w:t xml:space="preserve"> development of the</w:t>
      </w:r>
      <w:r w:rsidR="00DC1CF7" w:rsidRPr="001C3654">
        <w:rPr>
          <w:lang w:val="en-US"/>
        </w:rPr>
        <w:t xml:space="preserve"> </w:t>
      </w:r>
      <w:r w:rsidR="00C02011" w:rsidRPr="001C3654">
        <w:rPr>
          <w:lang w:val="en-US"/>
        </w:rPr>
        <w:t>Melanesian</w:t>
      </w:r>
      <w:r w:rsidR="00DC1CF7" w:rsidRPr="001C3654">
        <w:rPr>
          <w:lang w:val="en-US"/>
        </w:rPr>
        <w:t xml:space="preserve"> Spearhead Group’s </w:t>
      </w:r>
      <w:r w:rsidR="00C02011" w:rsidRPr="001C3654">
        <w:rPr>
          <w:lang w:val="en-US"/>
        </w:rPr>
        <w:t>Green Growth Framework</w:t>
      </w:r>
      <w:r w:rsidR="00DC1CF7" w:rsidRPr="001C3654">
        <w:rPr>
          <w:lang w:val="en-US"/>
        </w:rPr>
        <w:t>)</w:t>
      </w:r>
      <w:r w:rsidRPr="001C3654">
        <w:rPr>
          <w:lang w:val="en-US"/>
        </w:rPr>
        <w:t>.</w:t>
      </w:r>
      <w:r w:rsidR="00925CAA" w:rsidRPr="001C3654">
        <w:rPr>
          <w:lang w:val="en-US"/>
        </w:rPr>
        <w:t xml:space="preserve"> </w:t>
      </w:r>
      <w:r w:rsidR="0082592F" w:rsidRPr="001C3654">
        <w:rPr>
          <w:lang w:val="en-US"/>
        </w:rPr>
        <w:t>However, challenges in generating regional level reforms are not specific to PLP3.</w:t>
      </w:r>
      <w:r w:rsidR="0082592F" w:rsidRPr="001C3654">
        <w:rPr>
          <w:rStyle w:val="FootnoteReference"/>
          <w:lang w:val="en-US"/>
        </w:rPr>
        <w:footnoteReference w:id="87"/>
      </w:r>
      <w:r w:rsidR="0082592F" w:rsidRPr="001C3654">
        <w:rPr>
          <w:lang w:val="en-US"/>
        </w:rPr>
        <w:t xml:space="preserve"> </w:t>
      </w:r>
    </w:p>
    <w:p w14:paraId="36F01D6B" w14:textId="77777777" w:rsidR="00E33063" w:rsidRDefault="00997223" w:rsidP="007A09AD">
      <w:pPr>
        <w:spacing w:before="120"/>
        <w:rPr>
          <w:sz w:val="24"/>
          <w:szCs w:val="24"/>
          <w:lang w:val="en-US"/>
        </w:rPr>
      </w:pPr>
      <w:r>
        <w:rPr>
          <w:noProof/>
          <w:sz w:val="24"/>
          <w:szCs w:val="24"/>
          <w:lang w:eastAsia="en-AU"/>
        </w:rPr>
        <mc:AlternateContent>
          <mc:Choice Requires="wps">
            <w:drawing>
              <wp:anchor distT="0" distB="0" distL="114300" distR="114300" simplePos="0" relativeHeight="251671552" behindDoc="0" locked="0" layoutInCell="1" allowOverlap="1" wp14:anchorId="6E191E30" wp14:editId="54A81936">
                <wp:simplePos x="0" y="0"/>
                <wp:positionH relativeFrom="margin">
                  <wp:align>center</wp:align>
                </wp:positionH>
                <wp:positionV relativeFrom="paragraph">
                  <wp:posOffset>122555</wp:posOffset>
                </wp:positionV>
                <wp:extent cx="5829300" cy="7131050"/>
                <wp:effectExtent l="0" t="0" r="19050" b="12700"/>
                <wp:wrapSquare wrapText="bothSides"/>
                <wp:docPr id="13" name="Text Box 13"/>
                <wp:cNvGraphicFramePr/>
                <a:graphic xmlns:a="http://schemas.openxmlformats.org/drawingml/2006/main">
                  <a:graphicData uri="http://schemas.microsoft.com/office/word/2010/wordprocessingShape">
                    <wps:wsp>
                      <wps:cNvSpPr txBox="1"/>
                      <wps:spPr>
                        <a:xfrm>
                          <a:off x="0" y="0"/>
                          <a:ext cx="5829300" cy="7131132"/>
                        </a:xfrm>
                        <a:prstGeom prst="rect">
                          <a:avLst/>
                        </a:prstGeom>
                        <a:solidFill>
                          <a:schemeClr val="accent1">
                            <a:lumMod val="20000"/>
                            <a:lumOff val="80000"/>
                          </a:schemeClr>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FB43386" w14:textId="77777777" w:rsidR="002E0AD1" w:rsidRPr="001C3654" w:rsidRDefault="002E0AD1" w:rsidP="00A64C2E">
                            <w:pPr>
                              <w:shd w:val="clear" w:color="auto" w:fill="DBE5F1" w:themeFill="accent1" w:themeFillTint="33"/>
                              <w:spacing w:before="120"/>
                              <w:rPr>
                                <w:b/>
                                <w:color w:val="1F497D" w:themeColor="text2"/>
                                <w:sz w:val="28"/>
                                <w:szCs w:val="28"/>
                              </w:rPr>
                            </w:pPr>
                            <w:r w:rsidRPr="001C3654">
                              <w:rPr>
                                <w:b/>
                                <w:color w:val="1F497D" w:themeColor="text2"/>
                                <w:sz w:val="28"/>
                                <w:szCs w:val="28"/>
                              </w:rPr>
                              <w:t>Pacific Islands Private Sector Organisation (PIPSO)</w:t>
                            </w:r>
                          </w:p>
                          <w:p w14:paraId="2F29597F" w14:textId="77777777" w:rsidR="002E0AD1" w:rsidRPr="001C3654" w:rsidRDefault="002E0AD1" w:rsidP="00A64C2E">
                            <w:pPr>
                              <w:shd w:val="clear" w:color="auto" w:fill="DBE5F1" w:themeFill="accent1" w:themeFillTint="33"/>
                              <w:spacing w:before="120"/>
                              <w:rPr>
                                <w:i/>
                                <w:color w:val="1F497D" w:themeColor="text2"/>
                                <w:sz w:val="24"/>
                                <w:szCs w:val="24"/>
                              </w:rPr>
                            </w:pPr>
                            <w:r w:rsidRPr="001C3654">
                              <w:rPr>
                                <w:i/>
                                <w:color w:val="1F497D" w:themeColor="text2"/>
                                <w:sz w:val="24"/>
                                <w:szCs w:val="24"/>
                              </w:rPr>
                              <w:t>Advocacy for small and medium enterprises</w:t>
                            </w:r>
                          </w:p>
                          <w:p w14:paraId="605B315B" w14:textId="77777777" w:rsidR="002E0AD1" w:rsidRPr="004131CE" w:rsidRDefault="002E0AD1" w:rsidP="00A64C2E">
                            <w:pPr>
                              <w:shd w:val="clear" w:color="auto" w:fill="DBE5F1" w:themeFill="accent1" w:themeFillTint="33"/>
                              <w:spacing w:before="120"/>
                              <w:rPr>
                                <w:color w:val="1F497D" w:themeColor="text2"/>
                              </w:rPr>
                            </w:pPr>
                            <w:r w:rsidRPr="006F723E">
                              <w:rPr>
                                <w:color w:val="1F497D" w:themeColor="text2"/>
                              </w:rPr>
                              <w:t>PIPSO is the umbrella private sector representative body in the Pacific region.  Its mission is to advocate for and drive private sector-driven economic growth, and its vision is to promote and inspire the growth of Pacific businesses.  PIPSO's activities support the development of national private sector organisations, a</w:t>
                            </w:r>
                            <w:r w:rsidRPr="004131CE">
                              <w:rPr>
                                <w:color w:val="1F497D" w:themeColor="text2"/>
                              </w:rPr>
                              <w:t>dvocate for the interests of the private sector, and seek to enhance the business competitiveness and growth of Pacific businesses.</w:t>
                            </w:r>
                          </w:p>
                          <w:p w14:paraId="25815032" w14:textId="77777777" w:rsidR="002E0AD1" w:rsidRPr="00CD7569" w:rsidRDefault="002E0AD1" w:rsidP="00A64C2E">
                            <w:pPr>
                              <w:shd w:val="clear" w:color="auto" w:fill="DBE5F1" w:themeFill="accent1" w:themeFillTint="33"/>
                              <w:spacing w:before="120"/>
                              <w:rPr>
                                <w:color w:val="1F497D" w:themeColor="text2"/>
                              </w:rPr>
                            </w:pPr>
                            <w:r w:rsidRPr="00CD7569">
                              <w:rPr>
                                <w:color w:val="1F497D" w:themeColor="text2"/>
                              </w:rPr>
                              <w:t>PLP has supported PIPSO since 2008 (PLP Phase 1).  PLP's support (including core funding which began when PIPSO was in its infancy) enabled PIPSO to fully establish itself as a participant in relevant regional policy discussions, and to develop its financial sustainability by leveraging other funding sources.</w:t>
                            </w:r>
                          </w:p>
                          <w:p w14:paraId="6CEE435C" w14:textId="77777777" w:rsidR="002E0AD1" w:rsidRPr="0099325B" w:rsidRDefault="002E0AD1" w:rsidP="00A64C2E">
                            <w:pPr>
                              <w:shd w:val="clear" w:color="auto" w:fill="DBE5F1" w:themeFill="accent1" w:themeFillTint="33"/>
                              <w:spacing w:before="120"/>
                              <w:ind w:firstLine="720"/>
                              <w:jc w:val="center"/>
                              <w:rPr>
                                <w:b/>
                                <w:color w:val="1F497D" w:themeColor="text2"/>
                              </w:rPr>
                            </w:pPr>
                            <w:r w:rsidRPr="00CE099E">
                              <w:rPr>
                                <w:b/>
                                <w:i/>
                                <w:color w:val="1F497D" w:themeColor="text2"/>
                              </w:rPr>
                              <w:t>PIPSO funding: PLP contributions a</w:t>
                            </w:r>
                            <w:r>
                              <w:rPr>
                                <w:b/>
                                <w:i/>
                                <w:color w:val="1F497D" w:themeColor="text2"/>
                              </w:rPr>
                              <w:t>nd total funding</w:t>
                            </w:r>
                            <w:r w:rsidRPr="0099325B">
                              <w:rPr>
                                <w:color w:val="1F497D" w:themeColor="text2"/>
                                <w:vertAlign w:val="superscript"/>
                              </w:rPr>
                              <w:t>F</w:t>
                            </w:r>
                          </w:p>
                          <w:p w14:paraId="0B9B1F47" w14:textId="77777777" w:rsidR="002E0AD1" w:rsidRPr="0046250C" w:rsidRDefault="002E0AD1" w:rsidP="00A64C2E">
                            <w:pPr>
                              <w:widowControl w:val="0"/>
                              <w:shd w:val="clear" w:color="auto" w:fill="DBE5F1" w:themeFill="accent1" w:themeFillTint="33"/>
                              <w:autoSpaceDE w:val="0"/>
                              <w:autoSpaceDN w:val="0"/>
                              <w:adjustRightInd w:val="0"/>
                              <w:jc w:val="center"/>
                              <w:rPr>
                                <w:rFonts w:ascii="Times" w:hAnsi="Times" w:cs="Times"/>
                              </w:rPr>
                            </w:pPr>
                            <w:r w:rsidRPr="0046250C">
                              <w:rPr>
                                <w:rFonts w:ascii="Times" w:hAnsi="Times" w:cs="Times"/>
                                <w:noProof/>
                                <w:lang w:eastAsia="en-AU"/>
                              </w:rPr>
                              <w:drawing>
                                <wp:inline distT="0" distB="0" distL="0" distR="0" wp14:anchorId="115ED07B" wp14:editId="7D70B8AD">
                                  <wp:extent cx="4852035" cy="29001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62989" cy="2906694"/>
                                          </a:xfrm>
                                          <a:prstGeom prst="rect">
                                            <a:avLst/>
                                          </a:prstGeom>
                                        </pic:spPr>
                                      </pic:pic>
                                    </a:graphicData>
                                  </a:graphic>
                                </wp:inline>
                              </w:drawing>
                            </w:r>
                          </w:p>
                          <w:p w14:paraId="590BAE33" w14:textId="77777777" w:rsidR="002E0AD1" w:rsidRDefault="002E0AD1" w:rsidP="00A64C2E">
                            <w:pPr>
                              <w:shd w:val="clear" w:color="auto" w:fill="DBE5F1" w:themeFill="accent1" w:themeFillTint="33"/>
                              <w:rPr>
                                <w:color w:val="1F497D" w:themeColor="text2"/>
                              </w:rPr>
                            </w:pPr>
                            <w:r w:rsidRPr="006F723E">
                              <w:rPr>
                                <w:color w:val="1F497D" w:themeColor="text2"/>
                              </w:rPr>
                              <w:t>Since 2015</w:t>
                            </w:r>
                            <w:r w:rsidRPr="004131CE">
                              <w:rPr>
                                <w:color w:val="1F497D" w:themeColor="text2"/>
                              </w:rPr>
                              <w:t>, PIPSO has undertaken research and advocacy to promote reforms around Small and Medium Enterprises (SMEs)</w:t>
                            </w:r>
                            <w:r w:rsidRPr="00CD7569">
                              <w:rPr>
                                <w:color w:val="1F497D" w:themeColor="text2"/>
                              </w:rPr>
                              <w:t xml:space="preserve">, which make up 80% of Pacific owned businesses.  </w:t>
                            </w:r>
                            <w:r w:rsidRPr="005B3F9B">
                              <w:rPr>
                                <w:color w:val="1F497D" w:themeColor="text2"/>
                              </w:rPr>
                              <w:t>PLP has supported that through</w:t>
                            </w:r>
                            <w:r w:rsidRPr="00CE099E">
                              <w:rPr>
                                <w:color w:val="1F497D" w:themeColor="text2"/>
                              </w:rPr>
                              <w:t xml:space="preserve"> funding, technical advice, adaptive leadership training and research support.  These efforts resulted in Pacific Island</w:t>
                            </w:r>
                            <w:r w:rsidRPr="00E96E53">
                              <w:rPr>
                                <w:color w:val="1F497D" w:themeColor="text2"/>
                              </w:rPr>
                              <w:t xml:space="preserve"> Forum Leaders endorsement of PIPSO’s position paper on SMEs at the 2015 Forum Leaders Meeting; and PIPSO inclusion in a high-level working group on regional policies impacting </w:t>
                            </w:r>
                            <w:r w:rsidRPr="00401A35">
                              <w:rPr>
                                <w:color w:val="1F497D" w:themeColor="text2"/>
                              </w:rPr>
                              <w:t>SMEs</w:t>
                            </w:r>
                            <w:r w:rsidRPr="006F723E">
                              <w:rPr>
                                <w:color w:val="1F497D" w:themeColor="text2"/>
                              </w:rPr>
                              <w:t>, with recommendations to be tabled at the Forum Economic Ministers Meeting in 2017.</w:t>
                            </w:r>
                          </w:p>
                          <w:p w14:paraId="3026B857" w14:textId="77777777" w:rsidR="002E0AD1" w:rsidRPr="0099325B" w:rsidRDefault="002E0AD1" w:rsidP="00A64C2E">
                            <w:pPr>
                              <w:shd w:val="clear" w:color="auto" w:fill="DBE5F1" w:themeFill="accent1" w:themeFillTint="33"/>
                              <w:rPr>
                                <w:sz w:val="18"/>
                                <w:szCs w:val="18"/>
                              </w:rPr>
                            </w:pPr>
                            <w:r w:rsidRPr="0099325B">
                              <w:rPr>
                                <w:color w:val="1F497D" w:themeColor="text2"/>
                                <w:sz w:val="18"/>
                                <w:szCs w:val="18"/>
                                <w:vertAlign w:val="superscript"/>
                              </w:rPr>
                              <w:t>F</w:t>
                            </w:r>
                            <w:r w:rsidRPr="0099325B">
                              <w:rPr>
                                <w:color w:val="1F497D" w:themeColor="text2"/>
                                <w:sz w:val="18"/>
                                <w:szCs w:val="18"/>
                              </w:rPr>
                              <w:t xml:space="preserve"> Graph supplied by PIPSO.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191E30" id="Text Box 13" o:spid="_x0000_s1031" type="#_x0000_t202" style="position:absolute;left:0;text-align:left;margin-left:0;margin-top:9.65pt;width:459pt;height:561.5pt;z-index:2516715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" fillcolor="#dbe5f1 [660]" strokecolor="black [3213]">
                <v:textbox>
                  <w:txbxContent>
                    <w:p w14:paraId="2FB43386" w14:textId="77777777" w:rsidR="002E0AD1" w:rsidRPr="001C3654" w:rsidRDefault="002E0AD1" w:rsidP="00A64C2E">
                      <w:pPr>
                        <w:shd w:val="clear" w:color="auto" w:fill="DBE5F1" w:themeFill="accent1" w:themeFillTint="33"/>
                        <w:spacing w:before="120"/>
                        <w:rPr>
                          <w:b/>
                          <w:color w:val="1F497D" w:themeColor="text2"/>
                          <w:sz w:val="28"/>
                          <w:szCs w:val="28"/>
                        </w:rPr>
                      </w:pPr>
                      <w:r w:rsidRPr="001C3654">
                        <w:rPr>
                          <w:b/>
                          <w:color w:val="1F497D" w:themeColor="text2"/>
                          <w:sz w:val="28"/>
                          <w:szCs w:val="28"/>
                        </w:rPr>
                        <w:t>Pacific Islands Private Sector Organisation (PIPSO)</w:t>
                      </w:r>
                    </w:p>
                    <w:p w14:paraId="2F29597F" w14:textId="77777777" w:rsidR="002E0AD1" w:rsidRPr="001C3654" w:rsidRDefault="002E0AD1" w:rsidP="00A64C2E">
                      <w:pPr>
                        <w:shd w:val="clear" w:color="auto" w:fill="DBE5F1" w:themeFill="accent1" w:themeFillTint="33"/>
                        <w:spacing w:before="120"/>
                        <w:rPr>
                          <w:i/>
                          <w:color w:val="1F497D" w:themeColor="text2"/>
                          <w:sz w:val="24"/>
                          <w:szCs w:val="24"/>
                        </w:rPr>
                      </w:pPr>
                      <w:r w:rsidRPr="001C3654">
                        <w:rPr>
                          <w:i/>
                          <w:color w:val="1F497D" w:themeColor="text2"/>
                          <w:sz w:val="24"/>
                          <w:szCs w:val="24"/>
                        </w:rPr>
                        <w:t>Advocacy for small and medium enterprises</w:t>
                      </w:r>
                    </w:p>
                    <w:p w14:paraId="605B315B" w14:textId="77777777" w:rsidR="002E0AD1" w:rsidRPr="004131CE" w:rsidRDefault="002E0AD1" w:rsidP="00A64C2E">
                      <w:pPr>
                        <w:shd w:val="clear" w:color="auto" w:fill="DBE5F1" w:themeFill="accent1" w:themeFillTint="33"/>
                        <w:spacing w:before="120"/>
                        <w:rPr>
                          <w:color w:val="1F497D" w:themeColor="text2"/>
                        </w:rPr>
                      </w:pPr>
                      <w:r w:rsidRPr="006F723E">
                        <w:rPr>
                          <w:color w:val="1F497D" w:themeColor="text2"/>
                        </w:rPr>
                        <w:t>PIPSO is the umbrella private sector representative body in the Pacific region.  Its mission is to advocate for and drive private sector-driven economic growth, and its vision is to promote and inspire the growth of Pacific businesses.  PIPSO's activities support the development of national private sector organisations, a</w:t>
                      </w:r>
                      <w:r w:rsidRPr="004131CE">
                        <w:rPr>
                          <w:color w:val="1F497D" w:themeColor="text2"/>
                        </w:rPr>
                        <w:t>dvocate for the interests of the private sector, and seek to enhance the business competitiveness and growth of Pacific businesses.</w:t>
                      </w:r>
                    </w:p>
                    <w:p w14:paraId="25815032" w14:textId="77777777" w:rsidR="002E0AD1" w:rsidRPr="00CD7569" w:rsidRDefault="002E0AD1" w:rsidP="00A64C2E">
                      <w:pPr>
                        <w:shd w:val="clear" w:color="auto" w:fill="DBE5F1" w:themeFill="accent1" w:themeFillTint="33"/>
                        <w:spacing w:before="120"/>
                        <w:rPr>
                          <w:color w:val="1F497D" w:themeColor="text2"/>
                        </w:rPr>
                      </w:pPr>
                      <w:r w:rsidRPr="00CD7569">
                        <w:rPr>
                          <w:color w:val="1F497D" w:themeColor="text2"/>
                        </w:rPr>
                        <w:t>PLP has supported PIPSO since 2008 (PLP Phase 1).  PLP's support (including core funding which began when PIPSO was in its infancy) enabled PIPSO to fully establish itself as a participant in relevant regional policy discussions, and to develop its financial sustainability by leveraging other funding sources.</w:t>
                      </w:r>
                    </w:p>
                    <w:p w14:paraId="6CEE435C" w14:textId="77777777" w:rsidR="002E0AD1" w:rsidRPr="0099325B" w:rsidRDefault="002E0AD1" w:rsidP="00A64C2E">
                      <w:pPr>
                        <w:shd w:val="clear" w:color="auto" w:fill="DBE5F1" w:themeFill="accent1" w:themeFillTint="33"/>
                        <w:spacing w:before="120"/>
                        <w:ind w:firstLine="720"/>
                        <w:jc w:val="center"/>
                        <w:rPr>
                          <w:b/>
                          <w:color w:val="1F497D" w:themeColor="text2"/>
                        </w:rPr>
                      </w:pPr>
                      <w:r w:rsidRPr="00CE099E">
                        <w:rPr>
                          <w:b/>
                          <w:i/>
                          <w:color w:val="1F497D" w:themeColor="text2"/>
                        </w:rPr>
                        <w:t>PIPSO funding: PLP contributions a</w:t>
                      </w:r>
                      <w:r>
                        <w:rPr>
                          <w:b/>
                          <w:i/>
                          <w:color w:val="1F497D" w:themeColor="text2"/>
                        </w:rPr>
                        <w:t>nd total funding</w:t>
                      </w:r>
                      <w:r w:rsidRPr="0099325B">
                        <w:rPr>
                          <w:color w:val="1F497D" w:themeColor="text2"/>
                          <w:vertAlign w:val="superscript"/>
                        </w:rPr>
                        <w:t>F</w:t>
                      </w:r>
                    </w:p>
                    <w:p w14:paraId="0B9B1F47" w14:textId="77777777" w:rsidR="002E0AD1" w:rsidRPr="0046250C" w:rsidRDefault="002E0AD1" w:rsidP="00A64C2E">
                      <w:pPr>
                        <w:widowControl w:val="0"/>
                        <w:shd w:val="clear" w:color="auto" w:fill="DBE5F1" w:themeFill="accent1" w:themeFillTint="33"/>
                        <w:autoSpaceDE w:val="0"/>
                        <w:autoSpaceDN w:val="0"/>
                        <w:adjustRightInd w:val="0"/>
                        <w:jc w:val="center"/>
                        <w:rPr>
                          <w:rFonts w:ascii="Times" w:hAnsi="Times" w:cs="Times"/>
                        </w:rPr>
                      </w:pPr>
                      <w:r w:rsidRPr="0046250C">
                        <w:rPr>
                          <w:rFonts w:ascii="Times" w:hAnsi="Times" w:cs="Times"/>
                          <w:noProof/>
                          <w:lang w:eastAsia="en-AU"/>
                        </w:rPr>
                        <w:drawing>
                          <wp:inline distT="0" distB="0" distL="0" distR="0" wp14:anchorId="115ED07B" wp14:editId="7D70B8AD">
                            <wp:extent cx="4852035" cy="29001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62989" cy="2906694"/>
                                    </a:xfrm>
                                    <a:prstGeom prst="rect">
                                      <a:avLst/>
                                    </a:prstGeom>
                                  </pic:spPr>
                                </pic:pic>
                              </a:graphicData>
                            </a:graphic>
                          </wp:inline>
                        </w:drawing>
                      </w:r>
                    </w:p>
                    <w:p w14:paraId="590BAE33" w14:textId="77777777" w:rsidR="002E0AD1" w:rsidRDefault="002E0AD1" w:rsidP="00A64C2E">
                      <w:pPr>
                        <w:shd w:val="clear" w:color="auto" w:fill="DBE5F1" w:themeFill="accent1" w:themeFillTint="33"/>
                        <w:rPr>
                          <w:color w:val="1F497D" w:themeColor="text2"/>
                        </w:rPr>
                      </w:pPr>
                      <w:r w:rsidRPr="006F723E">
                        <w:rPr>
                          <w:color w:val="1F497D" w:themeColor="text2"/>
                        </w:rPr>
                        <w:t>Since 2015</w:t>
                      </w:r>
                      <w:r w:rsidRPr="004131CE">
                        <w:rPr>
                          <w:color w:val="1F497D" w:themeColor="text2"/>
                        </w:rPr>
                        <w:t>, PIPSO has undertaken research and advocacy to promote reforms around Small and Medium Enterprises (SMEs)</w:t>
                      </w:r>
                      <w:r w:rsidRPr="00CD7569">
                        <w:rPr>
                          <w:color w:val="1F497D" w:themeColor="text2"/>
                        </w:rPr>
                        <w:t xml:space="preserve">, which make up 80% of Pacific owned businesses.  </w:t>
                      </w:r>
                      <w:r w:rsidRPr="005B3F9B">
                        <w:rPr>
                          <w:color w:val="1F497D" w:themeColor="text2"/>
                        </w:rPr>
                        <w:t>PLP has supported that through</w:t>
                      </w:r>
                      <w:r w:rsidRPr="00CE099E">
                        <w:rPr>
                          <w:color w:val="1F497D" w:themeColor="text2"/>
                        </w:rPr>
                        <w:t xml:space="preserve"> funding, technical advice, adaptive leadership training and research support.  These efforts resulted in Pacific Island</w:t>
                      </w:r>
                      <w:r w:rsidRPr="00E96E53">
                        <w:rPr>
                          <w:color w:val="1F497D" w:themeColor="text2"/>
                        </w:rPr>
                        <w:t xml:space="preserve"> Forum Leaders endorsement of PIPSO’s position paper on SMEs at the 2015 Forum Leaders Meeting; and PIPSO inclusion in a high-level working group on regional policies impacting </w:t>
                      </w:r>
                      <w:r w:rsidRPr="00401A35">
                        <w:rPr>
                          <w:color w:val="1F497D" w:themeColor="text2"/>
                        </w:rPr>
                        <w:t>SMEs</w:t>
                      </w:r>
                      <w:r w:rsidRPr="006F723E">
                        <w:rPr>
                          <w:color w:val="1F497D" w:themeColor="text2"/>
                        </w:rPr>
                        <w:t>, with recommendations to be tabled at the Forum Economic Ministers Meeting in 2017.</w:t>
                      </w:r>
                    </w:p>
                    <w:p w14:paraId="3026B857" w14:textId="77777777" w:rsidR="002E0AD1" w:rsidRPr="0099325B" w:rsidRDefault="002E0AD1" w:rsidP="00A64C2E">
                      <w:pPr>
                        <w:shd w:val="clear" w:color="auto" w:fill="DBE5F1" w:themeFill="accent1" w:themeFillTint="33"/>
                        <w:rPr>
                          <w:sz w:val="18"/>
                          <w:szCs w:val="18"/>
                        </w:rPr>
                      </w:pPr>
                      <w:r w:rsidRPr="0099325B">
                        <w:rPr>
                          <w:color w:val="1F497D" w:themeColor="text2"/>
                          <w:sz w:val="18"/>
                          <w:szCs w:val="18"/>
                          <w:vertAlign w:val="superscript"/>
                        </w:rPr>
                        <w:t>F</w:t>
                      </w:r>
                      <w:r w:rsidRPr="0099325B">
                        <w:rPr>
                          <w:color w:val="1F497D" w:themeColor="text2"/>
                          <w:sz w:val="18"/>
                          <w:szCs w:val="18"/>
                        </w:rPr>
                        <w:t xml:space="preserve"> Graph supplied by PIPSO.</w:t>
                      </w:r>
                    </w:p>
                  </w:txbxContent>
                </v:textbox>
                <w10:wrap type="square" anchorx="margin"/>
              </v:shape>
            </w:pict>
          </mc:Fallback>
        </mc:AlternateContent>
      </w:r>
    </w:p>
    <w:p w14:paraId="34A55A07" w14:textId="77777777" w:rsidR="00997223" w:rsidRDefault="00997223" w:rsidP="007A09AD">
      <w:pPr>
        <w:spacing w:before="120"/>
        <w:rPr>
          <w:sz w:val="24"/>
          <w:szCs w:val="24"/>
          <w:lang w:val="en-US"/>
        </w:rPr>
      </w:pPr>
    </w:p>
    <w:p w14:paraId="467B954F" w14:textId="77777777" w:rsidR="00997223" w:rsidRDefault="00997223" w:rsidP="007A09AD">
      <w:pPr>
        <w:spacing w:before="120"/>
        <w:rPr>
          <w:sz w:val="24"/>
          <w:szCs w:val="24"/>
          <w:lang w:val="en-US"/>
        </w:rPr>
      </w:pPr>
    </w:p>
    <w:p w14:paraId="0E1BDE94" w14:textId="77777777" w:rsidR="00997223" w:rsidRDefault="00997223" w:rsidP="007A09AD">
      <w:pPr>
        <w:spacing w:before="120"/>
        <w:rPr>
          <w:sz w:val="24"/>
          <w:szCs w:val="24"/>
          <w:lang w:val="en-US"/>
        </w:rPr>
      </w:pPr>
      <w:r>
        <w:rPr>
          <w:noProof/>
          <w:sz w:val="24"/>
          <w:szCs w:val="24"/>
          <w:lang w:eastAsia="en-AU"/>
        </w:rPr>
        <mc:AlternateContent>
          <mc:Choice Requires="wps">
            <w:drawing>
              <wp:anchor distT="0" distB="0" distL="114300" distR="114300" simplePos="0" relativeHeight="251672576" behindDoc="0" locked="0" layoutInCell="1" allowOverlap="1" wp14:anchorId="4FDC1D89" wp14:editId="33A56868">
                <wp:simplePos x="0" y="0"/>
                <wp:positionH relativeFrom="margin">
                  <wp:posOffset>-177800</wp:posOffset>
                </wp:positionH>
                <wp:positionV relativeFrom="paragraph">
                  <wp:posOffset>-7932420</wp:posOffset>
                </wp:positionV>
                <wp:extent cx="6057900" cy="7632700"/>
                <wp:effectExtent l="0" t="0" r="19050" b="25400"/>
                <wp:wrapSquare wrapText="bothSides"/>
                <wp:docPr id="14" name="Text Box 14"/>
                <wp:cNvGraphicFramePr/>
                <a:graphic xmlns:a="http://schemas.openxmlformats.org/drawingml/2006/main">
                  <a:graphicData uri="http://schemas.microsoft.com/office/word/2010/wordprocessingShape">
                    <wps:wsp>
                      <wps:cNvSpPr txBox="1"/>
                      <wps:spPr>
                        <a:xfrm>
                          <a:off x="0" y="0"/>
                          <a:ext cx="6057900" cy="7632700"/>
                        </a:xfrm>
                        <a:prstGeom prst="rect">
                          <a:avLst/>
                        </a:prstGeom>
                        <a:solidFill>
                          <a:schemeClr val="accent1">
                            <a:lumMod val="20000"/>
                            <a:lumOff val="80000"/>
                          </a:schemeClr>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4177CE1" w14:textId="77777777" w:rsidR="002E0AD1" w:rsidRPr="001C3654" w:rsidRDefault="002E0AD1" w:rsidP="003E4F88">
                            <w:pPr>
                              <w:shd w:val="clear" w:color="auto" w:fill="DBE5F1" w:themeFill="accent1" w:themeFillTint="33"/>
                              <w:spacing w:before="120"/>
                              <w:rPr>
                                <w:b/>
                                <w:color w:val="1F497D" w:themeColor="text2"/>
                                <w:sz w:val="28"/>
                                <w:szCs w:val="28"/>
                              </w:rPr>
                            </w:pPr>
                            <w:r w:rsidRPr="001C3654">
                              <w:rPr>
                                <w:b/>
                                <w:color w:val="1F497D" w:themeColor="text2"/>
                                <w:sz w:val="28"/>
                                <w:szCs w:val="28"/>
                              </w:rPr>
                              <w:t>Adaptive Leadership Training</w:t>
                            </w:r>
                          </w:p>
                          <w:p w14:paraId="441ECC2F" w14:textId="77777777" w:rsidR="002E0AD1" w:rsidRPr="001C3654" w:rsidRDefault="002E0AD1" w:rsidP="003E4F88">
                            <w:pPr>
                              <w:shd w:val="clear" w:color="auto" w:fill="DBE5F1" w:themeFill="accent1" w:themeFillTint="33"/>
                              <w:spacing w:before="120"/>
                              <w:rPr>
                                <w:color w:val="1F497D" w:themeColor="text2"/>
                              </w:rPr>
                            </w:pPr>
                            <w:r w:rsidRPr="001C3654">
                              <w:rPr>
                                <w:color w:val="1F497D" w:themeColor="text2"/>
                              </w:rPr>
                              <w:t>Adaptive leadership training is a course that focuses on the practical exercise of leadership.  It doesn’t offer textbook solutions but rather a range of diagnostic and management tools that leaders can draw on when leading change within an organi</w:t>
                            </w:r>
                            <w:r>
                              <w:rPr>
                                <w:color w:val="1F497D" w:themeColor="text2"/>
                              </w:rPr>
                              <w:t>s</w:t>
                            </w:r>
                            <w:r w:rsidRPr="001C3654">
                              <w:rPr>
                                <w:color w:val="1F497D" w:themeColor="text2"/>
                              </w:rPr>
                              <w:t>ation or sector.  The training aims to help Pacific leaders to develop new skills, perspectives and insights to progress their work, build a support base, and overcome barriers and opposition.  The training builds on the leadership framework developed by Ron Heifetz and Marty Linsky at Harvard University's John F. Kennedy School of Government.</w:t>
                            </w:r>
                          </w:p>
                          <w:p w14:paraId="6C8BF812" w14:textId="77777777" w:rsidR="002E0AD1" w:rsidRPr="001C3654" w:rsidRDefault="002E0AD1" w:rsidP="003E4F88">
                            <w:pPr>
                              <w:shd w:val="clear" w:color="auto" w:fill="DBE5F1" w:themeFill="accent1" w:themeFillTint="33"/>
                              <w:spacing w:before="120"/>
                              <w:rPr>
                                <w:color w:val="1F497D" w:themeColor="text2"/>
                              </w:rPr>
                            </w:pPr>
                            <w:r w:rsidRPr="001C3654">
                              <w:rPr>
                                <w:b/>
                                <w:color w:val="1F497D" w:themeColor="text2"/>
                              </w:rPr>
                              <w:t>PLP3 has introduced the adaptive leadership training in the Pacific region, drawing on the expertise of Cambridge Leadership Associates.</w:t>
                            </w:r>
                            <w:r w:rsidRPr="001C3654">
                              <w:rPr>
                                <w:color w:val="1F497D" w:themeColor="text2"/>
                              </w:rPr>
                              <w:t xml:space="preserve">  Two cohorts of leaders have participated in a formal leadership development program delivered through three training modules interspersed with strategic coaching to support participants to address their own specific work-based challenges.  The list of participants in the Adaptive Leadership training is provided at </w:t>
                            </w:r>
                            <w:r w:rsidRPr="001C3654">
                              <w:rPr>
                                <w:color w:val="1F497D" w:themeColor="text2"/>
                                <w:u w:val="single"/>
                              </w:rPr>
                              <w:t>annex 6</w:t>
                            </w:r>
                            <w:r w:rsidRPr="001C3654">
                              <w:rPr>
                                <w:color w:val="1F497D" w:themeColor="text2"/>
                              </w:rPr>
                              <w:t>.  Variations of the training have also been delivered through shorter courses and introducing adaptive leadership concepts into other trainings.  PLP has also undertaken training-of-trainers, to build a cohort of Pacific Islanders (including some PLP staff) trained in delivering the training, including tailoring it to specific contexts.</w:t>
                            </w:r>
                          </w:p>
                          <w:p w14:paraId="50B8B1F0" w14:textId="77777777" w:rsidR="002E0AD1" w:rsidRPr="001C3654" w:rsidRDefault="002E0AD1" w:rsidP="003E4F88">
                            <w:pPr>
                              <w:shd w:val="clear" w:color="auto" w:fill="DBE5F1" w:themeFill="accent1" w:themeFillTint="33"/>
                              <w:spacing w:before="120"/>
                              <w:rPr>
                                <w:color w:val="1F497D" w:themeColor="text2"/>
                              </w:rPr>
                            </w:pPr>
                            <w:r w:rsidRPr="001C3654">
                              <w:rPr>
                                <w:b/>
                                <w:color w:val="1F497D" w:themeColor="text2"/>
                              </w:rPr>
                              <w:t>Participants interviewed for this evaluation offered diverse (but overall positive) views on the training.</w:t>
                            </w:r>
                            <w:r w:rsidRPr="001C3654">
                              <w:rPr>
                                <w:color w:val="1F497D" w:themeColor="text2"/>
                              </w:rPr>
                              <w:t xml:space="preserve">  Feedback suggested this is not just another leadership training course.  Participants frequently cited a trajectory of experiencing the training that began with being profoundly unsettled by the content and delivery of the course, and ended with feeling empowered and equipped to effect change.  It seems that the course is particularly suited to supporting leaders already engaged in seeking to bring about change through a coalition approach, and is particularly suited to groups that are traditionally marginalised in Pacific society.</w:t>
                            </w:r>
                            <w:r>
                              <w:rPr>
                                <w:color w:val="1F497D" w:themeColor="text2"/>
                              </w:rPr>
                              <w:t xml:space="preserve"> Numerous participants commented that the training had impacted not just their influence at work, but also the role they played in their other professional, church and social interactions. One participant reported </w:t>
                            </w:r>
                            <w:r w:rsidRPr="00FB0282">
                              <w:rPr>
                                <w:i/>
                                <w:color w:val="1F497D" w:themeColor="text2"/>
                              </w:rPr>
                              <w:t>"I've done a lot of leadership programs in my life…. I thought Adaptive Leadership was very good, because its important to see things from other peoples' point of view…. [As a result of the course] I encourage people to listen to opposing voices."</w:t>
                            </w:r>
                          </w:p>
                          <w:p w14:paraId="588F3780" w14:textId="77777777" w:rsidR="002E0AD1" w:rsidRPr="001C3654" w:rsidRDefault="002E0AD1" w:rsidP="003E4F88">
                            <w:pPr>
                              <w:shd w:val="clear" w:color="auto" w:fill="DBE5F1" w:themeFill="accent1" w:themeFillTint="33"/>
                              <w:spacing w:before="120"/>
                              <w:rPr>
                                <w:color w:val="1F497D" w:themeColor="text2"/>
                              </w:rPr>
                            </w:pPr>
                            <w:r w:rsidRPr="001C3654">
                              <w:rPr>
                                <w:color w:val="1F497D" w:themeColor="text2"/>
                              </w:rPr>
                              <w:t xml:space="preserve">PLP3's delivery of the training would have been more effective with more careful selection of participants – as acknowledged by PLP.  Some participants did not have sufficient English language skills to participate fully in a training course that involved complex terminology and concepts.  Others did not benefit optimally from the training because there was a mismatch of experience and education levels of participants brought together for what is an intense training experience.  PLP also seems to have missed an opportunity by not investing more consciously in the formation and fostering of an alumni cohort from the training (though this happened organically to a limited extent).  If continued, the adaptive leadership training offers an opportunity to contribute to relationships and people-to-people links through the participation of (for example) Australian and New Zealand leaders in the training cohorts.  </w:t>
                            </w:r>
                          </w:p>
                          <w:p w14:paraId="0951183F" w14:textId="77777777" w:rsidR="002E0AD1" w:rsidRDefault="002E0AD1" w:rsidP="003E4F88">
                            <w:pPr>
                              <w:shd w:val="clear" w:color="auto" w:fill="DBE5F1" w:themeFill="accent1" w:themeFillTint="33"/>
                              <w:spacing w:before="120"/>
                              <w:rPr>
                                <w:color w:val="1F497D" w:themeColor="text2"/>
                                <w:lang w:val="en-US"/>
                              </w:rPr>
                            </w:pPr>
                            <w:r w:rsidRPr="001C3654">
                              <w:rPr>
                                <w:color w:val="1F497D" w:themeColor="text2"/>
                                <w:lang w:val="en-US"/>
                              </w:rPr>
                              <w:t>Further information on the Adaptive Leadership training is presented in the PLP Briefing Note</w:t>
                            </w:r>
                            <w:r w:rsidRPr="003E4F88">
                              <w:rPr>
                                <w:color w:val="1F497D" w:themeColor="text2"/>
                                <w:vertAlign w:val="superscript"/>
                                <w:lang w:val="en-US"/>
                              </w:rPr>
                              <w:t>G</w:t>
                            </w:r>
                            <w:r w:rsidRPr="001C3654">
                              <w:rPr>
                                <w:color w:val="1F497D" w:themeColor="text2"/>
                                <w:lang w:val="en-US"/>
                              </w:rPr>
                              <w:t xml:space="preserve"> (February 2017)</w:t>
                            </w:r>
                            <w:r>
                              <w:rPr>
                                <w:color w:val="1F497D" w:themeColor="text2"/>
                                <w:lang w:val="en-US"/>
                              </w:rPr>
                              <w:t xml:space="preserve"> and the internal PLP evaluation of the training (forthcoming)</w:t>
                            </w:r>
                            <w:r w:rsidRPr="001C3654">
                              <w:rPr>
                                <w:color w:val="1F497D" w:themeColor="text2"/>
                                <w:lang w:val="en-US"/>
                              </w:rPr>
                              <w:t>.</w:t>
                            </w:r>
                          </w:p>
                          <w:p w14:paraId="071BEE33" w14:textId="77777777" w:rsidR="002E0AD1" w:rsidRPr="003E4F88" w:rsidRDefault="002E0AD1" w:rsidP="003E4F88">
                            <w:pPr>
                              <w:shd w:val="clear" w:color="auto" w:fill="DBE5F1" w:themeFill="accent1" w:themeFillTint="33"/>
                              <w:spacing w:before="120"/>
                              <w:jc w:val="left"/>
                              <w:rPr>
                                <w:sz w:val="18"/>
                                <w:szCs w:val="18"/>
                              </w:rPr>
                            </w:pPr>
                            <w:r w:rsidRPr="003E4F88">
                              <w:rPr>
                                <w:color w:val="1F497D" w:themeColor="text2"/>
                                <w:sz w:val="18"/>
                                <w:szCs w:val="18"/>
                                <w:vertAlign w:val="superscript"/>
                                <w:lang w:val="en-US"/>
                              </w:rPr>
                              <w:t xml:space="preserve">G  </w:t>
                            </w:r>
                            <w:hyperlink r:id="rId15" w:history="1">
                              <w:r w:rsidRPr="003E4F88">
                                <w:rPr>
                                  <w:color w:val="1F497D" w:themeColor="text2"/>
                                  <w:sz w:val="18"/>
                                  <w:szCs w:val="18"/>
                                  <w:lang w:val="en-US"/>
                                </w:rPr>
                                <w:t>http://www.plp.org.fj/wp-content/uploads/2017/03/PLP-Briefing-Note-Adaptive-Leadership-February-2017.pdf</w:t>
                              </w:r>
                            </w:hyperlink>
                            <w:r w:rsidRPr="003E4F88">
                              <w:rPr>
                                <w:color w:val="1F497D" w:themeColor="text2"/>
                                <w:sz w:val="18"/>
                                <w:szCs w:val="18"/>
                                <w:lang w:val="en-US"/>
                              </w:rPr>
                              <w:t>. The information in this box is drawn in part from the Briefing Note.</w:t>
                            </w:r>
                          </w:p>
                          <w:p w14:paraId="558DCEAD" w14:textId="77777777" w:rsidR="002E0AD1" w:rsidRDefault="002E0AD1" w:rsidP="00A64C2E">
                            <w:pPr>
                              <w:shd w:val="clear" w:color="auto" w:fill="DBE5F1" w:themeFill="accent1" w:themeFillTint="3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DC1D89" id="Text Box 14" o:spid="_x0000_s1032" type="#_x0000_t202" style="position:absolute;left:0;text-align:left;margin-left:-14pt;margin-top:-624.6pt;width:477pt;height:601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" fillcolor="#dbe5f1 [660]" strokecolor="black [3213]">
                <v:textbox>
                  <w:txbxContent>
                    <w:p w14:paraId="74177CE1" w14:textId="77777777" w:rsidR="002E0AD1" w:rsidRPr="001C3654" w:rsidRDefault="002E0AD1" w:rsidP="003E4F88">
                      <w:pPr>
                        <w:shd w:val="clear" w:color="auto" w:fill="DBE5F1" w:themeFill="accent1" w:themeFillTint="33"/>
                        <w:spacing w:before="120"/>
                        <w:rPr>
                          <w:b/>
                          <w:color w:val="1F497D" w:themeColor="text2"/>
                          <w:sz w:val="28"/>
                          <w:szCs w:val="28"/>
                        </w:rPr>
                      </w:pPr>
                      <w:r w:rsidRPr="001C3654">
                        <w:rPr>
                          <w:b/>
                          <w:color w:val="1F497D" w:themeColor="text2"/>
                          <w:sz w:val="28"/>
                          <w:szCs w:val="28"/>
                        </w:rPr>
                        <w:t>Adaptive Leadership Training</w:t>
                      </w:r>
                    </w:p>
                    <w:p w14:paraId="441ECC2F" w14:textId="77777777" w:rsidR="002E0AD1" w:rsidRPr="001C3654" w:rsidRDefault="002E0AD1" w:rsidP="003E4F88">
                      <w:pPr>
                        <w:shd w:val="clear" w:color="auto" w:fill="DBE5F1" w:themeFill="accent1" w:themeFillTint="33"/>
                        <w:spacing w:before="120"/>
                        <w:rPr>
                          <w:color w:val="1F497D" w:themeColor="text2"/>
                        </w:rPr>
                      </w:pPr>
                      <w:r w:rsidRPr="001C3654">
                        <w:rPr>
                          <w:color w:val="1F497D" w:themeColor="text2"/>
                        </w:rPr>
                        <w:t>Adaptive leadership training is a course that focuses on the practical exercise of leadership.  It doesn’t offer textbook solutions but rather a range of diagnostic and management tools that leaders can draw on when leading change within an organi</w:t>
                      </w:r>
                      <w:r>
                        <w:rPr>
                          <w:color w:val="1F497D" w:themeColor="text2"/>
                        </w:rPr>
                        <w:t>s</w:t>
                      </w:r>
                      <w:r w:rsidRPr="001C3654">
                        <w:rPr>
                          <w:color w:val="1F497D" w:themeColor="text2"/>
                        </w:rPr>
                        <w:t>ation or sector.  The training aims to help Pacific leaders to develop new skills, perspectives and insights to progress their work, build a support base, and overcome barriers and opposition.  The training builds on the leadership framework developed by Ron Heifetz and Marty Linsky at Harvard University's John F. Kennedy School of Government.</w:t>
                      </w:r>
                    </w:p>
                    <w:p w14:paraId="6C8BF812" w14:textId="77777777" w:rsidR="002E0AD1" w:rsidRPr="001C3654" w:rsidRDefault="002E0AD1" w:rsidP="003E4F88">
                      <w:pPr>
                        <w:shd w:val="clear" w:color="auto" w:fill="DBE5F1" w:themeFill="accent1" w:themeFillTint="33"/>
                        <w:spacing w:before="120"/>
                        <w:rPr>
                          <w:color w:val="1F497D" w:themeColor="text2"/>
                        </w:rPr>
                      </w:pPr>
                      <w:r w:rsidRPr="001C3654">
                        <w:rPr>
                          <w:b/>
                          <w:color w:val="1F497D" w:themeColor="text2"/>
                        </w:rPr>
                        <w:t>PLP3 has introduced the adaptive leadership training in the Pacific region, drawing on the expertise of Cambridge Leadership Associates.</w:t>
                      </w:r>
                      <w:r w:rsidRPr="001C3654">
                        <w:rPr>
                          <w:color w:val="1F497D" w:themeColor="text2"/>
                        </w:rPr>
                        <w:t xml:space="preserve">  Two cohorts of leaders have participated in a formal leadership development program delivered through three training modules interspersed with strategic coaching to support participants to address their own specific work-based challenges.  The list of participants in the Adaptive Leadership training is provided at </w:t>
                      </w:r>
                      <w:r w:rsidRPr="001C3654">
                        <w:rPr>
                          <w:color w:val="1F497D" w:themeColor="text2"/>
                          <w:u w:val="single"/>
                        </w:rPr>
                        <w:t>annex 6</w:t>
                      </w:r>
                      <w:r w:rsidRPr="001C3654">
                        <w:rPr>
                          <w:color w:val="1F497D" w:themeColor="text2"/>
                        </w:rPr>
                        <w:t>.  Variations of the training have also been delivered through shorter courses and introducing adaptive leadership concepts into other trainings.  PLP has also undertaken training-of-trainers, to build a cohort of Pacific Islanders (including some PLP staff) trained in delivering the training, including tailoring it to specific contexts.</w:t>
                      </w:r>
                    </w:p>
                    <w:p w14:paraId="50B8B1F0" w14:textId="77777777" w:rsidR="002E0AD1" w:rsidRPr="001C3654" w:rsidRDefault="002E0AD1" w:rsidP="003E4F88">
                      <w:pPr>
                        <w:shd w:val="clear" w:color="auto" w:fill="DBE5F1" w:themeFill="accent1" w:themeFillTint="33"/>
                        <w:spacing w:before="120"/>
                        <w:rPr>
                          <w:color w:val="1F497D" w:themeColor="text2"/>
                        </w:rPr>
                      </w:pPr>
                      <w:r w:rsidRPr="001C3654">
                        <w:rPr>
                          <w:b/>
                          <w:color w:val="1F497D" w:themeColor="text2"/>
                        </w:rPr>
                        <w:t>Participants interviewed for this evaluation offered diverse (but overall positive) views on the training.</w:t>
                      </w:r>
                      <w:r w:rsidRPr="001C3654">
                        <w:rPr>
                          <w:color w:val="1F497D" w:themeColor="text2"/>
                        </w:rPr>
                        <w:t xml:space="preserve">  Feedback suggested this is not just another leadership training course.  Participants frequently cited a trajectory of experiencing the training that began with being profoundly unsettled by the content and delivery of the course, and ended with feeling empowered and equipped to effect change.  It seems that the course is particularly suited to supporting leaders already engaged in seeking to bring about change through a coalition approach, and is particularly suited to groups that are traditionally marginalised in Pacific society.</w:t>
                      </w:r>
                      <w:r>
                        <w:rPr>
                          <w:color w:val="1F497D" w:themeColor="text2"/>
                        </w:rPr>
                        <w:t xml:space="preserve"> Numerous participants commented that the training had impacted not just their influence at work, but also the role they played in their other professional, church and social interactions. One participant reported </w:t>
                      </w:r>
                      <w:r w:rsidRPr="00FB0282">
                        <w:rPr>
                          <w:i/>
                          <w:color w:val="1F497D" w:themeColor="text2"/>
                        </w:rPr>
                        <w:t>"I've done a lot of leadership programs in my life…. I thought Adaptive Leadership was very good, because its important to see things from other peoples' point of view…. [As a result of the course] I encourage people to listen to opposing voices."</w:t>
                      </w:r>
                    </w:p>
                    <w:p w14:paraId="588F3780" w14:textId="77777777" w:rsidR="002E0AD1" w:rsidRPr="001C3654" w:rsidRDefault="002E0AD1" w:rsidP="003E4F88">
                      <w:pPr>
                        <w:shd w:val="clear" w:color="auto" w:fill="DBE5F1" w:themeFill="accent1" w:themeFillTint="33"/>
                        <w:spacing w:before="120"/>
                        <w:rPr>
                          <w:color w:val="1F497D" w:themeColor="text2"/>
                        </w:rPr>
                      </w:pPr>
                      <w:r w:rsidRPr="001C3654">
                        <w:rPr>
                          <w:color w:val="1F497D" w:themeColor="text2"/>
                        </w:rPr>
                        <w:t xml:space="preserve">PLP3's delivery of the training would have been more effective with more careful selection of participants – as acknowledged by PLP.  Some participants did not have sufficient English language skills to participate fully in a training course that involved complex terminology and concepts.  Others did not benefit optimally from the training because there was a mismatch of experience and education levels of participants brought together for what is an intense training experience.  PLP also seems to have missed an opportunity by not investing more consciously in the formation and fostering of an alumni cohort from the training (though this happened organically to a limited extent).  If continued, the adaptive leadership training offers an opportunity to contribute to relationships and people-to-people links through the participation of (for example) Australian and New Zealand leaders in the training cohorts.  </w:t>
                      </w:r>
                    </w:p>
                    <w:p w14:paraId="0951183F" w14:textId="77777777" w:rsidR="002E0AD1" w:rsidRDefault="002E0AD1" w:rsidP="003E4F88">
                      <w:pPr>
                        <w:shd w:val="clear" w:color="auto" w:fill="DBE5F1" w:themeFill="accent1" w:themeFillTint="33"/>
                        <w:spacing w:before="120"/>
                        <w:rPr>
                          <w:color w:val="1F497D" w:themeColor="text2"/>
                          <w:lang w:val="en-US"/>
                        </w:rPr>
                      </w:pPr>
                      <w:r w:rsidRPr="001C3654">
                        <w:rPr>
                          <w:color w:val="1F497D" w:themeColor="text2"/>
                          <w:lang w:val="en-US"/>
                        </w:rPr>
                        <w:t>Further information on the Adaptive Leadership training is presented in the PLP Briefing Note</w:t>
                      </w:r>
                      <w:r w:rsidRPr="003E4F88">
                        <w:rPr>
                          <w:color w:val="1F497D" w:themeColor="text2"/>
                          <w:vertAlign w:val="superscript"/>
                          <w:lang w:val="en-US"/>
                        </w:rPr>
                        <w:t>G</w:t>
                      </w:r>
                      <w:r w:rsidRPr="001C3654">
                        <w:rPr>
                          <w:color w:val="1F497D" w:themeColor="text2"/>
                          <w:lang w:val="en-US"/>
                        </w:rPr>
                        <w:t xml:space="preserve"> (February 2017)</w:t>
                      </w:r>
                      <w:r>
                        <w:rPr>
                          <w:color w:val="1F497D" w:themeColor="text2"/>
                          <w:lang w:val="en-US"/>
                        </w:rPr>
                        <w:t xml:space="preserve"> and the internal PLP evaluation of the training (forthcoming)</w:t>
                      </w:r>
                      <w:r w:rsidRPr="001C3654">
                        <w:rPr>
                          <w:color w:val="1F497D" w:themeColor="text2"/>
                          <w:lang w:val="en-US"/>
                        </w:rPr>
                        <w:t>.</w:t>
                      </w:r>
                    </w:p>
                    <w:p w14:paraId="071BEE33" w14:textId="77777777" w:rsidR="002E0AD1" w:rsidRPr="003E4F88" w:rsidRDefault="002E0AD1" w:rsidP="003E4F88">
                      <w:pPr>
                        <w:shd w:val="clear" w:color="auto" w:fill="DBE5F1" w:themeFill="accent1" w:themeFillTint="33"/>
                        <w:spacing w:before="120"/>
                        <w:jc w:val="left"/>
                        <w:rPr>
                          <w:sz w:val="18"/>
                          <w:szCs w:val="18"/>
                        </w:rPr>
                      </w:pPr>
                      <w:r w:rsidRPr="003E4F88">
                        <w:rPr>
                          <w:color w:val="1F497D" w:themeColor="text2"/>
                          <w:sz w:val="18"/>
                          <w:szCs w:val="18"/>
                          <w:vertAlign w:val="superscript"/>
                          <w:lang w:val="en-US"/>
                        </w:rPr>
                        <w:t xml:space="preserve">G  </w:t>
                      </w:r>
                      <w:hyperlink r:id="rId16" w:history="1">
                        <w:r w:rsidRPr="003E4F88">
                          <w:rPr>
                            <w:color w:val="1F497D" w:themeColor="text2"/>
                            <w:sz w:val="18"/>
                            <w:szCs w:val="18"/>
                            <w:lang w:val="en-US"/>
                          </w:rPr>
                          <w:t>http://www.plp.org.fj/wp-content/uploads/2017/03/PLP-Briefing-Note-Adaptive-Leadership-February-2017.pdf</w:t>
                        </w:r>
                      </w:hyperlink>
                      <w:r w:rsidRPr="003E4F88">
                        <w:rPr>
                          <w:color w:val="1F497D" w:themeColor="text2"/>
                          <w:sz w:val="18"/>
                          <w:szCs w:val="18"/>
                          <w:lang w:val="en-US"/>
                        </w:rPr>
                        <w:t>. The information in this box is drawn in part from the Briefing Note.</w:t>
                      </w:r>
                    </w:p>
                    <w:p w14:paraId="558DCEAD" w14:textId="77777777" w:rsidR="002E0AD1" w:rsidRDefault="002E0AD1" w:rsidP="00A64C2E">
                      <w:pPr>
                        <w:shd w:val="clear" w:color="auto" w:fill="DBE5F1" w:themeFill="accent1" w:themeFillTint="33"/>
                      </w:pPr>
                    </w:p>
                  </w:txbxContent>
                </v:textbox>
                <w10:wrap type="square" anchorx="margin"/>
              </v:shape>
            </w:pict>
          </mc:Fallback>
        </mc:AlternateContent>
      </w:r>
    </w:p>
    <w:p w14:paraId="4308A694" w14:textId="77777777" w:rsidR="007A09AD" w:rsidRPr="001C3654" w:rsidRDefault="007A09AD" w:rsidP="002934EB">
      <w:pPr>
        <w:pBdr>
          <w:top w:val="single" w:sz="4" w:space="1" w:color="auto"/>
          <w:left w:val="single" w:sz="4" w:space="4" w:color="auto"/>
          <w:bottom w:val="single" w:sz="4" w:space="1" w:color="auto"/>
          <w:right w:val="single" w:sz="4" w:space="4" w:color="auto"/>
        </w:pBdr>
        <w:shd w:val="clear" w:color="auto" w:fill="DBE5F1" w:themeFill="accent1" w:themeFillTint="33"/>
        <w:spacing w:before="120"/>
        <w:rPr>
          <w:lang w:val="en-US"/>
        </w:rPr>
      </w:pPr>
      <w:r w:rsidRPr="001C3654">
        <w:rPr>
          <w:rFonts w:eastAsia="Calibri" w:cs="Times New Roman"/>
          <w:b/>
        </w:rPr>
        <w:t>PLP3 can claim to have played a role in supporting a number of policy and institutional changes across the Pacific for the public good, but not to the level of ambition articulated in the design.</w:t>
      </w:r>
      <w:r w:rsidRPr="001C3654">
        <w:rPr>
          <w:rFonts w:eastAsia="Calibri" w:cs="Times New Roman"/>
        </w:rPr>
        <w:t xml:space="preserve"> The program is </w:t>
      </w:r>
      <w:r w:rsidR="009961F6" w:rsidRPr="001C3654">
        <w:rPr>
          <w:rFonts w:eastAsia="Calibri" w:cs="Times New Roman"/>
          <w:u w:val="single"/>
        </w:rPr>
        <w:t xml:space="preserve">partially </w:t>
      </w:r>
      <w:r w:rsidRPr="001C3654">
        <w:rPr>
          <w:rFonts w:eastAsia="Calibri" w:cs="Times New Roman"/>
          <w:u w:val="single"/>
        </w:rPr>
        <w:t>on track</w:t>
      </w:r>
      <w:r w:rsidRPr="001C3654">
        <w:rPr>
          <w:rFonts w:eastAsia="Calibri" w:cs="Times New Roman"/>
        </w:rPr>
        <w:t xml:space="preserve"> to achieve </w:t>
      </w:r>
      <w:r w:rsidRPr="001C3654">
        <w:rPr>
          <w:rFonts w:eastAsia="Calibri" w:cs="Times New Roman"/>
          <w:i/>
        </w:rPr>
        <w:t>Result Stream 3:</w:t>
      </w:r>
      <w:r w:rsidRPr="001C3654">
        <w:rPr>
          <w:rFonts w:eastAsia="Calibri" w:cs="Times New Roman"/>
        </w:rPr>
        <w:t xml:space="preserve"> </w:t>
      </w:r>
      <w:r w:rsidRPr="001C3654">
        <w:rPr>
          <w:i/>
          <w:lang w:val="en-US"/>
        </w:rPr>
        <w:t>Identifiable policy and institutional changes across the Pacific for the public good.</w:t>
      </w:r>
    </w:p>
    <w:p w14:paraId="3DEB48B8" w14:textId="77777777" w:rsidR="007A09AD" w:rsidRPr="007A09AD" w:rsidRDefault="007A09AD" w:rsidP="007A09AD">
      <w:pPr>
        <w:spacing w:before="120"/>
        <w:rPr>
          <w:sz w:val="24"/>
          <w:szCs w:val="24"/>
          <w:lang w:val="en-US"/>
        </w:rPr>
      </w:pPr>
      <w:r w:rsidRPr="001C3654">
        <w:rPr>
          <w:lang w:val="en-US"/>
        </w:rPr>
        <w:t xml:space="preserve">Arguably </w:t>
      </w:r>
      <w:r w:rsidR="0082592F" w:rsidRPr="001C3654">
        <w:rPr>
          <w:lang w:val="en-US"/>
        </w:rPr>
        <w:t xml:space="preserve">one of </w:t>
      </w:r>
      <w:r w:rsidRPr="001C3654">
        <w:rPr>
          <w:lang w:val="en-US"/>
        </w:rPr>
        <w:t xml:space="preserve">the best </w:t>
      </w:r>
      <w:r w:rsidR="00255C32" w:rsidRPr="001C3654">
        <w:rPr>
          <w:lang w:val="en-US"/>
        </w:rPr>
        <w:t>examples</w:t>
      </w:r>
      <w:r w:rsidRPr="001C3654">
        <w:rPr>
          <w:lang w:val="en-US"/>
        </w:rPr>
        <w:t xml:space="preserve"> of PLP</w:t>
      </w:r>
      <w:r w:rsidR="000978BF">
        <w:rPr>
          <w:lang w:val="en-US"/>
        </w:rPr>
        <w:t>3</w:t>
      </w:r>
      <w:r w:rsidRPr="001C3654">
        <w:rPr>
          <w:lang w:val="en-US"/>
        </w:rPr>
        <w:t xml:space="preserve">'s support for policy and institutional change is its role in the Women in Shared Decision Making (WISDM) advocacy for women in political leadership in Vanuatu (see below).  Other notable changes </w:t>
      </w:r>
      <w:r w:rsidR="006933FB">
        <w:rPr>
          <w:lang w:val="en-US"/>
        </w:rPr>
        <w:t xml:space="preserve">to which PLP3 support contributed </w:t>
      </w:r>
      <w:r w:rsidRPr="001C3654">
        <w:rPr>
          <w:lang w:val="en-US"/>
        </w:rPr>
        <w:t>include</w:t>
      </w:r>
      <w:r w:rsidR="00255C32">
        <w:rPr>
          <w:lang w:val="en-US"/>
        </w:rPr>
        <w:t>:</w:t>
      </w:r>
    </w:p>
    <w:p w14:paraId="0651833A" w14:textId="77777777" w:rsidR="002E1836" w:rsidRDefault="002E1836" w:rsidP="007A09AD">
      <w:pPr>
        <w:pStyle w:val="ListParagraph"/>
        <w:numPr>
          <w:ilvl w:val="0"/>
          <w:numId w:val="8"/>
        </w:numPr>
        <w:spacing w:before="120"/>
        <w:rPr>
          <w:lang w:val="en-US"/>
        </w:rPr>
      </w:pPr>
      <w:r w:rsidRPr="001C3654">
        <w:rPr>
          <w:lang w:val="en-US"/>
        </w:rPr>
        <w:t xml:space="preserve">Green Growth Leaders Coalition, Development and Endorsement of “The Peoples Plan 2030” Vanuatu National Sustainable Development Plan </w:t>
      </w:r>
    </w:p>
    <w:p w14:paraId="00240D62" w14:textId="77777777" w:rsidR="002E1836" w:rsidRDefault="002E1836" w:rsidP="007A09AD">
      <w:pPr>
        <w:pStyle w:val="ListParagraph"/>
        <w:numPr>
          <w:ilvl w:val="0"/>
          <w:numId w:val="8"/>
        </w:numPr>
        <w:spacing w:before="120"/>
        <w:rPr>
          <w:lang w:val="en-US"/>
        </w:rPr>
      </w:pPr>
      <w:r w:rsidRPr="001C3654">
        <w:rPr>
          <w:lang w:val="en-US"/>
        </w:rPr>
        <w:t xml:space="preserve">Samoa Chamber of Commerce, Removal of Municipal Taxes, Delay in the increase of Value Added Goods and Service Tax (VAGST), and Commitment from Government to improve Tax Compliance </w:t>
      </w:r>
    </w:p>
    <w:p w14:paraId="02221CC1" w14:textId="77777777" w:rsidR="002E1836" w:rsidRDefault="002E1836" w:rsidP="007A09AD">
      <w:pPr>
        <w:pStyle w:val="ListParagraph"/>
        <w:numPr>
          <w:ilvl w:val="0"/>
          <w:numId w:val="8"/>
        </w:numPr>
        <w:spacing w:before="120"/>
        <w:rPr>
          <w:lang w:val="en-US"/>
        </w:rPr>
      </w:pPr>
      <w:r w:rsidRPr="001C3654">
        <w:rPr>
          <w:lang w:val="en-US"/>
        </w:rPr>
        <w:t>Tonga National Leadership Development Forum, Development and Endorsement of the Ha’apai Development Plan</w:t>
      </w:r>
    </w:p>
    <w:p w14:paraId="71B5DBC6" w14:textId="77777777" w:rsidR="002E1836" w:rsidRDefault="002E1836" w:rsidP="007A09AD">
      <w:pPr>
        <w:pStyle w:val="ListParagraph"/>
        <w:numPr>
          <w:ilvl w:val="0"/>
          <w:numId w:val="8"/>
        </w:numPr>
        <w:spacing w:before="120"/>
        <w:rPr>
          <w:lang w:val="en-US"/>
        </w:rPr>
      </w:pPr>
      <w:r w:rsidRPr="001C3654">
        <w:rPr>
          <w:lang w:val="en-US"/>
        </w:rPr>
        <w:t xml:space="preserve">Transparency Vanuatu’s work on the Rights to Information Bill endorsed and enacted by the Government of Vanuatu; and </w:t>
      </w:r>
    </w:p>
    <w:p w14:paraId="68BD23F7" w14:textId="77777777" w:rsidR="007A09AD" w:rsidRPr="001C3654" w:rsidRDefault="002E1836" w:rsidP="001C3654">
      <w:pPr>
        <w:pStyle w:val="ListParagraph"/>
        <w:numPr>
          <w:ilvl w:val="0"/>
          <w:numId w:val="8"/>
        </w:numPr>
        <w:spacing w:before="120"/>
        <w:rPr>
          <w:lang w:val="en-US"/>
        </w:rPr>
      </w:pPr>
      <w:r>
        <w:rPr>
          <w:lang w:val="en-US"/>
        </w:rPr>
        <w:t>T</w:t>
      </w:r>
      <w:r w:rsidRPr="001C3654">
        <w:rPr>
          <w:lang w:val="en-US"/>
        </w:rPr>
        <w:t>he Tonga Women in Leadership Coalition’s support to the 1st female Town Officer and 1st female District Officer</w:t>
      </w:r>
      <w:r>
        <w:rPr>
          <w:lang w:val="en-US"/>
        </w:rPr>
        <w:t>.</w:t>
      </w:r>
      <w:r w:rsidRPr="00450B25">
        <w:rPr>
          <w:sz w:val="18"/>
          <w:szCs w:val="18"/>
        </w:rPr>
        <w:t xml:space="preserve"> </w:t>
      </w:r>
    </w:p>
    <w:p w14:paraId="3B19AE0C" w14:textId="77777777" w:rsidR="007A09AD" w:rsidRPr="00255C32" w:rsidRDefault="007A09AD" w:rsidP="007A09AD">
      <w:pPr>
        <w:spacing w:before="120"/>
        <w:rPr>
          <w:lang w:val="en-US"/>
        </w:rPr>
      </w:pPr>
      <w:r w:rsidRPr="001C3654">
        <w:rPr>
          <w:lang w:val="en-US"/>
        </w:rPr>
        <w:t>In addition to these, other PLP</w:t>
      </w:r>
      <w:r w:rsidR="002934EB" w:rsidRPr="001C3654">
        <w:rPr>
          <w:lang w:val="en-US"/>
        </w:rPr>
        <w:t>3</w:t>
      </w:r>
      <w:r w:rsidRPr="001C3654">
        <w:rPr>
          <w:lang w:val="en-US"/>
        </w:rPr>
        <w:t xml:space="preserve"> activities demonstrate potential for replication.  For example, the provincial government in Solomon Islands' Western Province is actively considering how the achievements of Simbo for Change might be replicated elsewhere</w:t>
      </w:r>
      <w:r w:rsidR="002277AF" w:rsidRPr="002277AF">
        <w:rPr>
          <w:lang w:val="en-US"/>
        </w:rPr>
        <w:t xml:space="preserve">; and the TNLDF is working with the Tongan Ministry of Internal Affairs on local </w:t>
      </w:r>
      <w:r w:rsidR="002277AF" w:rsidRPr="00255C32">
        <w:rPr>
          <w:lang w:val="en-US"/>
        </w:rPr>
        <w:t xml:space="preserve">governance </w:t>
      </w:r>
      <w:r w:rsidR="002277AF" w:rsidRPr="00255C32">
        <w:rPr>
          <w:rFonts w:cstheme="minorHAnsi"/>
        </w:rPr>
        <w:t>reforms based on its initial work in Ha’apai.</w:t>
      </w:r>
    </w:p>
    <w:p w14:paraId="6336CABD" w14:textId="77777777" w:rsidR="00997223" w:rsidRDefault="00C66AA3" w:rsidP="007A09AD">
      <w:pPr>
        <w:spacing w:before="120"/>
        <w:rPr>
          <w:sz w:val="24"/>
          <w:szCs w:val="24"/>
          <w:lang w:val="en-US"/>
        </w:rPr>
      </w:pPr>
      <w:r w:rsidRPr="001C3654">
        <w:rPr>
          <w:noProof/>
          <w:lang w:eastAsia="en-AU"/>
        </w:rPr>
        <mc:AlternateContent>
          <mc:Choice Requires="wps">
            <w:drawing>
              <wp:anchor distT="0" distB="0" distL="114300" distR="114300" simplePos="0" relativeHeight="251673600" behindDoc="0" locked="0" layoutInCell="1" allowOverlap="1" wp14:anchorId="415C6610" wp14:editId="10C44257">
                <wp:simplePos x="0" y="0"/>
                <wp:positionH relativeFrom="column">
                  <wp:posOffset>-180975</wp:posOffset>
                </wp:positionH>
                <wp:positionV relativeFrom="paragraph">
                  <wp:posOffset>271145</wp:posOffset>
                </wp:positionV>
                <wp:extent cx="5829935" cy="4003040"/>
                <wp:effectExtent l="0" t="0" r="37465" b="35560"/>
                <wp:wrapSquare wrapText="bothSides"/>
                <wp:docPr id="16" name="Text Box 16"/>
                <wp:cNvGraphicFramePr/>
                <a:graphic xmlns:a="http://schemas.openxmlformats.org/drawingml/2006/main">
                  <a:graphicData uri="http://schemas.microsoft.com/office/word/2010/wordprocessingShape">
                    <wps:wsp>
                      <wps:cNvSpPr txBox="1"/>
                      <wps:spPr>
                        <a:xfrm>
                          <a:off x="0" y="0"/>
                          <a:ext cx="5829935" cy="4003040"/>
                        </a:xfrm>
                        <a:prstGeom prst="rect">
                          <a:avLst/>
                        </a:prstGeom>
                        <a:solidFill>
                          <a:schemeClr val="accent1">
                            <a:lumMod val="20000"/>
                            <a:lumOff val="80000"/>
                          </a:schemeClr>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id="8">
                        <w:txbxContent>
                          <w:p w14:paraId="4B7AC1AD" w14:textId="77777777" w:rsidR="002E0AD1" w:rsidRPr="001C3654" w:rsidRDefault="002E0AD1" w:rsidP="00A64C2E">
                            <w:pPr>
                              <w:shd w:val="clear" w:color="auto" w:fill="DBE5F1" w:themeFill="accent1" w:themeFillTint="33"/>
                              <w:spacing w:before="120"/>
                              <w:rPr>
                                <w:b/>
                                <w:i/>
                                <w:color w:val="1F497D" w:themeColor="text2"/>
                                <w:sz w:val="28"/>
                                <w:szCs w:val="28"/>
                              </w:rPr>
                            </w:pPr>
                            <w:r w:rsidRPr="001C3654">
                              <w:rPr>
                                <w:b/>
                                <w:color w:val="1F497D" w:themeColor="text2"/>
                                <w:sz w:val="28"/>
                                <w:szCs w:val="28"/>
                              </w:rPr>
                              <w:t>Women in Shared Decision Making</w:t>
                            </w:r>
                            <w:r>
                              <w:rPr>
                                <w:b/>
                                <w:color w:val="1F497D" w:themeColor="text2"/>
                                <w:sz w:val="28"/>
                                <w:szCs w:val="28"/>
                              </w:rPr>
                              <w:t xml:space="preserve"> (WISDM)</w:t>
                            </w:r>
                          </w:p>
                          <w:p w14:paraId="3F64DB72" w14:textId="77777777" w:rsidR="002E0AD1" w:rsidRPr="001C3654" w:rsidRDefault="002E0AD1" w:rsidP="00A64C2E">
                            <w:pPr>
                              <w:shd w:val="clear" w:color="auto" w:fill="DBE5F1" w:themeFill="accent1" w:themeFillTint="33"/>
                              <w:spacing w:before="120"/>
                              <w:rPr>
                                <w:i/>
                                <w:color w:val="1F497D" w:themeColor="text2"/>
                                <w:sz w:val="24"/>
                                <w:szCs w:val="24"/>
                              </w:rPr>
                            </w:pPr>
                            <w:r w:rsidRPr="001C3654">
                              <w:rPr>
                                <w:i/>
                                <w:color w:val="1F497D" w:themeColor="text2"/>
                                <w:sz w:val="24"/>
                                <w:szCs w:val="24"/>
                              </w:rPr>
                              <w:t>Introducing reserved seats for women in municipal councils in Vanuatu</w:t>
                            </w:r>
                          </w:p>
                          <w:p w14:paraId="1B4376D6" w14:textId="77777777" w:rsidR="002E0AD1" w:rsidRPr="001C3654" w:rsidRDefault="002E0AD1" w:rsidP="00A64C2E">
                            <w:pPr>
                              <w:pStyle w:val="Pa3"/>
                              <w:shd w:val="clear" w:color="auto" w:fill="DBE5F1" w:themeFill="accent1" w:themeFillTint="33"/>
                              <w:spacing w:before="120" w:after="120" w:line="240" w:lineRule="auto"/>
                              <w:rPr>
                                <w:rFonts w:asciiTheme="minorHAnsi" w:hAnsiTheme="minorHAnsi"/>
                                <w:color w:val="1F497D" w:themeColor="text2"/>
                                <w:sz w:val="22"/>
                                <w:szCs w:val="22"/>
                              </w:rPr>
                            </w:pPr>
                            <w:r w:rsidRPr="001C3654">
                              <w:rPr>
                                <w:rFonts w:asciiTheme="minorHAnsi" w:hAnsiTheme="minorHAnsi"/>
                                <w:color w:val="1F497D" w:themeColor="text2"/>
                                <w:sz w:val="22"/>
                                <w:szCs w:val="22"/>
                              </w:rPr>
                              <w:t xml:space="preserve">WISDM refers to the </w:t>
                            </w:r>
                            <w:r w:rsidRPr="001C3654">
                              <w:rPr>
                                <w:rFonts w:asciiTheme="minorHAnsi" w:hAnsiTheme="minorHAnsi"/>
                                <w:i/>
                                <w:color w:val="1F497D" w:themeColor="text2"/>
                                <w:sz w:val="22"/>
                                <w:szCs w:val="22"/>
                              </w:rPr>
                              <w:t>Women in Shared Decision Making</w:t>
                            </w:r>
                            <w:r w:rsidRPr="001C3654">
                              <w:rPr>
                                <w:rFonts w:asciiTheme="minorHAnsi" w:hAnsiTheme="minorHAnsi"/>
                                <w:color w:val="1F497D" w:themeColor="text2"/>
                                <w:sz w:val="22"/>
                                <w:szCs w:val="22"/>
                              </w:rPr>
                              <w:t xml:space="preserve"> coalition, which has been successful in introducing reserved seats for women in municipal councils in Vanuatu.</w:t>
                            </w:r>
                            <w:r w:rsidRPr="00DB191B">
                              <w:rPr>
                                <w:rFonts w:asciiTheme="minorHAnsi" w:hAnsiTheme="minorHAnsi"/>
                                <w:color w:val="1F497D" w:themeColor="text2"/>
                                <w:sz w:val="22"/>
                                <w:szCs w:val="22"/>
                                <w:vertAlign w:val="superscript"/>
                              </w:rPr>
                              <w:t>H</w:t>
                            </w:r>
                            <w:r w:rsidRPr="001C3654">
                              <w:rPr>
                                <w:rFonts w:asciiTheme="minorHAnsi" w:hAnsiTheme="minorHAnsi"/>
                                <w:color w:val="1F497D" w:themeColor="text2"/>
                                <w:sz w:val="22"/>
                                <w:szCs w:val="22"/>
                              </w:rPr>
                              <w:t xml:space="preserve"> WISDM was established by the Department of Women’s Affairs (DWA) in 2010. The Pacific Leadership Program has been providing support to DWA/WISDM since 2012. </w:t>
                            </w:r>
                          </w:p>
                          <w:p w14:paraId="0632C218" w14:textId="77777777" w:rsidR="002E0AD1" w:rsidRPr="001C3654" w:rsidRDefault="002E0AD1" w:rsidP="00A64C2E">
                            <w:pPr>
                              <w:pStyle w:val="Pa3"/>
                              <w:shd w:val="clear" w:color="auto" w:fill="DBE5F1" w:themeFill="accent1" w:themeFillTint="33"/>
                              <w:spacing w:before="120" w:after="120" w:line="240" w:lineRule="auto"/>
                              <w:rPr>
                                <w:rFonts w:asciiTheme="minorHAnsi" w:hAnsiTheme="minorHAnsi" w:cs="Whitney Book"/>
                                <w:color w:val="1F497D" w:themeColor="text2"/>
                                <w:sz w:val="22"/>
                                <w:szCs w:val="22"/>
                              </w:rPr>
                            </w:pPr>
                            <w:r w:rsidRPr="001C3654">
                              <w:rPr>
                                <w:rFonts w:asciiTheme="minorHAnsi" w:hAnsiTheme="minorHAnsi"/>
                                <w:color w:val="1F497D" w:themeColor="text2"/>
                                <w:sz w:val="22"/>
                                <w:szCs w:val="22"/>
                              </w:rPr>
                              <w:t xml:space="preserve">WISDM’s membership includes </w:t>
                            </w:r>
                            <w:r w:rsidRPr="001C3654">
                              <w:rPr>
                                <w:rFonts w:asciiTheme="minorHAnsi" w:hAnsiTheme="minorHAnsi" w:cs="Whitney Book"/>
                                <w:color w:val="1F497D" w:themeColor="text2"/>
                                <w:sz w:val="22"/>
                                <w:szCs w:val="22"/>
                              </w:rPr>
                              <w:t xml:space="preserve">representatives of government, chiefs, churches and non-governmental organisations. Within this broad coalition, a smaller group, known as the TSM Taskforce, was formed by the head of the DWA, Ms Dorosday Kenneth-Watson. This smaller group was made up of senior public servants and politicians and became the core group to progress the issue of </w:t>
                            </w:r>
                            <w:r w:rsidRPr="001C3654">
                              <w:rPr>
                                <w:rFonts w:asciiTheme="minorHAnsi" w:hAnsiTheme="minorHAnsi"/>
                                <w:color w:val="1F497D" w:themeColor="text2"/>
                                <w:sz w:val="22"/>
                                <w:szCs w:val="22"/>
                              </w:rPr>
                              <w:t>Temporary Special Measures (TSMs)</w:t>
                            </w:r>
                            <w:r w:rsidRPr="001C3654">
                              <w:rPr>
                                <w:rFonts w:asciiTheme="minorHAnsi" w:hAnsiTheme="minorHAnsi" w:cs="Whitney Book"/>
                                <w:color w:val="1F497D" w:themeColor="text2"/>
                                <w:sz w:val="22"/>
                                <w:szCs w:val="22"/>
                              </w:rPr>
                              <w:t>.</w:t>
                            </w:r>
                            <w:r w:rsidRPr="00DB191B">
                              <w:rPr>
                                <w:rFonts w:asciiTheme="minorHAnsi" w:hAnsiTheme="minorHAnsi" w:cs="Whitney Book"/>
                                <w:color w:val="1F497D" w:themeColor="text2"/>
                                <w:sz w:val="22"/>
                                <w:szCs w:val="22"/>
                                <w:vertAlign w:val="superscript"/>
                              </w:rPr>
                              <w:t>I</w:t>
                            </w:r>
                          </w:p>
                          <w:p w14:paraId="644CB7BB" w14:textId="77777777" w:rsidR="002E0AD1" w:rsidRPr="001C3654" w:rsidRDefault="002E0AD1" w:rsidP="00A64C2E">
                            <w:pPr>
                              <w:shd w:val="clear" w:color="auto" w:fill="DBE5F1" w:themeFill="accent1" w:themeFillTint="33"/>
                              <w:spacing w:before="120"/>
                              <w:rPr>
                                <w:color w:val="1F497D" w:themeColor="text2"/>
                              </w:rPr>
                            </w:pPr>
                            <w:r w:rsidRPr="001C3654">
                              <w:rPr>
                                <w:b/>
                                <w:color w:val="1F497D" w:themeColor="text2"/>
                              </w:rPr>
                              <w:t>TSMs are a significant reform within Vanuatu and the broader Pacific region where women are poorly represented in government</w:t>
                            </w:r>
                            <w:r w:rsidRPr="001C3654">
                              <w:rPr>
                                <w:color w:val="1F497D" w:themeColor="text2"/>
                              </w:rPr>
                              <w:t>. WISDM is widely seen as an example of a locally-led coalition achieving a successful (even transformational) reform which has been carefully supported by a donor program.</w:t>
                            </w:r>
                            <w:r w:rsidRPr="00C65F45">
                              <w:rPr>
                                <w:color w:val="1F497D" w:themeColor="text2"/>
                                <w:vertAlign w:val="superscript"/>
                              </w:rPr>
                              <w:t>J</w:t>
                            </w:r>
                          </w:p>
                          <w:p w14:paraId="6E3176CB" w14:textId="77777777" w:rsidR="002E0AD1" w:rsidRPr="00305E41" w:rsidRDefault="002E0AD1" w:rsidP="00305E41">
                            <w:pPr>
                              <w:pStyle w:val="Pa3"/>
                              <w:shd w:val="clear" w:color="auto" w:fill="DBE5F1" w:themeFill="accent1" w:themeFillTint="33"/>
                              <w:spacing w:before="120" w:after="120" w:line="240" w:lineRule="auto"/>
                              <w:rPr>
                                <w:rFonts w:asciiTheme="minorHAnsi" w:hAnsiTheme="minorHAnsi"/>
                                <w:color w:val="1F497D" w:themeColor="text2"/>
                              </w:rPr>
                            </w:pPr>
                            <w:r w:rsidRPr="001C3654">
                              <w:rPr>
                                <w:rFonts w:asciiTheme="minorHAnsi" w:hAnsiTheme="minorHAnsi"/>
                                <w:color w:val="1F497D" w:themeColor="text2"/>
                                <w:sz w:val="22"/>
                                <w:szCs w:val="22"/>
                              </w:rPr>
                              <w:t xml:space="preserve">PLP’s support to WISDM has been modest and included operational funding for the DWA, adaptive leadership training and mentorship, and a program of ongoing action research. </w:t>
                            </w:r>
                          </w:p>
                          <w:p w14:paraId="7AA73F3B" w14:textId="77777777" w:rsidR="002E0AD1" w:rsidRPr="001C3654" w:rsidRDefault="002E0AD1" w:rsidP="00305E41">
                            <w:pPr>
                              <w:shd w:val="clear" w:color="auto" w:fill="DBE5F1" w:themeFill="accent1" w:themeFillTint="33"/>
                              <w:spacing w:before="120"/>
                              <w:ind w:firstLine="720"/>
                              <w:jc w:val="center"/>
                              <w:rPr>
                                <w:color w:val="1F497D" w:themeColor="text2"/>
                              </w:rPr>
                            </w:pPr>
                            <w:r w:rsidRPr="00FB0282">
                              <w:rPr>
                                <w:i/>
                                <w:color w:val="1F497D" w:themeColor="text2"/>
                              </w:rPr>
                              <w:t>“PLP’s modest support has been highly effective at providing resources that have been a catalyst for mobilizing an effective reform coalition.”</w:t>
                            </w:r>
                            <w:r w:rsidRPr="00C65F45">
                              <w:rPr>
                                <w:color w:val="1F497D" w:themeColor="text2"/>
                                <w:vertAlign w:val="superscript"/>
                              </w:rPr>
                              <w:t>K</w:t>
                            </w:r>
                          </w:p>
                          <w:p w14:paraId="7D31B370" w14:textId="77777777" w:rsidR="002E0AD1" w:rsidRPr="00A34D4A" w:rsidRDefault="002E0AD1" w:rsidP="00A64C2E">
                            <w:pPr>
                              <w:pStyle w:val="Pa3"/>
                              <w:shd w:val="clear" w:color="auto" w:fill="DBE5F1" w:themeFill="accent1" w:themeFillTint="33"/>
                              <w:spacing w:before="120" w:after="120" w:line="240" w:lineRule="auto"/>
                              <w:rPr>
                                <w:rFonts w:asciiTheme="minorHAnsi" w:hAnsiTheme="minorHAnsi"/>
                                <w:color w:val="1F497D" w:themeColor="text2"/>
                                <w:sz w:val="22"/>
                                <w:szCs w:val="22"/>
                              </w:rPr>
                            </w:pPr>
                            <w:r w:rsidRPr="00A34D4A">
                              <w:rPr>
                                <w:rFonts w:asciiTheme="minorHAnsi" w:hAnsiTheme="minorHAnsi" w:cs="Whitney Book"/>
                                <w:color w:val="1F497D" w:themeColor="text2"/>
                                <w:sz w:val="22"/>
                                <w:szCs w:val="22"/>
                              </w:rPr>
                              <w:t>PLP3’s support for the action research has helped DWA/WISDM Coalition to document and analyse lessons learned from its experience with TSM.</w:t>
                            </w:r>
                            <w:r w:rsidRPr="00A34D4A">
                              <w:rPr>
                                <w:rFonts w:asciiTheme="minorHAnsi" w:hAnsiTheme="minorHAnsi" w:cs="Whitney Book"/>
                                <w:color w:val="1F497D" w:themeColor="text2"/>
                                <w:sz w:val="22"/>
                                <w:szCs w:val="22"/>
                                <w:vertAlign w:val="superscript"/>
                              </w:rPr>
                              <w:t>L</w:t>
                            </w:r>
                            <w:r w:rsidRPr="00A34D4A">
                              <w:rPr>
                                <w:rFonts w:asciiTheme="minorHAnsi" w:hAnsiTheme="minorHAnsi" w:cs="Whitney Book"/>
                                <w:color w:val="1F497D" w:themeColor="text2"/>
                                <w:sz w:val="22"/>
                                <w:szCs w:val="22"/>
                              </w:rPr>
                              <w:t xml:space="preserve"> </w:t>
                            </w:r>
                            <w:r w:rsidRPr="00A34D4A">
                              <w:rPr>
                                <w:rFonts w:asciiTheme="minorHAnsi" w:hAnsiTheme="minorHAnsi"/>
                                <w:color w:val="1F497D" w:themeColor="text2"/>
                                <w:sz w:val="22"/>
                                <w:szCs w:val="22"/>
                              </w:rPr>
                              <w:t xml:space="preserve">This action research identifies </w:t>
                            </w:r>
                            <w:r w:rsidRPr="00A34D4A">
                              <w:rPr>
                                <w:rFonts w:asciiTheme="minorHAnsi" w:hAnsiTheme="minorHAnsi"/>
                                <w:b/>
                                <w:color w:val="1F497D" w:themeColor="text2"/>
                                <w:sz w:val="22"/>
                                <w:szCs w:val="22"/>
                              </w:rPr>
                              <w:t>two key lessons for donors</w:t>
                            </w:r>
                            <w:r w:rsidRPr="00A34D4A">
                              <w:rPr>
                                <w:rFonts w:asciiTheme="minorHAnsi" w:hAnsiTheme="minorHAnsi"/>
                                <w:color w:val="1F497D" w:themeColor="text2"/>
                                <w:sz w:val="22"/>
                                <w:szCs w:val="22"/>
                              </w:rPr>
                              <w:t xml:space="preserve">: </w:t>
                            </w:r>
                          </w:p>
                          <w:p w14:paraId="76BDDD60" w14:textId="77777777" w:rsidR="002E0AD1" w:rsidRPr="00A34D4A" w:rsidRDefault="002E0AD1" w:rsidP="00A64C2E">
                            <w:pPr>
                              <w:pStyle w:val="ListParagraph"/>
                              <w:numPr>
                                <w:ilvl w:val="0"/>
                                <w:numId w:val="38"/>
                              </w:numPr>
                              <w:shd w:val="clear" w:color="auto" w:fill="DBE5F1" w:themeFill="accent1" w:themeFillTint="33"/>
                              <w:spacing w:before="120"/>
                              <w:rPr>
                                <w:color w:val="1F497D" w:themeColor="text2"/>
                              </w:rPr>
                            </w:pPr>
                            <w:r w:rsidRPr="00A34D4A">
                              <w:rPr>
                                <w:b/>
                                <w:color w:val="1F497D" w:themeColor="text2"/>
                              </w:rPr>
                              <w:t xml:space="preserve">Allow local actors to take the lead: </w:t>
                            </w:r>
                            <w:r w:rsidRPr="00A34D4A">
                              <w:rPr>
                                <w:color w:val="1F497D" w:themeColor="text2"/>
                              </w:rPr>
                              <w:t>noting that,</w:t>
                            </w:r>
                            <w:r w:rsidRPr="00A34D4A">
                              <w:rPr>
                                <w:b/>
                                <w:color w:val="1F497D" w:themeColor="text2"/>
                              </w:rPr>
                              <w:t xml:space="preserve"> </w:t>
                            </w:r>
                            <w:r w:rsidRPr="00A34D4A">
                              <w:rPr>
                                <w:color w:val="1F497D" w:themeColor="text2"/>
                              </w:rPr>
                              <w:t>“</w:t>
                            </w:r>
                            <w:r w:rsidRPr="00A34D4A">
                              <w:rPr>
                                <w:i/>
                                <w:color w:val="1F497D" w:themeColor="text2"/>
                              </w:rPr>
                              <w:t>by allowing Kenneth-Watson and others to take the lead in determining the constitution of WISDM and the TSM Taskforce, PLP showed itself to be astute and flexible.</w:t>
                            </w:r>
                            <w:r w:rsidRPr="00A34D4A">
                              <w:rPr>
                                <w:color w:val="1F497D" w:themeColor="text2"/>
                              </w:rPr>
                              <w:t>”</w:t>
                            </w:r>
                          </w:p>
                          <w:p w14:paraId="6CE2984B" w14:textId="77777777" w:rsidR="002E0AD1" w:rsidRPr="00A34D4A" w:rsidRDefault="002E0AD1" w:rsidP="00A64C2E">
                            <w:pPr>
                              <w:pStyle w:val="ListParagraph"/>
                              <w:numPr>
                                <w:ilvl w:val="0"/>
                                <w:numId w:val="38"/>
                              </w:numPr>
                              <w:shd w:val="clear" w:color="auto" w:fill="DBE5F1" w:themeFill="accent1" w:themeFillTint="33"/>
                              <w:spacing w:before="120"/>
                              <w:rPr>
                                <w:color w:val="1F497D" w:themeColor="text2"/>
                              </w:rPr>
                            </w:pPr>
                            <w:r w:rsidRPr="00A34D4A">
                              <w:rPr>
                                <w:b/>
                                <w:color w:val="1F497D" w:themeColor="text2"/>
                              </w:rPr>
                              <w:t xml:space="preserve">Provide valuable space for the development of reform coalitions: </w:t>
                            </w:r>
                            <w:r w:rsidRPr="00A34D4A">
                              <w:rPr>
                                <w:color w:val="1F497D" w:themeColor="text2"/>
                              </w:rPr>
                              <w:t>noting that,</w:t>
                            </w:r>
                            <w:r w:rsidRPr="00A34D4A">
                              <w:rPr>
                                <w:b/>
                                <w:color w:val="1F497D" w:themeColor="text2"/>
                              </w:rPr>
                              <w:t xml:space="preserve"> </w:t>
                            </w:r>
                            <w:r w:rsidRPr="00A34D4A">
                              <w:rPr>
                                <w:color w:val="1F497D" w:themeColor="text2"/>
                              </w:rPr>
                              <w:t>“</w:t>
                            </w:r>
                            <w:r w:rsidRPr="00A34D4A">
                              <w:rPr>
                                <w:i/>
                                <w:color w:val="1F497D" w:themeColor="text2"/>
                              </w:rPr>
                              <w:t xml:space="preserve">Much of the value of the PLP contribution to WISDM was in providing conceptual “space” (and time) for leaders to think and build consensus….The </w:t>
                            </w:r>
                            <w:r w:rsidRPr="00A34D4A">
                              <w:rPr>
                                <w:b/>
                                <w:i/>
                                <w:color w:val="1F497D" w:themeColor="text2"/>
                              </w:rPr>
                              <w:t>adaptive leadership workshops</w:t>
                            </w:r>
                            <w:r w:rsidRPr="00A34D4A">
                              <w:rPr>
                                <w:i/>
                                <w:color w:val="1F497D" w:themeColor="text2"/>
                              </w:rPr>
                              <w:t xml:space="preserve"> were seen by key participants as formative events in the development of their coalition because they allowed space for the refining of strategies that ultimately were successful in progressing legislation through parliament.”</w:t>
                            </w:r>
                            <w:r w:rsidRPr="00A34D4A">
                              <w:rPr>
                                <w:color w:val="1F497D" w:themeColor="text2"/>
                              </w:rPr>
                              <w:t xml:space="preserve"> </w:t>
                            </w:r>
                          </w:p>
                          <w:p w14:paraId="4BF96F27" w14:textId="77777777" w:rsidR="002E0AD1" w:rsidRPr="00A34D4A" w:rsidRDefault="002E0AD1" w:rsidP="00C65F45">
                            <w:pPr>
                              <w:pStyle w:val="Pa3"/>
                              <w:shd w:val="clear" w:color="auto" w:fill="DBE5F1" w:themeFill="accent1" w:themeFillTint="33"/>
                              <w:spacing w:before="120" w:after="120" w:line="240" w:lineRule="auto"/>
                              <w:rPr>
                                <w:rFonts w:asciiTheme="minorHAnsi" w:hAnsiTheme="minorHAnsi"/>
                                <w:color w:val="1F497D" w:themeColor="text2"/>
                                <w:sz w:val="22"/>
                                <w:szCs w:val="22"/>
                              </w:rPr>
                            </w:pPr>
                            <w:r w:rsidRPr="00A34D4A">
                              <w:rPr>
                                <w:rFonts w:asciiTheme="minorHAnsi" w:hAnsiTheme="minorHAnsi"/>
                                <w:color w:val="1F497D" w:themeColor="text2"/>
                                <w:sz w:val="22"/>
                                <w:szCs w:val="22"/>
                              </w:rPr>
                              <w:t xml:space="preserve">For further information on WISDM refer to: </w:t>
                            </w:r>
                            <w:r w:rsidRPr="00A34D4A">
                              <w:rPr>
                                <w:rFonts w:asciiTheme="minorHAnsi" w:hAnsiTheme="minorHAnsi" w:cs="Arial"/>
                                <w:i/>
                                <w:color w:val="1F497D" w:themeColor="text2"/>
                                <w:sz w:val="22"/>
                                <w:szCs w:val="22"/>
                              </w:rPr>
                              <w:t>Supporting Coalition Based Reform in Vanuatu</w:t>
                            </w:r>
                            <w:r w:rsidRPr="00A34D4A">
                              <w:rPr>
                                <w:rFonts w:asciiTheme="minorHAnsi" w:hAnsiTheme="minorHAnsi" w:cs="Arial"/>
                                <w:color w:val="1F497D" w:themeColor="text2"/>
                                <w:sz w:val="22"/>
                                <w:szCs w:val="22"/>
                                <w:vertAlign w:val="superscript"/>
                              </w:rPr>
                              <w:t>M</w:t>
                            </w:r>
                            <w:r w:rsidRPr="00A34D4A">
                              <w:rPr>
                                <w:rFonts w:asciiTheme="minorHAnsi" w:hAnsiTheme="minorHAnsi" w:cs="Arial"/>
                                <w:color w:val="1F497D" w:themeColor="text2"/>
                                <w:sz w:val="22"/>
                                <w:szCs w:val="22"/>
                              </w:rPr>
                              <w:t>; and PLP Briefing Note</w:t>
                            </w:r>
                            <w:r w:rsidRPr="00A34D4A">
                              <w:rPr>
                                <w:rFonts w:asciiTheme="minorHAnsi" w:hAnsiTheme="minorHAnsi" w:cs="Arial"/>
                                <w:color w:val="1F497D" w:themeColor="text2"/>
                                <w:sz w:val="22"/>
                                <w:szCs w:val="22"/>
                                <w:vertAlign w:val="superscript"/>
                              </w:rPr>
                              <w:t>N</w:t>
                            </w:r>
                            <w:r w:rsidRPr="00A34D4A">
                              <w:rPr>
                                <w:rFonts w:asciiTheme="minorHAnsi" w:hAnsiTheme="minorHAnsi"/>
                                <w:color w:val="1F497D" w:themeColor="text2"/>
                                <w:sz w:val="22"/>
                                <w:szCs w:val="22"/>
                              </w:rPr>
                              <w:t>; and Case Study</w:t>
                            </w:r>
                            <w:r w:rsidRPr="00A34D4A">
                              <w:rPr>
                                <w:rFonts w:asciiTheme="minorHAnsi" w:hAnsiTheme="minorHAnsi"/>
                                <w:color w:val="1F497D" w:themeColor="text2"/>
                                <w:sz w:val="22"/>
                                <w:szCs w:val="22"/>
                                <w:vertAlign w:val="superscript"/>
                              </w:rPr>
                              <w:t>O</w:t>
                            </w:r>
                            <w:r w:rsidRPr="00A34D4A">
                              <w:rPr>
                                <w:rFonts w:asciiTheme="minorHAnsi" w:hAnsiTheme="minorHAnsi"/>
                                <w:color w:val="1F497D" w:themeColor="text2"/>
                                <w:sz w:val="22"/>
                                <w:szCs w:val="22"/>
                              </w:rPr>
                              <w:t>.</w:t>
                            </w:r>
                          </w:p>
                          <w:p w14:paraId="3B2A1963" w14:textId="77777777" w:rsidR="002E0AD1" w:rsidRPr="00A34D4A" w:rsidRDefault="002E0AD1" w:rsidP="00C65F45">
                            <w:pPr>
                              <w:pStyle w:val="Pa3"/>
                              <w:shd w:val="clear" w:color="auto" w:fill="DBE5F1" w:themeFill="accent1" w:themeFillTint="33"/>
                              <w:spacing w:line="240" w:lineRule="auto"/>
                              <w:rPr>
                                <w:rFonts w:asciiTheme="minorHAnsi" w:hAnsiTheme="minorHAnsi"/>
                                <w:color w:val="1F497D" w:themeColor="text2"/>
                                <w:sz w:val="18"/>
                                <w:szCs w:val="18"/>
                              </w:rPr>
                            </w:pPr>
                            <w:r w:rsidRPr="00A34D4A">
                              <w:rPr>
                                <w:rFonts w:asciiTheme="minorHAnsi" w:hAnsiTheme="minorHAnsi"/>
                                <w:color w:val="1F497D" w:themeColor="text2"/>
                                <w:sz w:val="18"/>
                                <w:szCs w:val="18"/>
                                <w:vertAlign w:val="superscript"/>
                              </w:rPr>
                              <w:t>H</w:t>
                            </w:r>
                            <w:r w:rsidRPr="00A34D4A">
                              <w:rPr>
                                <w:rFonts w:asciiTheme="minorHAnsi" w:hAnsiTheme="minorHAnsi"/>
                                <w:color w:val="1F497D" w:themeColor="text2"/>
                                <w:sz w:val="18"/>
                                <w:szCs w:val="18"/>
                              </w:rPr>
                              <w:t xml:space="preserve"> The 2013 and 2015 legislation for reserved seats for women contesting municipal elections in Vanuatu, requires that 30-34% of seats be set aside for women candidates for the next four electoral terms (16 years). (B Rousseau/La Trobe and D Kenneth Watson/ Vanuatu Dept of Women’s Affairs – June 2017)</w:t>
                            </w:r>
                          </w:p>
                          <w:p w14:paraId="591CCC38" w14:textId="77777777" w:rsidR="002E0AD1" w:rsidRPr="00A34D4A" w:rsidRDefault="002E0AD1" w:rsidP="00C65F45">
                            <w:pPr>
                              <w:pStyle w:val="Pa3"/>
                              <w:shd w:val="clear" w:color="auto" w:fill="DBE5F1" w:themeFill="accent1" w:themeFillTint="33"/>
                              <w:spacing w:line="240" w:lineRule="auto"/>
                              <w:rPr>
                                <w:rFonts w:asciiTheme="minorHAnsi" w:hAnsiTheme="minorHAnsi"/>
                                <w:color w:val="1F497D" w:themeColor="text2"/>
                                <w:sz w:val="18"/>
                                <w:szCs w:val="18"/>
                              </w:rPr>
                            </w:pPr>
                            <w:r w:rsidRPr="00A34D4A">
                              <w:rPr>
                                <w:rFonts w:asciiTheme="minorHAnsi" w:hAnsiTheme="minorHAnsi"/>
                                <w:color w:val="1F497D" w:themeColor="text2"/>
                                <w:sz w:val="18"/>
                                <w:szCs w:val="18"/>
                                <w:vertAlign w:val="superscript"/>
                              </w:rPr>
                              <w:t>I</w:t>
                            </w:r>
                            <w:r w:rsidRPr="00A34D4A">
                              <w:rPr>
                                <w:rFonts w:asciiTheme="minorHAnsi" w:hAnsiTheme="minorHAnsi"/>
                                <w:color w:val="1F497D" w:themeColor="text2"/>
                                <w:sz w:val="18"/>
                                <w:szCs w:val="18"/>
                              </w:rPr>
                              <w:t xml:space="preserve"> Temporary special measures (TSMs) are an internationally recognised method for increasing the number of women in elected office.</w:t>
                            </w:r>
                          </w:p>
                          <w:p w14:paraId="40D377B4" w14:textId="77777777" w:rsidR="002E0AD1" w:rsidRPr="00A34D4A" w:rsidRDefault="002E0AD1" w:rsidP="00C65F45">
                            <w:pPr>
                              <w:pStyle w:val="Pa3"/>
                              <w:shd w:val="clear" w:color="auto" w:fill="DBE5F1" w:themeFill="accent1" w:themeFillTint="33"/>
                              <w:spacing w:line="240" w:lineRule="auto"/>
                              <w:rPr>
                                <w:rFonts w:asciiTheme="minorHAnsi" w:hAnsiTheme="minorHAnsi"/>
                                <w:color w:val="1F497D" w:themeColor="text2"/>
                                <w:sz w:val="18"/>
                                <w:szCs w:val="18"/>
                              </w:rPr>
                            </w:pPr>
                            <w:r w:rsidRPr="00A34D4A">
                              <w:rPr>
                                <w:rFonts w:asciiTheme="minorHAnsi" w:hAnsiTheme="minorHAnsi"/>
                                <w:color w:val="1F497D" w:themeColor="text2"/>
                                <w:sz w:val="18"/>
                                <w:szCs w:val="18"/>
                                <w:vertAlign w:val="superscript"/>
                              </w:rPr>
                              <w:t>J</w:t>
                            </w:r>
                            <w:r w:rsidRPr="00A34D4A">
                              <w:rPr>
                                <w:rFonts w:asciiTheme="minorHAnsi" w:hAnsiTheme="minorHAnsi"/>
                                <w:color w:val="1F497D" w:themeColor="text2"/>
                                <w:sz w:val="18"/>
                                <w:szCs w:val="18"/>
                              </w:rPr>
                              <w:t xml:space="preserve"> See papers by: Denney and McLaren (2016); and </w:t>
                            </w:r>
                            <w:r w:rsidRPr="00A34D4A">
                              <w:rPr>
                                <w:rFonts w:asciiTheme="minorHAnsi" w:hAnsiTheme="minorHAnsi"/>
                                <w:i/>
                                <w:color w:val="1F497D" w:themeColor="text2"/>
                                <w:sz w:val="18"/>
                                <w:szCs w:val="18"/>
                              </w:rPr>
                              <w:t>Supporting Coalition Based Reform in Vanuatu</w:t>
                            </w:r>
                            <w:r w:rsidRPr="00A34D4A">
                              <w:rPr>
                                <w:rFonts w:asciiTheme="minorHAnsi" w:hAnsiTheme="minorHAnsi"/>
                                <w:color w:val="1F497D" w:themeColor="text2"/>
                                <w:sz w:val="18"/>
                                <w:szCs w:val="18"/>
                              </w:rPr>
                              <w:t xml:space="preserve"> (B Rousseau/ La Trobe and D Kenneth Watson/ Vanuatu Dept of Women’s Affairs) – June 2017.</w:t>
                            </w:r>
                          </w:p>
                          <w:p w14:paraId="0BA41BCC" w14:textId="77777777" w:rsidR="002E0AD1" w:rsidRPr="00A34D4A" w:rsidRDefault="002E0AD1" w:rsidP="00C65F45">
                            <w:pPr>
                              <w:pStyle w:val="Pa3"/>
                              <w:shd w:val="clear" w:color="auto" w:fill="DBE5F1" w:themeFill="accent1" w:themeFillTint="33"/>
                              <w:spacing w:line="240" w:lineRule="auto"/>
                              <w:rPr>
                                <w:rFonts w:asciiTheme="minorHAnsi" w:hAnsiTheme="minorHAnsi"/>
                                <w:color w:val="1F497D" w:themeColor="text2"/>
                                <w:sz w:val="18"/>
                                <w:szCs w:val="18"/>
                              </w:rPr>
                            </w:pPr>
                            <w:r w:rsidRPr="00A34D4A">
                              <w:rPr>
                                <w:rFonts w:asciiTheme="minorHAnsi" w:hAnsiTheme="minorHAnsi"/>
                                <w:color w:val="1F497D" w:themeColor="text2"/>
                                <w:sz w:val="18"/>
                                <w:szCs w:val="18"/>
                                <w:vertAlign w:val="superscript"/>
                              </w:rPr>
                              <w:t>K</w:t>
                            </w:r>
                            <w:r w:rsidRPr="00A34D4A">
                              <w:rPr>
                                <w:rFonts w:asciiTheme="minorHAnsi" w:hAnsiTheme="minorHAnsi"/>
                                <w:color w:val="1F497D" w:themeColor="text2"/>
                                <w:sz w:val="18"/>
                                <w:szCs w:val="18"/>
                              </w:rPr>
                              <w:t xml:space="preserve"> </w:t>
                            </w:r>
                            <w:r w:rsidRPr="00A34D4A">
                              <w:rPr>
                                <w:rFonts w:asciiTheme="minorHAnsi" w:hAnsiTheme="minorHAnsi"/>
                                <w:i/>
                                <w:color w:val="1F497D" w:themeColor="text2"/>
                                <w:sz w:val="18"/>
                                <w:szCs w:val="18"/>
                              </w:rPr>
                              <w:t>Supporting Coalition Based Reform in Vanuatu</w:t>
                            </w:r>
                            <w:r w:rsidRPr="00A34D4A">
                              <w:rPr>
                                <w:rFonts w:asciiTheme="minorHAnsi" w:hAnsiTheme="minorHAnsi"/>
                                <w:color w:val="1F497D" w:themeColor="text2"/>
                                <w:sz w:val="18"/>
                                <w:szCs w:val="18"/>
                              </w:rPr>
                              <w:t xml:space="preserve"> (B Rousseau/La Trobe and D Kenneth Watson/Vanuatu Dept of Women’s Affairs)  (June 2017).</w:t>
                            </w:r>
                          </w:p>
                          <w:p w14:paraId="31CB07B3" w14:textId="77777777" w:rsidR="002E0AD1" w:rsidRPr="00A34D4A" w:rsidRDefault="002E0AD1" w:rsidP="00C65F45">
                            <w:pPr>
                              <w:pStyle w:val="Pa3"/>
                              <w:shd w:val="clear" w:color="auto" w:fill="DBE5F1" w:themeFill="accent1" w:themeFillTint="33"/>
                              <w:spacing w:line="240" w:lineRule="auto"/>
                              <w:rPr>
                                <w:rFonts w:asciiTheme="minorHAnsi" w:hAnsiTheme="minorHAnsi"/>
                                <w:color w:val="1F497D" w:themeColor="text2"/>
                                <w:sz w:val="18"/>
                                <w:szCs w:val="18"/>
                              </w:rPr>
                            </w:pPr>
                            <w:r w:rsidRPr="00A34D4A">
                              <w:rPr>
                                <w:rFonts w:asciiTheme="minorHAnsi" w:hAnsiTheme="minorHAnsi"/>
                                <w:color w:val="1F497D" w:themeColor="text2"/>
                                <w:sz w:val="18"/>
                                <w:szCs w:val="18"/>
                                <w:vertAlign w:val="superscript"/>
                              </w:rPr>
                              <w:t>L</w:t>
                            </w:r>
                            <w:r w:rsidRPr="00A34D4A">
                              <w:rPr>
                                <w:rFonts w:asciiTheme="minorHAnsi" w:hAnsiTheme="minorHAnsi"/>
                                <w:color w:val="1F497D" w:themeColor="text2"/>
                                <w:sz w:val="18"/>
                                <w:szCs w:val="18"/>
                              </w:rPr>
                              <w:t xml:space="preserve"> </w:t>
                            </w:r>
                            <w:r w:rsidRPr="00A34D4A">
                              <w:rPr>
                                <w:rFonts w:asciiTheme="minorHAnsi" w:hAnsiTheme="minorHAnsi"/>
                                <w:i/>
                                <w:color w:val="1F497D" w:themeColor="text2"/>
                                <w:sz w:val="18"/>
                                <w:szCs w:val="18"/>
                              </w:rPr>
                              <w:t>Supporting Coalition Based Reform in Vanuatu</w:t>
                            </w:r>
                            <w:r w:rsidRPr="00A34D4A">
                              <w:rPr>
                                <w:rFonts w:asciiTheme="minorHAnsi" w:hAnsiTheme="minorHAnsi"/>
                                <w:color w:val="1F497D" w:themeColor="text2"/>
                                <w:sz w:val="18"/>
                                <w:szCs w:val="18"/>
                              </w:rPr>
                              <w:t xml:space="preserve"> (B Rousseau/ La Trobe and D Kenneth Watson/ Vanuatu Dept of Women’s Affairs) – June 2017.</w:t>
                            </w:r>
                          </w:p>
                          <w:p w14:paraId="54F32668" w14:textId="77777777" w:rsidR="002E0AD1" w:rsidRPr="00A34D4A" w:rsidRDefault="002E0AD1" w:rsidP="00C65F45">
                            <w:pPr>
                              <w:pStyle w:val="Pa3"/>
                              <w:shd w:val="clear" w:color="auto" w:fill="DBE5F1" w:themeFill="accent1" w:themeFillTint="33"/>
                              <w:spacing w:line="240" w:lineRule="auto"/>
                              <w:rPr>
                                <w:rFonts w:asciiTheme="minorHAnsi" w:hAnsiTheme="minorHAnsi"/>
                                <w:color w:val="1F497D" w:themeColor="text2"/>
                                <w:sz w:val="18"/>
                                <w:szCs w:val="18"/>
                              </w:rPr>
                            </w:pPr>
                            <w:r w:rsidRPr="00A34D4A">
                              <w:rPr>
                                <w:rFonts w:asciiTheme="minorHAnsi" w:hAnsiTheme="minorHAnsi"/>
                                <w:color w:val="1F497D" w:themeColor="text2"/>
                                <w:sz w:val="18"/>
                                <w:szCs w:val="18"/>
                                <w:vertAlign w:val="superscript"/>
                              </w:rPr>
                              <w:t>M</w:t>
                            </w:r>
                            <w:r w:rsidRPr="00A34D4A">
                              <w:rPr>
                                <w:rFonts w:asciiTheme="minorHAnsi" w:hAnsiTheme="minorHAnsi"/>
                                <w:color w:val="1F497D" w:themeColor="text2"/>
                                <w:sz w:val="18"/>
                                <w:szCs w:val="18"/>
                              </w:rPr>
                              <w:t xml:space="preserve"> </w:t>
                            </w:r>
                            <w:r w:rsidRPr="00A34D4A">
                              <w:rPr>
                                <w:rFonts w:asciiTheme="minorHAnsi" w:hAnsiTheme="minorHAnsi" w:cs="Arial"/>
                                <w:color w:val="1F497D" w:themeColor="text2"/>
                                <w:sz w:val="18"/>
                                <w:szCs w:val="18"/>
                              </w:rPr>
                              <w:t>(B Rousseau/ La Trobe and D Kenneth Watson/ Vanuatu Dept of Women’s Affairs,  June 2017</w:t>
                            </w:r>
                          </w:p>
                          <w:p w14:paraId="0F154F75" w14:textId="77777777" w:rsidR="002E0AD1" w:rsidRPr="00A34D4A" w:rsidRDefault="002E0AD1" w:rsidP="00C65F45">
                            <w:pPr>
                              <w:pStyle w:val="Pa3"/>
                              <w:shd w:val="clear" w:color="auto" w:fill="DBE5F1" w:themeFill="accent1" w:themeFillTint="33"/>
                              <w:spacing w:line="240" w:lineRule="auto"/>
                              <w:rPr>
                                <w:rFonts w:asciiTheme="minorHAnsi" w:hAnsiTheme="minorHAnsi"/>
                                <w:color w:val="1F497D" w:themeColor="text2"/>
                                <w:sz w:val="18"/>
                                <w:szCs w:val="18"/>
                              </w:rPr>
                            </w:pPr>
                            <w:r w:rsidRPr="00A34D4A">
                              <w:rPr>
                                <w:rFonts w:asciiTheme="minorHAnsi" w:hAnsiTheme="minorHAnsi"/>
                                <w:color w:val="1F497D" w:themeColor="text2"/>
                                <w:sz w:val="18"/>
                                <w:szCs w:val="18"/>
                                <w:vertAlign w:val="superscript"/>
                              </w:rPr>
                              <w:t>N</w:t>
                            </w:r>
                            <w:r w:rsidRPr="00A34D4A">
                              <w:rPr>
                                <w:rFonts w:asciiTheme="minorHAnsi" w:hAnsiTheme="minorHAnsi"/>
                                <w:color w:val="1F497D" w:themeColor="text2"/>
                                <w:sz w:val="18"/>
                                <w:szCs w:val="18"/>
                              </w:rPr>
                              <w:t xml:space="preserve"> </w:t>
                            </w:r>
                            <w:r w:rsidRPr="00A34D4A">
                              <w:rPr>
                                <w:rFonts w:asciiTheme="minorHAnsi" w:hAnsiTheme="minorHAnsi"/>
                                <w:i/>
                                <w:color w:val="1F497D" w:themeColor="text2"/>
                                <w:sz w:val="18"/>
                                <w:szCs w:val="18"/>
                              </w:rPr>
                              <w:t>Analysis of Women Councillors’ experience in WISDM coalition activities in Vanuatu, Leaders and Coalitions</w:t>
                            </w:r>
                            <w:r w:rsidRPr="00A34D4A">
                              <w:rPr>
                                <w:rFonts w:asciiTheme="minorHAnsi" w:hAnsiTheme="minorHAnsi"/>
                                <w:color w:val="1F497D" w:themeColor="text2"/>
                                <w:sz w:val="18"/>
                                <w:szCs w:val="18"/>
                              </w:rPr>
                              <w:t xml:space="preserve"> (June 2016)</w:t>
                            </w:r>
                          </w:p>
                          <w:p w14:paraId="3F95EFA8" w14:textId="77777777" w:rsidR="002E0AD1" w:rsidRPr="00A34D4A" w:rsidRDefault="002E0AD1" w:rsidP="00C65F45">
                            <w:pPr>
                              <w:pStyle w:val="Pa3"/>
                              <w:shd w:val="clear" w:color="auto" w:fill="DBE5F1" w:themeFill="accent1" w:themeFillTint="33"/>
                              <w:spacing w:line="240" w:lineRule="auto"/>
                              <w:rPr>
                                <w:rFonts w:asciiTheme="minorHAnsi" w:hAnsiTheme="minorHAnsi"/>
                                <w:color w:val="DBE5F1" w:themeColor="accent1" w:themeTint="33"/>
                                <w:sz w:val="18"/>
                                <w:szCs w:val="18"/>
                              </w:rPr>
                            </w:pPr>
                            <w:r w:rsidRPr="00A34D4A">
                              <w:rPr>
                                <w:rFonts w:asciiTheme="minorHAnsi" w:hAnsiTheme="minorHAnsi"/>
                                <w:color w:val="1F497D" w:themeColor="text2"/>
                                <w:sz w:val="18"/>
                                <w:szCs w:val="18"/>
                                <w:vertAlign w:val="superscript"/>
                              </w:rPr>
                              <w:t>O</w:t>
                            </w:r>
                            <w:r w:rsidRPr="00A34D4A">
                              <w:rPr>
                                <w:rFonts w:asciiTheme="minorHAnsi" w:hAnsiTheme="minorHAnsi"/>
                                <w:color w:val="1F497D" w:themeColor="text2"/>
                                <w:sz w:val="18"/>
                                <w:szCs w:val="18"/>
                              </w:rPr>
                              <w:t xml:space="preserve"> </w:t>
                            </w:r>
                            <w:r w:rsidRPr="00A34D4A">
                              <w:rPr>
                                <w:rFonts w:asciiTheme="minorHAnsi" w:hAnsiTheme="minorHAnsi"/>
                                <w:i/>
                                <w:color w:val="1F497D" w:themeColor="text2"/>
                                <w:sz w:val="18"/>
                                <w:szCs w:val="18"/>
                              </w:rPr>
                              <w:t>Analysis of Women Councillors’ Experiences and WISDM Activities in Luganville and Port Vila</w:t>
                            </w:r>
                            <w:r w:rsidRPr="00A34D4A">
                              <w:rPr>
                                <w:rFonts w:asciiTheme="minorHAnsi" w:hAnsiTheme="minorHAnsi"/>
                                <w:color w:val="1F497D" w:themeColor="text2"/>
                                <w:sz w:val="18"/>
                                <w:szCs w:val="18"/>
                              </w:rPr>
                              <w:t xml:space="preserve"> (T Newton Cain, June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C6610" id="Text Box 16" o:spid="_x0000_s1033" type="#_x0000_t202" style="position:absolute;left:0;text-align:left;margin-left:-14.25pt;margin-top:21.35pt;width:459.05pt;height:31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" fillcolor="#dbe5f1 [660]" strokecolor="black [3213]">
                <v:textbox style="mso-next-textbox:#Text Box 6">
                  <w:txbxContent>
                    <w:p w14:paraId="4B7AC1AD" w14:textId="77777777" w:rsidR="002E0AD1" w:rsidRPr="001C3654" w:rsidRDefault="002E0AD1" w:rsidP="00A64C2E">
                      <w:pPr>
                        <w:shd w:val="clear" w:color="auto" w:fill="DBE5F1" w:themeFill="accent1" w:themeFillTint="33"/>
                        <w:spacing w:before="120"/>
                        <w:rPr>
                          <w:b/>
                          <w:i/>
                          <w:color w:val="1F497D" w:themeColor="text2"/>
                          <w:sz w:val="28"/>
                          <w:szCs w:val="28"/>
                        </w:rPr>
                      </w:pPr>
                      <w:r w:rsidRPr="001C3654">
                        <w:rPr>
                          <w:b/>
                          <w:color w:val="1F497D" w:themeColor="text2"/>
                          <w:sz w:val="28"/>
                          <w:szCs w:val="28"/>
                        </w:rPr>
                        <w:t>Women in Shared Decision Making</w:t>
                      </w:r>
                      <w:r>
                        <w:rPr>
                          <w:b/>
                          <w:color w:val="1F497D" w:themeColor="text2"/>
                          <w:sz w:val="28"/>
                          <w:szCs w:val="28"/>
                        </w:rPr>
                        <w:t xml:space="preserve"> (WISDM)</w:t>
                      </w:r>
                    </w:p>
                    <w:p w14:paraId="3F64DB72" w14:textId="77777777" w:rsidR="002E0AD1" w:rsidRPr="001C3654" w:rsidRDefault="002E0AD1" w:rsidP="00A64C2E">
                      <w:pPr>
                        <w:shd w:val="clear" w:color="auto" w:fill="DBE5F1" w:themeFill="accent1" w:themeFillTint="33"/>
                        <w:spacing w:before="120"/>
                        <w:rPr>
                          <w:i/>
                          <w:color w:val="1F497D" w:themeColor="text2"/>
                          <w:sz w:val="24"/>
                          <w:szCs w:val="24"/>
                        </w:rPr>
                      </w:pPr>
                      <w:r w:rsidRPr="001C3654">
                        <w:rPr>
                          <w:i/>
                          <w:color w:val="1F497D" w:themeColor="text2"/>
                          <w:sz w:val="24"/>
                          <w:szCs w:val="24"/>
                        </w:rPr>
                        <w:t>Introducing reserved seats for women in municipal councils in Vanuatu</w:t>
                      </w:r>
                    </w:p>
                    <w:p w14:paraId="1B4376D6" w14:textId="77777777" w:rsidR="002E0AD1" w:rsidRPr="001C3654" w:rsidRDefault="002E0AD1" w:rsidP="00A64C2E">
                      <w:pPr>
                        <w:pStyle w:val="Pa3"/>
                        <w:shd w:val="clear" w:color="auto" w:fill="DBE5F1" w:themeFill="accent1" w:themeFillTint="33"/>
                        <w:spacing w:before="120" w:after="120" w:line="240" w:lineRule="auto"/>
                        <w:rPr>
                          <w:rFonts w:asciiTheme="minorHAnsi" w:hAnsiTheme="minorHAnsi"/>
                          <w:color w:val="1F497D" w:themeColor="text2"/>
                          <w:sz w:val="22"/>
                          <w:szCs w:val="22"/>
                        </w:rPr>
                      </w:pPr>
                      <w:r w:rsidRPr="001C3654">
                        <w:rPr>
                          <w:rFonts w:asciiTheme="minorHAnsi" w:hAnsiTheme="minorHAnsi"/>
                          <w:color w:val="1F497D" w:themeColor="text2"/>
                          <w:sz w:val="22"/>
                          <w:szCs w:val="22"/>
                        </w:rPr>
                        <w:t xml:space="preserve">WISDM refers to the </w:t>
                      </w:r>
                      <w:r w:rsidRPr="001C3654">
                        <w:rPr>
                          <w:rFonts w:asciiTheme="minorHAnsi" w:hAnsiTheme="minorHAnsi"/>
                          <w:i/>
                          <w:color w:val="1F497D" w:themeColor="text2"/>
                          <w:sz w:val="22"/>
                          <w:szCs w:val="22"/>
                        </w:rPr>
                        <w:t>Women in Shared Decision Making</w:t>
                      </w:r>
                      <w:r w:rsidRPr="001C3654">
                        <w:rPr>
                          <w:rFonts w:asciiTheme="minorHAnsi" w:hAnsiTheme="minorHAnsi"/>
                          <w:color w:val="1F497D" w:themeColor="text2"/>
                          <w:sz w:val="22"/>
                          <w:szCs w:val="22"/>
                        </w:rPr>
                        <w:t xml:space="preserve"> coalition, which has been successful in introducing reserved seats for women in municipal councils in Vanuatu.</w:t>
                      </w:r>
                      <w:r w:rsidRPr="00DB191B">
                        <w:rPr>
                          <w:rFonts w:asciiTheme="minorHAnsi" w:hAnsiTheme="minorHAnsi"/>
                          <w:color w:val="1F497D" w:themeColor="text2"/>
                          <w:sz w:val="22"/>
                          <w:szCs w:val="22"/>
                          <w:vertAlign w:val="superscript"/>
                        </w:rPr>
                        <w:t>H</w:t>
                      </w:r>
                      <w:r w:rsidRPr="001C3654">
                        <w:rPr>
                          <w:rFonts w:asciiTheme="minorHAnsi" w:hAnsiTheme="minorHAnsi"/>
                          <w:color w:val="1F497D" w:themeColor="text2"/>
                          <w:sz w:val="22"/>
                          <w:szCs w:val="22"/>
                        </w:rPr>
                        <w:t xml:space="preserve"> WISDM was established by the Department of Women’s Affairs (DWA) in 2010. The Pacific Leadership Program has been providing support to DWA/WISDM since 2012. </w:t>
                      </w:r>
                    </w:p>
                    <w:p w14:paraId="0632C218" w14:textId="77777777" w:rsidR="002E0AD1" w:rsidRPr="001C3654" w:rsidRDefault="002E0AD1" w:rsidP="00A64C2E">
                      <w:pPr>
                        <w:pStyle w:val="Pa3"/>
                        <w:shd w:val="clear" w:color="auto" w:fill="DBE5F1" w:themeFill="accent1" w:themeFillTint="33"/>
                        <w:spacing w:before="120" w:after="120" w:line="240" w:lineRule="auto"/>
                        <w:rPr>
                          <w:rFonts w:asciiTheme="minorHAnsi" w:hAnsiTheme="minorHAnsi" w:cs="Whitney Book"/>
                          <w:color w:val="1F497D" w:themeColor="text2"/>
                          <w:sz w:val="22"/>
                          <w:szCs w:val="22"/>
                        </w:rPr>
                      </w:pPr>
                      <w:r w:rsidRPr="001C3654">
                        <w:rPr>
                          <w:rFonts w:asciiTheme="minorHAnsi" w:hAnsiTheme="minorHAnsi"/>
                          <w:color w:val="1F497D" w:themeColor="text2"/>
                          <w:sz w:val="22"/>
                          <w:szCs w:val="22"/>
                        </w:rPr>
                        <w:t xml:space="preserve">WISDM’s membership includes </w:t>
                      </w:r>
                      <w:r w:rsidRPr="001C3654">
                        <w:rPr>
                          <w:rFonts w:asciiTheme="minorHAnsi" w:hAnsiTheme="minorHAnsi" w:cs="Whitney Book"/>
                          <w:color w:val="1F497D" w:themeColor="text2"/>
                          <w:sz w:val="22"/>
                          <w:szCs w:val="22"/>
                        </w:rPr>
                        <w:t xml:space="preserve">representatives of government, chiefs, churches and non-governmental organisations. Within this broad coalition, a smaller group, known as the TSM Taskforce, was formed by the head of the DWA, Ms Dorosday Kenneth-Watson. This smaller group was made up of senior public servants and politicians and became the core group to progress the issue of </w:t>
                      </w:r>
                      <w:r w:rsidRPr="001C3654">
                        <w:rPr>
                          <w:rFonts w:asciiTheme="minorHAnsi" w:hAnsiTheme="minorHAnsi"/>
                          <w:color w:val="1F497D" w:themeColor="text2"/>
                          <w:sz w:val="22"/>
                          <w:szCs w:val="22"/>
                        </w:rPr>
                        <w:t>Temporary Special Measures (TSMs)</w:t>
                      </w:r>
                      <w:r w:rsidRPr="001C3654">
                        <w:rPr>
                          <w:rFonts w:asciiTheme="minorHAnsi" w:hAnsiTheme="minorHAnsi" w:cs="Whitney Book"/>
                          <w:color w:val="1F497D" w:themeColor="text2"/>
                          <w:sz w:val="22"/>
                          <w:szCs w:val="22"/>
                        </w:rPr>
                        <w:t>.</w:t>
                      </w:r>
                      <w:r w:rsidRPr="00DB191B">
                        <w:rPr>
                          <w:rFonts w:asciiTheme="minorHAnsi" w:hAnsiTheme="minorHAnsi" w:cs="Whitney Book"/>
                          <w:color w:val="1F497D" w:themeColor="text2"/>
                          <w:sz w:val="22"/>
                          <w:szCs w:val="22"/>
                          <w:vertAlign w:val="superscript"/>
                        </w:rPr>
                        <w:t>I</w:t>
                      </w:r>
                    </w:p>
                    <w:p w14:paraId="644CB7BB" w14:textId="77777777" w:rsidR="002E0AD1" w:rsidRPr="001C3654" w:rsidRDefault="002E0AD1" w:rsidP="00A64C2E">
                      <w:pPr>
                        <w:shd w:val="clear" w:color="auto" w:fill="DBE5F1" w:themeFill="accent1" w:themeFillTint="33"/>
                        <w:spacing w:before="120"/>
                        <w:rPr>
                          <w:color w:val="1F497D" w:themeColor="text2"/>
                        </w:rPr>
                      </w:pPr>
                      <w:r w:rsidRPr="001C3654">
                        <w:rPr>
                          <w:b/>
                          <w:color w:val="1F497D" w:themeColor="text2"/>
                        </w:rPr>
                        <w:t>TSMs are a significant reform within Vanuatu and the broader Pacific region where women are poorly represented in government</w:t>
                      </w:r>
                      <w:r w:rsidRPr="001C3654">
                        <w:rPr>
                          <w:color w:val="1F497D" w:themeColor="text2"/>
                        </w:rPr>
                        <w:t>. WISDM is widely seen as an example of a locally-led coalition achieving a successful (even transformational) reform which has been carefully supported by a donor program.</w:t>
                      </w:r>
                      <w:r w:rsidRPr="00C65F45">
                        <w:rPr>
                          <w:color w:val="1F497D" w:themeColor="text2"/>
                          <w:vertAlign w:val="superscript"/>
                        </w:rPr>
                        <w:t>J</w:t>
                      </w:r>
                    </w:p>
                    <w:p w14:paraId="6E3176CB" w14:textId="77777777" w:rsidR="002E0AD1" w:rsidRPr="00305E41" w:rsidRDefault="002E0AD1" w:rsidP="00305E41">
                      <w:pPr>
                        <w:pStyle w:val="Pa3"/>
                        <w:shd w:val="clear" w:color="auto" w:fill="DBE5F1" w:themeFill="accent1" w:themeFillTint="33"/>
                        <w:spacing w:before="120" w:after="120" w:line="240" w:lineRule="auto"/>
                        <w:rPr>
                          <w:rFonts w:asciiTheme="minorHAnsi" w:hAnsiTheme="minorHAnsi"/>
                          <w:color w:val="1F497D" w:themeColor="text2"/>
                        </w:rPr>
                      </w:pPr>
                      <w:r w:rsidRPr="001C3654">
                        <w:rPr>
                          <w:rFonts w:asciiTheme="minorHAnsi" w:hAnsiTheme="minorHAnsi"/>
                          <w:color w:val="1F497D" w:themeColor="text2"/>
                          <w:sz w:val="22"/>
                          <w:szCs w:val="22"/>
                        </w:rPr>
                        <w:t xml:space="preserve">PLP’s support to WISDM has been modest and included operational funding for the DWA, adaptive leadership training and mentorship, and a program of ongoing action research. </w:t>
                      </w:r>
                    </w:p>
                    <w:p w14:paraId="7AA73F3B" w14:textId="77777777" w:rsidR="002E0AD1" w:rsidRPr="001C3654" w:rsidRDefault="002E0AD1" w:rsidP="00305E41">
                      <w:pPr>
                        <w:shd w:val="clear" w:color="auto" w:fill="DBE5F1" w:themeFill="accent1" w:themeFillTint="33"/>
                        <w:spacing w:before="120"/>
                        <w:ind w:firstLine="720"/>
                        <w:jc w:val="center"/>
                        <w:rPr>
                          <w:color w:val="1F497D" w:themeColor="text2"/>
                        </w:rPr>
                      </w:pPr>
                      <w:r w:rsidRPr="00FB0282">
                        <w:rPr>
                          <w:i/>
                          <w:color w:val="1F497D" w:themeColor="text2"/>
                        </w:rPr>
                        <w:t>“PLP’s modest support has been highly effective at providing resources that have been a catalyst for mobilizing an effective reform coalition.”</w:t>
                      </w:r>
                      <w:r w:rsidRPr="00C65F45">
                        <w:rPr>
                          <w:color w:val="1F497D" w:themeColor="text2"/>
                          <w:vertAlign w:val="superscript"/>
                        </w:rPr>
                        <w:t>K</w:t>
                      </w:r>
                    </w:p>
                    <w:p w14:paraId="7D31B370" w14:textId="77777777" w:rsidR="002E0AD1" w:rsidRPr="00A34D4A" w:rsidRDefault="002E0AD1" w:rsidP="00A64C2E">
                      <w:pPr>
                        <w:pStyle w:val="Pa3"/>
                        <w:shd w:val="clear" w:color="auto" w:fill="DBE5F1" w:themeFill="accent1" w:themeFillTint="33"/>
                        <w:spacing w:before="120" w:after="120" w:line="240" w:lineRule="auto"/>
                        <w:rPr>
                          <w:rFonts w:asciiTheme="minorHAnsi" w:hAnsiTheme="minorHAnsi"/>
                          <w:color w:val="1F497D" w:themeColor="text2"/>
                          <w:sz w:val="22"/>
                          <w:szCs w:val="22"/>
                        </w:rPr>
                      </w:pPr>
                      <w:r w:rsidRPr="00A34D4A">
                        <w:rPr>
                          <w:rFonts w:asciiTheme="minorHAnsi" w:hAnsiTheme="minorHAnsi" w:cs="Whitney Book"/>
                          <w:color w:val="1F497D" w:themeColor="text2"/>
                          <w:sz w:val="22"/>
                          <w:szCs w:val="22"/>
                        </w:rPr>
                        <w:t>PLP3’s support for the action research has helped DWA/WISDM Coalition to document and analyse lessons learned from its experience with TSM.</w:t>
                      </w:r>
                      <w:r w:rsidRPr="00A34D4A">
                        <w:rPr>
                          <w:rFonts w:asciiTheme="minorHAnsi" w:hAnsiTheme="minorHAnsi" w:cs="Whitney Book"/>
                          <w:color w:val="1F497D" w:themeColor="text2"/>
                          <w:sz w:val="22"/>
                          <w:szCs w:val="22"/>
                          <w:vertAlign w:val="superscript"/>
                        </w:rPr>
                        <w:t>L</w:t>
                      </w:r>
                      <w:r w:rsidRPr="00A34D4A">
                        <w:rPr>
                          <w:rFonts w:asciiTheme="minorHAnsi" w:hAnsiTheme="minorHAnsi" w:cs="Whitney Book"/>
                          <w:color w:val="1F497D" w:themeColor="text2"/>
                          <w:sz w:val="22"/>
                          <w:szCs w:val="22"/>
                        </w:rPr>
                        <w:t xml:space="preserve"> </w:t>
                      </w:r>
                      <w:r w:rsidRPr="00A34D4A">
                        <w:rPr>
                          <w:rFonts w:asciiTheme="minorHAnsi" w:hAnsiTheme="minorHAnsi"/>
                          <w:color w:val="1F497D" w:themeColor="text2"/>
                          <w:sz w:val="22"/>
                          <w:szCs w:val="22"/>
                        </w:rPr>
                        <w:t xml:space="preserve">This action research identifies </w:t>
                      </w:r>
                      <w:r w:rsidRPr="00A34D4A">
                        <w:rPr>
                          <w:rFonts w:asciiTheme="minorHAnsi" w:hAnsiTheme="minorHAnsi"/>
                          <w:b/>
                          <w:color w:val="1F497D" w:themeColor="text2"/>
                          <w:sz w:val="22"/>
                          <w:szCs w:val="22"/>
                        </w:rPr>
                        <w:t>two key lessons for donors</w:t>
                      </w:r>
                      <w:r w:rsidRPr="00A34D4A">
                        <w:rPr>
                          <w:rFonts w:asciiTheme="minorHAnsi" w:hAnsiTheme="minorHAnsi"/>
                          <w:color w:val="1F497D" w:themeColor="text2"/>
                          <w:sz w:val="22"/>
                          <w:szCs w:val="22"/>
                        </w:rPr>
                        <w:t xml:space="preserve">: </w:t>
                      </w:r>
                    </w:p>
                    <w:p w14:paraId="76BDDD60" w14:textId="77777777" w:rsidR="002E0AD1" w:rsidRPr="00A34D4A" w:rsidRDefault="002E0AD1" w:rsidP="00A64C2E">
                      <w:pPr>
                        <w:pStyle w:val="ListParagraph"/>
                        <w:numPr>
                          <w:ilvl w:val="0"/>
                          <w:numId w:val="38"/>
                        </w:numPr>
                        <w:shd w:val="clear" w:color="auto" w:fill="DBE5F1" w:themeFill="accent1" w:themeFillTint="33"/>
                        <w:spacing w:before="120"/>
                        <w:rPr>
                          <w:color w:val="1F497D" w:themeColor="text2"/>
                        </w:rPr>
                      </w:pPr>
                      <w:r w:rsidRPr="00A34D4A">
                        <w:rPr>
                          <w:b/>
                          <w:color w:val="1F497D" w:themeColor="text2"/>
                        </w:rPr>
                        <w:t xml:space="preserve">Allow local actors to take the lead: </w:t>
                      </w:r>
                      <w:r w:rsidRPr="00A34D4A">
                        <w:rPr>
                          <w:color w:val="1F497D" w:themeColor="text2"/>
                        </w:rPr>
                        <w:t>noting that,</w:t>
                      </w:r>
                      <w:r w:rsidRPr="00A34D4A">
                        <w:rPr>
                          <w:b/>
                          <w:color w:val="1F497D" w:themeColor="text2"/>
                        </w:rPr>
                        <w:t xml:space="preserve"> </w:t>
                      </w:r>
                      <w:r w:rsidRPr="00A34D4A">
                        <w:rPr>
                          <w:color w:val="1F497D" w:themeColor="text2"/>
                        </w:rPr>
                        <w:t>“</w:t>
                      </w:r>
                      <w:r w:rsidRPr="00A34D4A">
                        <w:rPr>
                          <w:i/>
                          <w:color w:val="1F497D" w:themeColor="text2"/>
                        </w:rPr>
                        <w:t>by allowing Kenneth-Watson and others to take the lead in determining the constitution of WISDM and the TSM Taskforce, PLP showed itself to be astute and flexible.</w:t>
                      </w:r>
                      <w:r w:rsidRPr="00A34D4A">
                        <w:rPr>
                          <w:color w:val="1F497D" w:themeColor="text2"/>
                        </w:rPr>
                        <w:t>”</w:t>
                      </w:r>
                    </w:p>
                    <w:p w14:paraId="6CE2984B" w14:textId="77777777" w:rsidR="002E0AD1" w:rsidRPr="00A34D4A" w:rsidRDefault="002E0AD1" w:rsidP="00A64C2E">
                      <w:pPr>
                        <w:pStyle w:val="ListParagraph"/>
                        <w:numPr>
                          <w:ilvl w:val="0"/>
                          <w:numId w:val="38"/>
                        </w:numPr>
                        <w:shd w:val="clear" w:color="auto" w:fill="DBE5F1" w:themeFill="accent1" w:themeFillTint="33"/>
                        <w:spacing w:before="120"/>
                        <w:rPr>
                          <w:color w:val="1F497D" w:themeColor="text2"/>
                        </w:rPr>
                      </w:pPr>
                      <w:r w:rsidRPr="00A34D4A">
                        <w:rPr>
                          <w:b/>
                          <w:color w:val="1F497D" w:themeColor="text2"/>
                        </w:rPr>
                        <w:t xml:space="preserve">Provide valuable space for the development of reform coalitions: </w:t>
                      </w:r>
                      <w:r w:rsidRPr="00A34D4A">
                        <w:rPr>
                          <w:color w:val="1F497D" w:themeColor="text2"/>
                        </w:rPr>
                        <w:t>noting that,</w:t>
                      </w:r>
                      <w:r w:rsidRPr="00A34D4A">
                        <w:rPr>
                          <w:b/>
                          <w:color w:val="1F497D" w:themeColor="text2"/>
                        </w:rPr>
                        <w:t xml:space="preserve"> </w:t>
                      </w:r>
                      <w:r w:rsidRPr="00A34D4A">
                        <w:rPr>
                          <w:color w:val="1F497D" w:themeColor="text2"/>
                        </w:rPr>
                        <w:t>“</w:t>
                      </w:r>
                      <w:r w:rsidRPr="00A34D4A">
                        <w:rPr>
                          <w:i/>
                          <w:color w:val="1F497D" w:themeColor="text2"/>
                        </w:rPr>
                        <w:t xml:space="preserve">Much of the value of the PLP contribution to WISDM was in providing conceptual “space” (and time) for leaders to think and build consensus….The </w:t>
                      </w:r>
                      <w:r w:rsidRPr="00A34D4A">
                        <w:rPr>
                          <w:b/>
                          <w:i/>
                          <w:color w:val="1F497D" w:themeColor="text2"/>
                        </w:rPr>
                        <w:t>adaptive leadership workshops</w:t>
                      </w:r>
                      <w:r w:rsidRPr="00A34D4A">
                        <w:rPr>
                          <w:i/>
                          <w:color w:val="1F497D" w:themeColor="text2"/>
                        </w:rPr>
                        <w:t xml:space="preserve"> were seen by key participants as formative events in the development of their coalition because they allowed space for the refining of strategies that ultimately were successful in progressing legislation through parliament.”</w:t>
                      </w:r>
                      <w:r w:rsidRPr="00A34D4A">
                        <w:rPr>
                          <w:color w:val="1F497D" w:themeColor="text2"/>
                        </w:rPr>
                        <w:t xml:space="preserve"> </w:t>
                      </w:r>
                    </w:p>
                    <w:p w14:paraId="4BF96F27" w14:textId="77777777" w:rsidR="002E0AD1" w:rsidRPr="00A34D4A" w:rsidRDefault="002E0AD1" w:rsidP="00C65F45">
                      <w:pPr>
                        <w:pStyle w:val="Pa3"/>
                        <w:shd w:val="clear" w:color="auto" w:fill="DBE5F1" w:themeFill="accent1" w:themeFillTint="33"/>
                        <w:spacing w:before="120" w:after="120" w:line="240" w:lineRule="auto"/>
                        <w:rPr>
                          <w:rFonts w:asciiTheme="minorHAnsi" w:hAnsiTheme="minorHAnsi"/>
                          <w:color w:val="1F497D" w:themeColor="text2"/>
                          <w:sz w:val="22"/>
                          <w:szCs w:val="22"/>
                        </w:rPr>
                      </w:pPr>
                      <w:r w:rsidRPr="00A34D4A">
                        <w:rPr>
                          <w:rFonts w:asciiTheme="minorHAnsi" w:hAnsiTheme="minorHAnsi"/>
                          <w:color w:val="1F497D" w:themeColor="text2"/>
                          <w:sz w:val="22"/>
                          <w:szCs w:val="22"/>
                        </w:rPr>
                        <w:t xml:space="preserve">For further information on WISDM refer to: </w:t>
                      </w:r>
                      <w:r w:rsidRPr="00A34D4A">
                        <w:rPr>
                          <w:rFonts w:asciiTheme="minorHAnsi" w:hAnsiTheme="minorHAnsi" w:cs="Arial"/>
                          <w:i/>
                          <w:color w:val="1F497D" w:themeColor="text2"/>
                          <w:sz w:val="22"/>
                          <w:szCs w:val="22"/>
                        </w:rPr>
                        <w:t>Supporting Coalition Based Reform in Vanuatu</w:t>
                      </w:r>
                      <w:r w:rsidRPr="00A34D4A">
                        <w:rPr>
                          <w:rFonts w:asciiTheme="minorHAnsi" w:hAnsiTheme="minorHAnsi" w:cs="Arial"/>
                          <w:color w:val="1F497D" w:themeColor="text2"/>
                          <w:sz w:val="22"/>
                          <w:szCs w:val="22"/>
                          <w:vertAlign w:val="superscript"/>
                        </w:rPr>
                        <w:t>M</w:t>
                      </w:r>
                      <w:r w:rsidRPr="00A34D4A">
                        <w:rPr>
                          <w:rFonts w:asciiTheme="minorHAnsi" w:hAnsiTheme="minorHAnsi" w:cs="Arial"/>
                          <w:color w:val="1F497D" w:themeColor="text2"/>
                          <w:sz w:val="22"/>
                          <w:szCs w:val="22"/>
                        </w:rPr>
                        <w:t>; and PLP Briefing Note</w:t>
                      </w:r>
                      <w:r w:rsidRPr="00A34D4A">
                        <w:rPr>
                          <w:rFonts w:asciiTheme="minorHAnsi" w:hAnsiTheme="minorHAnsi" w:cs="Arial"/>
                          <w:color w:val="1F497D" w:themeColor="text2"/>
                          <w:sz w:val="22"/>
                          <w:szCs w:val="22"/>
                          <w:vertAlign w:val="superscript"/>
                        </w:rPr>
                        <w:t>N</w:t>
                      </w:r>
                      <w:r w:rsidRPr="00A34D4A">
                        <w:rPr>
                          <w:rFonts w:asciiTheme="minorHAnsi" w:hAnsiTheme="minorHAnsi"/>
                          <w:color w:val="1F497D" w:themeColor="text2"/>
                          <w:sz w:val="22"/>
                          <w:szCs w:val="22"/>
                        </w:rPr>
                        <w:t>; and Case Study</w:t>
                      </w:r>
                      <w:r w:rsidRPr="00A34D4A">
                        <w:rPr>
                          <w:rFonts w:asciiTheme="minorHAnsi" w:hAnsiTheme="minorHAnsi"/>
                          <w:color w:val="1F497D" w:themeColor="text2"/>
                          <w:sz w:val="22"/>
                          <w:szCs w:val="22"/>
                          <w:vertAlign w:val="superscript"/>
                        </w:rPr>
                        <w:t>O</w:t>
                      </w:r>
                      <w:r w:rsidRPr="00A34D4A">
                        <w:rPr>
                          <w:rFonts w:asciiTheme="minorHAnsi" w:hAnsiTheme="minorHAnsi"/>
                          <w:color w:val="1F497D" w:themeColor="text2"/>
                          <w:sz w:val="22"/>
                          <w:szCs w:val="22"/>
                        </w:rPr>
                        <w:t>.</w:t>
                      </w:r>
                    </w:p>
                    <w:p w14:paraId="3B2A1963" w14:textId="77777777" w:rsidR="002E0AD1" w:rsidRPr="00A34D4A" w:rsidRDefault="002E0AD1" w:rsidP="00C65F45">
                      <w:pPr>
                        <w:pStyle w:val="Pa3"/>
                        <w:shd w:val="clear" w:color="auto" w:fill="DBE5F1" w:themeFill="accent1" w:themeFillTint="33"/>
                        <w:spacing w:line="240" w:lineRule="auto"/>
                        <w:rPr>
                          <w:rFonts w:asciiTheme="minorHAnsi" w:hAnsiTheme="minorHAnsi"/>
                          <w:color w:val="1F497D" w:themeColor="text2"/>
                          <w:sz w:val="18"/>
                          <w:szCs w:val="18"/>
                        </w:rPr>
                      </w:pPr>
                      <w:r w:rsidRPr="00A34D4A">
                        <w:rPr>
                          <w:rFonts w:asciiTheme="minorHAnsi" w:hAnsiTheme="minorHAnsi"/>
                          <w:color w:val="1F497D" w:themeColor="text2"/>
                          <w:sz w:val="18"/>
                          <w:szCs w:val="18"/>
                          <w:vertAlign w:val="superscript"/>
                        </w:rPr>
                        <w:t>H</w:t>
                      </w:r>
                      <w:r w:rsidRPr="00A34D4A">
                        <w:rPr>
                          <w:rFonts w:asciiTheme="minorHAnsi" w:hAnsiTheme="minorHAnsi"/>
                          <w:color w:val="1F497D" w:themeColor="text2"/>
                          <w:sz w:val="18"/>
                          <w:szCs w:val="18"/>
                        </w:rPr>
                        <w:t xml:space="preserve"> The 2013 and 2015 legislation for reserved seats for women contesting municipal elections in Vanuatu, requires that 30-34% of seats be set aside for women candidates for the next four electoral terms (16 years). (B Rousseau/La Trobe and D Kenneth Watson/ Vanuatu Dept of Women’s Affairs – June 2017)</w:t>
                      </w:r>
                    </w:p>
                    <w:p w14:paraId="591CCC38" w14:textId="77777777" w:rsidR="002E0AD1" w:rsidRPr="00A34D4A" w:rsidRDefault="002E0AD1" w:rsidP="00C65F45">
                      <w:pPr>
                        <w:pStyle w:val="Pa3"/>
                        <w:shd w:val="clear" w:color="auto" w:fill="DBE5F1" w:themeFill="accent1" w:themeFillTint="33"/>
                        <w:spacing w:line="240" w:lineRule="auto"/>
                        <w:rPr>
                          <w:rFonts w:asciiTheme="minorHAnsi" w:hAnsiTheme="minorHAnsi"/>
                          <w:color w:val="1F497D" w:themeColor="text2"/>
                          <w:sz w:val="18"/>
                          <w:szCs w:val="18"/>
                        </w:rPr>
                      </w:pPr>
                      <w:r w:rsidRPr="00A34D4A">
                        <w:rPr>
                          <w:rFonts w:asciiTheme="minorHAnsi" w:hAnsiTheme="minorHAnsi"/>
                          <w:color w:val="1F497D" w:themeColor="text2"/>
                          <w:sz w:val="18"/>
                          <w:szCs w:val="18"/>
                          <w:vertAlign w:val="superscript"/>
                        </w:rPr>
                        <w:t>I</w:t>
                      </w:r>
                      <w:r w:rsidRPr="00A34D4A">
                        <w:rPr>
                          <w:rFonts w:asciiTheme="minorHAnsi" w:hAnsiTheme="minorHAnsi"/>
                          <w:color w:val="1F497D" w:themeColor="text2"/>
                          <w:sz w:val="18"/>
                          <w:szCs w:val="18"/>
                        </w:rPr>
                        <w:t xml:space="preserve"> Temporary special measures (TSMs) are an internationally recognised method for increasing the number of women in elected office.</w:t>
                      </w:r>
                    </w:p>
                    <w:p w14:paraId="40D377B4" w14:textId="77777777" w:rsidR="002E0AD1" w:rsidRPr="00A34D4A" w:rsidRDefault="002E0AD1" w:rsidP="00C65F45">
                      <w:pPr>
                        <w:pStyle w:val="Pa3"/>
                        <w:shd w:val="clear" w:color="auto" w:fill="DBE5F1" w:themeFill="accent1" w:themeFillTint="33"/>
                        <w:spacing w:line="240" w:lineRule="auto"/>
                        <w:rPr>
                          <w:rFonts w:asciiTheme="minorHAnsi" w:hAnsiTheme="minorHAnsi"/>
                          <w:color w:val="1F497D" w:themeColor="text2"/>
                          <w:sz w:val="18"/>
                          <w:szCs w:val="18"/>
                        </w:rPr>
                      </w:pPr>
                      <w:r w:rsidRPr="00A34D4A">
                        <w:rPr>
                          <w:rFonts w:asciiTheme="minorHAnsi" w:hAnsiTheme="minorHAnsi"/>
                          <w:color w:val="1F497D" w:themeColor="text2"/>
                          <w:sz w:val="18"/>
                          <w:szCs w:val="18"/>
                          <w:vertAlign w:val="superscript"/>
                        </w:rPr>
                        <w:t>J</w:t>
                      </w:r>
                      <w:r w:rsidRPr="00A34D4A">
                        <w:rPr>
                          <w:rFonts w:asciiTheme="minorHAnsi" w:hAnsiTheme="minorHAnsi"/>
                          <w:color w:val="1F497D" w:themeColor="text2"/>
                          <w:sz w:val="18"/>
                          <w:szCs w:val="18"/>
                        </w:rPr>
                        <w:t xml:space="preserve"> See papers by: Denney and McLaren (2016); and </w:t>
                      </w:r>
                      <w:r w:rsidRPr="00A34D4A">
                        <w:rPr>
                          <w:rFonts w:asciiTheme="minorHAnsi" w:hAnsiTheme="minorHAnsi"/>
                          <w:i/>
                          <w:color w:val="1F497D" w:themeColor="text2"/>
                          <w:sz w:val="18"/>
                          <w:szCs w:val="18"/>
                        </w:rPr>
                        <w:t>Supporting Coalition Based Reform in Vanuatu</w:t>
                      </w:r>
                      <w:r w:rsidRPr="00A34D4A">
                        <w:rPr>
                          <w:rFonts w:asciiTheme="minorHAnsi" w:hAnsiTheme="minorHAnsi"/>
                          <w:color w:val="1F497D" w:themeColor="text2"/>
                          <w:sz w:val="18"/>
                          <w:szCs w:val="18"/>
                        </w:rPr>
                        <w:t xml:space="preserve"> (B Rousseau/ La Trobe and D Kenneth Watson/ Vanuatu Dept of Women’s Affairs) – June 2017.</w:t>
                      </w:r>
                    </w:p>
                    <w:p w14:paraId="0BA41BCC" w14:textId="77777777" w:rsidR="002E0AD1" w:rsidRPr="00A34D4A" w:rsidRDefault="002E0AD1" w:rsidP="00C65F45">
                      <w:pPr>
                        <w:pStyle w:val="Pa3"/>
                        <w:shd w:val="clear" w:color="auto" w:fill="DBE5F1" w:themeFill="accent1" w:themeFillTint="33"/>
                        <w:spacing w:line="240" w:lineRule="auto"/>
                        <w:rPr>
                          <w:rFonts w:asciiTheme="minorHAnsi" w:hAnsiTheme="minorHAnsi"/>
                          <w:color w:val="1F497D" w:themeColor="text2"/>
                          <w:sz w:val="18"/>
                          <w:szCs w:val="18"/>
                        </w:rPr>
                      </w:pPr>
                      <w:r w:rsidRPr="00A34D4A">
                        <w:rPr>
                          <w:rFonts w:asciiTheme="minorHAnsi" w:hAnsiTheme="minorHAnsi"/>
                          <w:color w:val="1F497D" w:themeColor="text2"/>
                          <w:sz w:val="18"/>
                          <w:szCs w:val="18"/>
                          <w:vertAlign w:val="superscript"/>
                        </w:rPr>
                        <w:t>K</w:t>
                      </w:r>
                      <w:r w:rsidRPr="00A34D4A">
                        <w:rPr>
                          <w:rFonts w:asciiTheme="minorHAnsi" w:hAnsiTheme="minorHAnsi"/>
                          <w:color w:val="1F497D" w:themeColor="text2"/>
                          <w:sz w:val="18"/>
                          <w:szCs w:val="18"/>
                        </w:rPr>
                        <w:t xml:space="preserve"> </w:t>
                      </w:r>
                      <w:r w:rsidRPr="00A34D4A">
                        <w:rPr>
                          <w:rFonts w:asciiTheme="minorHAnsi" w:hAnsiTheme="minorHAnsi"/>
                          <w:i/>
                          <w:color w:val="1F497D" w:themeColor="text2"/>
                          <w:sz w:val="18"/>
                          <w:szCs w:val="18"/>
                        </w:rPr>
                        <w:t>Supporting Coalition Based Reform in Vanuatu</w:t>
                      </w:r>
                      <w:r w:rsidRPr="00A34D4A">
                        <w:rPr>
                          <w:rFonts w:asciiTheme="minorHAnsi" w:hAnsiTheme="minorHAnsi"/>
                          <w:color w:val="1F497D" w:themeColor="text2"/>
                          <w:sz w:val="18"/>
                          <w:szCs w:val="18"/>
                        </w:rPr>
                        <w:t xml:space="preserve"> (B Rousseau/La Trobe and D Kenneth Watson/Vanuatu Dept of Women’s Affairs)  (June 2017).</w:t>
                      </w:r>
                    </w:p>
                    <w:p w14:paraId="31CB07B3" w14:textId="77777777" w:rsidR="002E0AD1" w:rsidRPr="00A34D4A" w:rsidRDefault="002E0AD1" w:rsidP="00C65F45">
                      <w:pPr>
                        <w:pStyle w:val="Pa3"/>
                        <w:shd w:val="clear" w:color="auto" w:fill="DBE5F1" w:themeFill="accent1" w:themeFillTint="33"/>
                        <w:spacing w:line="240" w:lineRule="auto"/>
                        <w:rPr>
                          <w:rFonts w:asciiTheme="minorHAnsi" w:hAnsiTheme="minorHAnsi"/>
                          <w:color w:val="1F497D" w:themeColor="text2"/>
                          <w:sz w:val="18"/>
                          <w:szCs w:val="18"/>
                        </w:rPr>
                      </w:pPr>
                      <w:r w:rsidRPr="00A34D4A">
                        <w:rPr>
                          <w:rFonts w:asciiTheme="minorHAnsi" w:hAnsiTheme="minorHAnsi"/>
                          <w:color w:val="1F497D" w:themeColor="text2"/>
                          <w:sz w:val="18"/>
                          <w:szCs w:val="18"/>
                          <w:vertAlign w:val="superscript"/>
                        </w:rPr>
                        <w:t>L</w:t>
                      </w:r>
                      <w:r w:rsidRPr="00A34D4A">
                        <w:rPr>
                          <w:rFonts w:asciiTheme="minorHAnsi" w:hAnsiTheme="minorHAnsi"/>
                          <w:color w:val="1F497D" w:themeColor="text2"/>
                          <w:sz w:val="18"/>
                          <w:szCs w:val="18"/>
                        </w:rPr>
                        <w:t xml:space="preserve"> </w:t>
                      </w:r>
                      <w:r w:rsidRPr="00A34D4A">
                        <w:rPr>
                          <w:rFonts w:asciiTheme="minorHAnsi" w:hAnsiTheme="minorHAnsi"/>
                          <w:i/>
                          <w:color w:val="1F497D" w:themeColor="text2"/>
                          <w:sz w:val="18"/>
                          <w:szCs w:val="18"/>
                        </w:rPr>
                        <w:t>Supporting Coalition Based Reform in Vanuatu</w:t>
                      </w:r>
                      <w:r w:rsidRPr="00A34D4A">
                        <w:rPr>
                          <w:rFonts w:asciiTheme="minorHAnsi" w:hAnsiTheme="minorHAnsi"/>
                          <w:color w:val="1F497D" w:themeColor="text2"/>
                          <w:sz w:val="18"/>
                          <w:szCs w:val="18"/>
                        </w:rPr>
                        <w:t xml:space="preserve"> (B Rousseau/ La Trobe and D Kenneth Watson/ Vanuatu Dept of Women’s Affairs) – June 2017.</w:t>
                      </w:r>
                    </w:p>
                    <w:p w14:paraId="54F32668" w14:textId="77777777" w:rsidR="002E0AD1" w:rsidRPr="00A34D4A" w:rsidRDefault="002E0AD1" w:rsidP="00C65F45">
                      <w:pPr>
                        <w:pStyle w:val="Pa3"/>
                        <w:shd w:val="clear" w:color="auto" w:fill="DBE5F1" w:themeFill="accent1" w:themeFillTint="33"/>
                        <w:spacing w:line="240" w:lineRule="auto"/>
                        <w:rPr>
                          <w:rFonts w:asciiTheme="minorHAnsi" w:hAnsiTheme="minorHAnsi"/>
                          <w:color w:val="1F497D" w:themeColor="text2"/>
                          <w:sz w:val="18"/>
                          <w:szCs w:val="18"/>
                        </w:rPr>
                      </w:pPr>
                      <w:r w:rsidRPr="00A34D4A">
                        <w:rPr>
                          <w:rFonts w:asciiTheme="minorHAnsi" w:hAnsiTheme="minorHAnsi"/>
                          <w:color w:val="1F497D" w:themeColor="text2"/>
                          <w:sz w:val="18"/>
                          <w:szCs w:val="18"/>
                          <w:vertAlign w:val="superscript"/>
                        </w:rPr>
                        <w:t>M</w:t>
                      </w:r>
                      <w:r w:rsidRPr="00A34D4A">
                        <w:rPr>
                          <w:rFonts w:asciiTheme="minorHAnsi" w:hAnsiTheme="minorHAnsi"/>
                          <w:color w:val="1F497D" w:themeColor="text2"/>
                          <w:sz w:val="18"/>
                          <w:szCs w:val="18"/>
                        </w:rPr>
                        <w:t xml:space="preserve"> </w:t>
                      </w:r>
                      <w:r w:rsidRPr="00A34D4A">
                        <w:rPr>
                          <w:rFonts w:asciiTheme="minorHAnsi" w:hAnsiTheme="minorHAnsi" w:cs="Arial"/>
                          <w:color w:val="1F497D" w:themeColor="text2"/>
                          <w:sz w:val="18"/>
                          <w:szCs w:val="18"/>
                        </w:rPr>
                        <w:t>(B Rousseau/ La Trobe and D Kenneth Watson/ Vanuatu Dept of Women’s Affairs,  June 2017</w:t>
                      </w:r>
                    </w:p>
                    <w:p w14:paraId="0F154F75" w14:textId="77777777" w:rsidR="002E0AD1" w:rsidRPr="00A34D4A" w:rsidRDefault="002E0AD1" w:rsidP="00C65F45">
                      <w:pPr>
                        <w:pStyle w:val="Pa3"/>
                        <w:shd w:val="clear" w:color="auto" w:fill="DBE5F1" w:themeFill="accent1" w:themeFillTint="33"/>
                        <w:spacing w:line="240" w:lineRule="auto"/>
                        <w:rPr>
                          <w:rFonts w:asciiTheme="minorHAnsi" w:hAnsiTheme="minorHAnsi"/>
                          <w:color w:val="1F497D" w:themeColor="text2"/>
                          <w:sz w:val="18"/>
                          <w:szCs w:val="18"/>
                        </w:rPr>
                      </w:pPr>
                      <w:r w:rsidRPr="00A34D4A">
                        <w:rPr>
                          <w:rFonts w:asciiTheme="minorHAnsi" w:hAnsiTheme="minorHAnsi"/>
                          <w:color w:val="1F497D" w:themeColor="text2"/>
                          <w:sz w:val="18"/>
                          <w:szCs w:val="18"/>
                          <w:vertAlign w:val="superscript"/>
                        </w:rPr>
                        <w:t>N</w:t>
                      </w:r>
                      <w:r w:rsidRPr="00A34D4A">
                        <w:rPr>
                          <w:rFonts w:asciiTheme="minorHAnsi" w:hAnsiTheme="minorHAnsi"/>
                          <w:color w:val="1F497D" w:themeColor="text2"/>
                          <w:sz w:val="18"/>
                          <w:szCs w:val="18"/>
                        </w:rPr>
                        <w:t xml:space="preserve"> </w:t>
                      </w:r>
                      <w:r w:rsidRPr="00A34D4A">
                        <w:rPr>
                          <w:rFonts w:asciiTheme="minorHAnsi" w:hAnsiTheme="minorHAnsi"/>
                          <w:i/>
                          <w:color w:val="1F497D" w:themeColor="text2"/>
                          <w:sz w:val="18"/>
                          <w:szCs w:val="18"/>
                        </w:rPr>
                        <w:t>Analysis of Women Councillors’ experience in WISDM coalition activities in Vanuatu, Leaders and Coalitions</w:t>
                      </w:r>
                      <w:r w:rsidRPr="00A34D4A">
                        <w:rPr>
                          <w:rFonts w:asciiTheme="minorHAnsi" w:hAnsiTheme="minorHAnsi"/>
                          <w:color w:val="1F497D" w:themeColor="text2"/>
                          <w:sz w:val="18"/>
                          <w:szCs w:val="18"/>
                        </w:rPr>
                        <w:t xml:space="preserve"> (June 2016)</w:t>
                      </w:r>
                    </w:p>
                    <w:p w14:paraId="3F95EFA8" w14:textId="77777777" w:rsidR="002E0AD1" w:rsidRPr="00A34D4A" w:rsidRDefault="002E0AD1" w:rsidP="00C65F45">
                      <w:pPr>
                        <w:pStyle w:val="Pa3"/>
                        <w:shd w:val="clear" w:color="auto" w:fill="DBE5F1" w:themeFill="accent1" w:themeFillTint="33"/>
                        <w:spacing w:line="240" w:lineRule="auto"/>
                        <w:rPr>
                          <w:rFonts w:asciiTheme="minorHAnsi" w:hAnsiTheme="minorHAnsi"/>
                          <w:color w:val="DBE5F1" w:themeColor="accent1" w:themeTint="33"/>
                          <w:sz w:val="18"/>
                          <w:szCs w:val="18"/>
                        </w:rPr>
                      </w:pPr>
                      <w:r w:rsidRPr="00A34D4A">
                        <w:rPr>
                          <w:rFonts w:asciiTheme="minorHAnsi" w:hAnsiTheme="minorHAnsi"/>
                          <w:color w:val="1F497D" w:themeColor="text2"/>
                          <w:sz w:val="18"/>
                          <w:szCs w:val="18"/>
                          <w:vertAlign w:val="superscript"/>
                        </w:rPr>
                        <w:t>O</w:t>
                      </w:r>
                      <w:r w:rsidRPr="00A34D4A">
                        <w:rPr>
                          <w:rFonts w:asciiTheme="minorHAnsi" w:hAnsiTheme="minorHAnsi"/>
                          <w:color w:val="1F497D" w:themeColor="text2"/>
                          <w:sz w:val="18"/>
                          <w:szCs w:val="18"/>
                        </w:rPr>
                        <w:t xml:space="preserve"> </w:t>
                      </w:r>
                      <w:r w:rsidRPr="00A34D4A">
                        <w:rPr>
                          <w:rFonts w:asciiTheme="minorHAnsi" w:hAnsiTheme="minorHAnsi"/>
                          <w:i/>
                          <w:color w:val="1F497D" w:themeColor="text2"/>
                          <w:sz w:val="18"/>
                          <w:szCs w:val="18"/>
                        </w:rPr>
                        <w:t>Analysis of Women Councillors’ Experiences and WISDM Activities in Luganville and Port Vila</w:t>
                      </w:r>
                      <w:r w:rsidRPr="00A34D4A">
                        <w:rPr>
                          <w:rFonts w:asciiTheme="minorHAnsi" w:hAnsiTheme="minorHAnsi"/>
                          <w:color w:val="1F497D" w:themeColor="text2"/>
                          <w:sz w:val="18"/>
                          <w:szCs w:val="18"/>
                        </w:rPr>
                        <w:t xml:space="preserve"> (T Newton Cain, June 2016)</w:t>
                      </w:r>
                    </w:p>
                  </w:txbxContent>
                </v:textbox>
                <w10:wrap type="square"/>
              </v:shape>
            </w:pict>
          </mc:Fallback>
        </mc:AlternateContent>
      </w:r>
    </w:p>
    <w:p w14:paraId="480CA055" w14:textId="47DEB0BF" w:rsidR="00CA1DBC" w:rsidRDefault="00CA1DBC" w:rsidP="007A09AD">
      <w:pPr>
        <w:spacing w:before="120"/>
        <w:ind w:left="50"/>
        <w:rPr>
          <w:b/>
          <w:lang w:val="en-US"/>
        </w:rPr>
      </w:pPr>
    </w:p>
    <w:p w14:paraId="276FB765" w14:textId="618BB654" w:rsidR="007A09AD" w:rsidRPr="00893AD7" w:rsidRDefault="00DB191B" w:rsidP="007A09AD">
      <w:pPr>
        <w:spacing w:before="120"/>
        <w:ind w:left="50"/>
        <w:rPr>
          <w:lang w:val="en-US"/>
        </w:rPr>
      </w:pPr>
      <w:r w:rsidRPr="00893AD7">
        <w:rPr>
          <w:b/>
          <w:noProof/>
          <w:lang w:eastAsia="en-AU"/>
        </w:rPr>
        <mc:AlternateContent>
          <mc:Choice Requires="wps">
            <w:drawing>
              <wp:anchor distT="0" distB="0" distL="114300" distR="114300" simplePos="0" relativeHeight="251675648" behindDoc="0" locked="0" layoutInCell="1" allowOverlap="1" wp14:anchorId="5431C4DE" wp14:editId="3B8F4A5C">
                <wp:simplePos x="0" y="0"/>
                <wp:positionH relativeFrom="margin">
                  <wp:align>center</wp:align>
                </wp:positionH>
                <wp:positionV relativeFrom="margin">
                  <wp:align>top</wp:align>
                </wp:positionV>
                <wp:extent cx="5904000" cy="5027295"/>
                <wp:effectExtent l="0" t="0" r="14605" b="27305"/>
                <wp:wrapSquare wrapText="bothSides"/>
                <wp:docPr id="6" name="Text Box 6"/>
                <wp:cNvGraphicFramePr/>
                <a:graphic xmlns:a="http://schemas.openxmlformats.org/drawingml/2006/main">
                  <a:graphicData uri="http://schemas.microsoft.com/office/word/2010/wordprocessingShape">
                    <wps:wsp>
                      <wps:cNvSpPr txBox="1"/>
                      <wps:spPr>
                        <a:xfrm>
                          <a:off x="0" y="0"/>
                          <a:ext cx="5904000" cy="5027295"/>
                        </a:xfrm>
                        <a:prstGeom prst="rect">
                          <a:avLst/>
                        </a:prstGeom>
                        <a:solidFill>
                          <a:schemeClr val="accent1">
                            <a:lumMod val="20000"/>
                            <a:lumOff val="80000"/>
                          </a:schemeClr>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linkedTxbx id="8"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1C4DE" id="Text Box 6" o:spid="_x0000_s1034" type="#_x0000_t202" style="position:absolute;left:0;text-align:left;margin-left:0;margin-top:0;width:464.9pt;height:395.85pt;z-index:251675648;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" fillcolor="#dbe5f1 [660]" strokecolor="black [3213]">
                <v:textbox>
                  <w:txbxContent/>
                </v:textbox>
                <w10:wrap type="square" anchorx="margin" anchory="margin"/>
              </v:shape>
            </w:pict>
          </mc:Fallback>
        </mc:AlternateContent>
      </w:r>
      <w:r w:rsidRPr="00893AD7">
        <w:rPr>
          <w:b/>
          <w:noProof/>
          <w:lang w:eastAsia="en-AU"/>
        </w:rPr>
        <mc:AlternateContent>
          <mc:Choice Requires="wps">
            <w:drawing>
              <wp:anchor distT="0" distB="0" distL="114300" distR="114300" simplePos="0" relativeHeight="251674624" behindDoc="0" locked="0" layoutInCell="1" allowOverlap="1" wp14:anchorId="694EE93E" wp14:editId="1356DC53">
                <wp:simplePos x="0" y="0"/>
                <wp:positionH relativeFrom="column">
                  <wp:posOffset>47625</wp:posOffset>
                </wp:positionH>
                <wp:positionV relativeFrom="paragraph">
                  <wp:posOffset>-342265</wp:posOffset>
                </wp:positionV>
                <wp:extent cx="5715000" cy="2630170"/>
                <wp:effectExtent l="0" t="0" r="0" b="11430"/>
                <wp:wrapSquare wrapText="bothSides"/>
                <wp:docPr id="3" name="Text Box 3"/>
                <wp:cNvGraphicFramePr/>
                <a:graphic xmlns:a="http://schemas.openxmlformats.org/drawingml/2006/main">
                  <a:graphicData uri="http://schemas.microsoft.com/office/word/2010/wordprocessingShape">
                    <wps:wsp>
                      <wps:cNvSpPr txBox="1"/>
                      <wps:spPr>
                        <a:xfrm>
                          <a:off x="0" y="0"/>
                          <a:ext cx="5715000" cy="26301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902D44" id="Text Box 3" o:spid="_x0000_s1026" type="#_x0000_t202" style="position:absolute;margin-left:3.75pt;margin-top:-26.95pt;width:450pt;height:207.1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" filled="f" stroked="f">
                <w10:wrap type="square"/>
              </v:shape>
            </w:pict>
          </mc:Fallback>
        </mc:AlternateContent>
      </w:r>
      <w:r w:rsidR="002934EB" w:rsidRPr="00893AD7">
        <w:rPr>
          <w:b/>
          <w:lang w:val="en-US"/>
        </w:rPr>
        <w:t>In each of these cases</w:t>
      </w:r>
      <w:r w:rsidR="0082592F" w:rsidRPr="00893AD7">
        <w:rPr>
          <w:b/>
          <w:lang w:val="en-US"/>
        </w:rPr>
        <w:t xml:space="preserve"> noted above</w:t>
      </w:r>
      <w:r w:rsidR="002934EB" w:rsidRPr="00893AD7">
        <w:rPr>
          <w:b/>
          <w:lang w:val="en-US"/>
        </w:rPr>
        <w:t>,</w:t>
      </w:r>
      <w:r w:rsidR="002934EB" w:rsidRPr="00893AD7">
        <w:rPr>
          <w:lang w:val="en-US"/>
        </w:rPr>
        <w:t xml:space="preserve"> </w:t>
      </w:r>
      <w:r w:rsidR="007A09AD" w:rsidRPr="00893AD7">
        <w:rPr>
          <w:b/>
          <w:lang w:val="en-US"/>
        </w:rPr>
        <w:t>PLP</w:t>
      </w:r>
      <w:r w:rsidR="00CA1DBC">
        <w:rPr>
          <w:b/>
          <w:lang w:val="en-US"/>
        </w:rPr>
        <w:t>3</w:t>
      </w:r>
      <w:r w:rsidR="007A09AD" w:rsidRPr="00893AD7">
        <w:rPr>
          <w:b/>
          <w:lang w:val="en-US"/>
        </w:rPr>
        <w:t>'s support was regarded as significant to the achievement of progress.</w:t>
      </w:r>
      <w:r w:rsidR="006933FB" w:rsidRPr="00893AD7">
        <w:rPr>
          <w:rStyle w:val="FootnoteReference"/>
          <w:rFonts w:eastAsia="Calibri" w:cs="Times New Roman"/>
        </w:rPr>
        <w:footnoteReference w:id="88"/>
      </w:r>
      <w:r w:rsidR="007A09AD" w:rsidRPr="00893AD7">
        <w:rPr>
          <w:b/>
          <w:lang w:val="en-US"/>
        </w:rPr>
        <w:t xml:space="preserve"> </w:t>
      </w:r>
      <w:r w:rsidR="007A09AD" w:rsidRPr="00893AD7">
        <w:rPr>
          <w:lang w:val="en-US"/>
        </w:rPr>
        <w:t xml:space="preserve"> Stakeholders highlighted that PLP was at its best when it was different to other donor programs.</w:t>
      </w:r>
      <w:r w:rsidR="00D04523" w:rsidRPr="00893AD7">
        <w:rPr>
          <w:rStyle w:val="FootnoteReference"/>
          <w:lang w:val="en-US"/>
        </w:rPr>
        <w:footnoteReference w:id="89"/>
      </w:r>
      <w:r w:rsidR="007A09AD" w:rsidRPr="00893AD7">
        <w:rPr>
          <w:lang w:val="en-US"/>
        </w:rPr>
        <w:t xml:space="preserve">  For example, in the case of WISDM's advocacy, stakeholders reported that what was needed was not a civil society </w:t>
      </w:r>
      <w:r w:rsidR="002934EB" w:rsidRPr="00893AD7">
        <w:rPr>
          <w:lang w:val="en-US"/>
        </w:rPr>
        <w:t xml:space="preserve">grant </w:t>
      </w:r>
      <w:r w:rsidR="007A09AD" w:rsidRPr="00893AD7">
        <w:rPr>
          <w:lang w:val="en-US"/>
        </w:rPr>
        <w:t xml:space="preserve">program, but </w:t>
      </w:r>
      <w:r w:rsidR="007A09AD" w:rsidRPr="00893AD7">
        <w:rPr>
          <w:b/>
          <w:lang w:val="en-US"/>
        </w:rPr>
        <w:t>a program that could get behind local leadership with transformative potential.</w:t>
      </w:r>
      <w:r w:rsidR="007A09AD" w:rsidRPr="00893AD7">
        <w:rPr>
          <w:lang w:val="en-US"/>
        </w:rPr>
        <w:t xml:space="preserve">  Stakeholders also highlighted the importance of PLP being willing to take risks in engaging in controversial areas – in particular a willingness to support initiatives that had a reasonably high chance of failing.</w:t>
      </w:r>
      <w:r w:rsidR="000A7290" w:rsidRPr="00893AD7">
        <w:rPr>
          <w:rStyle w:val="FootnoteReference"/>
          <w:lang w:val="en-US"/>
        </w:rPr>
        <w:footnoteReference w:id="90"/>
      </w:r>
      <w:r w:rsidR="007A09AD" w:rsidRPr="00893AD7">
        <w:rPr>
          <w:lang w:val="en-US"/>
        </w:rPr>
        <w:t xml:space="preserve">  </w:t>
      </w:r>
    </w:p>
    <w:p w14:paraId="03DB615B" w14:textId="77777777" w:rsidR="007A09AD" w:rsidRPr="001C3654" w:rsidRDefault="007A09AD" w:rsidP="007A09AD">
      <w:pPr>
        <w:spacing w:before="120"/>
        <w:ind w:left="50"/>
        <w:rPr>
          <w:rFonts w:eastAsia="Calibri" w:cs="Times New Roman"/>
        </w:rPr>
      </w:pPr>
      <w:r w:rsidRPr="00893AD7">
        <w:rPr>
          <w:b/>
          <w:lang w:val="en-US"/>
        </w:rPr>
        <w:t xml:space="preserve">Despite these achievements, PLP3 will not achieve </w:t>
      </w:r>
      <w:r w:rsidRPr="00893AD7">
        <w:rPr>
          <w:rFonts w:eastAsia="Calibri" w:cs="Times New Roman"/>
          <w:b/>
        </w:rPr>
        <w:t>the program design's specific ambition for PLP3 to support achievement of "1-2 transformational institutional and/or policy level reforms each year".</w:t>
      </w:r>
      <w:r w:rsidRPr="00893AD7">
        <w:rPr>
          <w:rStyle w:val="FootnoteReference"/>
          <w:rFonts w:eastAsia="Calibri" w:cs="Times New Roman"/>
          <w:b/>
        </w:rPr>
        <w:footnoteReference w:id="91"/>
      </w:r>
      <w:r w:rsidRPr="00893AD7">
        <w:rPr>
          <w:rFonts w:eastAsia="Calibri" w:cs="Times New Roman"/>
        </w:rPr>
        <w:t xml:space="preserve">  This objective</w:t>
      </w:r>
      <w:r w:rsidR="0082592F" w:rsidRPr="00893AD7">
        <w:rPr>
          <w:rFonts w:eastAsia="Calibri" w:cs="Times New Roman"/>
        </w:rPr>
        <w:t xml:space="preserve"> of supporting transformational change</w:t>
      </w:r>
      <w:r w:rsidRPr="00893AD7">
        <w:rPr>
          <w:rFonts w:eastAsia="Calibri" w:cs="Times New Roman"/>
        </w:rPr>
        <w:t xml:space="preserve"> was arguably unrealistic in its ambition to begin with, in light of the program</w:t>
      </w:r>
      <w:r w:rsidR="00C66AA3" w:rsidRPr="00893AD7">
        <w:rPr>
          <w:rFonts w:eastAsia="Calibri" w:cs="Times New Roman"/>
        </w:rPr>
        <w:t xml:space="preserve"> design</w:t>
      </w:r>
      <w:r w:rsidRPr="00893AD7">
        <w:rPr>
          <w:rFonts w:eastAsia="Calibri" w:cs="Times New Roman"/>
        </w:rPr>
        <w:t>'s acknowledgement that transformational change takes a long time</w:t>
      </w:r>
      <w:r w:rsidR="00C757C9" w:rsidRPr="00893AD7">
        <w:rPr>
          <w:rFonts w:eastAsia="Calibri" w:cs="Times New Roman"/>
        </w:rPr>
        <w:t>.</w:t>
      </w:r>
      <w:r w:rsidR="002518FC" w:rsidRPr="00893AD7">
        <w:rPr>
          <w:rStyle w:val="FootnoteReference"/>
          <w:rFonts w:eastAsia="Calibri" w:cs="Times New Roman"/>
        </w:rPr>
        <w:footnoteReference w:id="92"/>
      </w:r>
      <w:r w:rsidRPr="00893AD7">
        <w:rPr>
          <w:rFonts w:eastAsia="Calibri" w:cs="Times New Roman"/>
        </w:rPr>
        <w:t xml:space="preserve">  It was also possibly unhelpful to the extent that it led PLP</w:t>
      </w:r>
      <w:r w:rsidR="002934EB" w:rsidRPr="00893AD7">
        <w:rPr>
          <w:rFonts w:eastAsia="Calibri" w:cs="Times New Roman"/>
        </w:rPr>
        <w:t>3</w:t>
      </w:r>
      <w:r w:rsidRPr="00893AD7">
        <w:rPr>
          <w:rFonts w:eastAsia="Calibri" w:cs="Times New Roman"/>
        </w:rPr>
        <w:t xml:space="preserve"> staff to focus on trying to demonstrate results </w:t>
      </w:r>
      <w:r w:rsidR="005F35D0" w:rsidRPr="00893AD7">
        <w:rPr>
          <w:rFonts w:eastAsia="Calibri" w:cs="Times New Roman"/>
        </w:rPr>
        <w:t>at the activity level</w:t>
      </w:r>
      <w:r w:rsidRPr="00893AD7">
        <w:rPr>
          <w:rFonts w:eastAsia="Calibri" w:cs="Times New Roman"/>
        </w:rPr>
        <w:t xml:space="preserve"> rather than </w:t>
      </w:r>
      <w:r w:rsidRPr="00893AD7">
        <w:rPr>
          <w:lang w:val="en-US"/>
        </w:rPr>
        <w:t>higher level facilitation of networks, coalitions and leadership.</w:t>
      </w:r>
      <w:r w:rsidRPr="001C3654">
        <w:rPr>
          <w:lang w:val="en-US"/>
        </w:rPr>
        <w:t xml:space="preserve">  </w:t>
      </w:r>
    </w:p>
    <w:p w14:paraId="1232945D" w14:textId="77777777" w:rsidR="00342FA6" w:rsidRPr="00500F71" w:rsidRDefault="00342FA6" w:rsidP="00500F71">
      <w:pPr>
        <w:pStyle w:val="SDANumberedheading2"/>
        <w:ind w:left="709" w:hanging="709"/>
      </w:pPr>
      <w:bookmarkStart w:id="50" w:name="_Toc486247212"/>
      <w:r w:rsidRPr="00500F71">
        <w:t>Gender Equality</w:t>
      </w:r>
      <w:bookmarkEnd w:id="50"/>
      <w:r w:rsidR="001B7A0D">
        <w:t xml:space="preserve"> </w:t>
      </w:r>
    </w:p>
    <w:p w14:paraId="39725F05" w14:textId="77777777" w:rsidR="001B7A0D" w:rsidRPr="001C3654" w:rsidRDefault="00270826" w:rsidP="009F56CE">
      <w:pPr>
        <w:spacing w:before="120"/>
        <w:rPr>
          <w:rFonts w:eastAsia="Calibri" w:cs="Times New Roman"/>
        </w:rPr>
      </w:pPr>
      <w:r w:rsidRPr="001C3654">
        <w:rPr>
          <w:rFonts w:eastAsia="Calibri" w:cs="Times New Roman"/>
          <w:b/>
        </w:rPr>
        <w:t>Political analysis and governance assessments too often have overlook</w:t>
      </w:r>
      <w:r w:rsidR="009F56CE" w:rsidRPr="001C3654">
        <w:rPr>
          <w:rFonts w:eastAsia="Calibri" w:cs="Times New Roman"/>
          <w:b/>
        </w:rPr>
        <w:t>ed</w:t>
      </w:r>
      <w:r w:rsidRPr="001C3654">
        <w:rPr>
          <w:rFonts w:eastAsia="Calibri" w:cs="Times New Roman"/>
          <w:b/>
        </w:rPr>
        <w:t xml:space="preserve"> issues of gender</w:t>
      </w:r>
      <w:r w:rsidRPr="001C3654">
        <w:rPr>
          <w:rFonts w:eastAsia="Calibri" w:cs="Times New Roman"/>
        </w:rPr>
        <w:t>.</w:t>
      </w:r>
      <w:r w:rsidRPr="001C3654">
        <w:rPr>
          <w:rStyle w:val="FootnoteReference"/>
          <w:rFonts w:eastAsia="Calibri" w:cs="Times New Roman"/>
        </w:rPr>
        <w:footnoteReference w:id="93"/>
      </w:r>
      <w:r w:rsidRPr="001C3654">
        <w:rPr>
          <w:rFonts w:eastAsia="Calibri" w:cs="Times New Roman"/>
        </w:rPr>
        <w:t xml:space="preserve"> </w:t>
      </w:r>
      <w:r w:rsidR="001B7A0D" w:rsidRPr="001C3654">
        <w:rPr>
          <w:rFonts w:eastAsia="Calibri" w:cs="Times New Roman"/>
        </w:rPr>
        <w:t xml:space="preserve">In </w:t>
      </w:r>
      <w:r w:rsidR="0082592F" w:rsidRPr="001C3654">
        <w:rPr>
          <w:rFonts w:eastAsia="Calibri" w:cs="Times New Roman"/>
        </w:rPr>
        <w:t>p</w:t>
      </w:r>
      <w:r w:rsidR="001B7A0D" w:rsidRPr="001C3654">
        <w:rPr>
          <w:rFonts w:eastAsia="Calibri" w:cs="Times New Roman"/>
        </w:rPr>
        <w:t xml:space="preserve">hase 3, PLP developed a </w:t>
      </w:r>
      <w:r w:rsidR="001B7A0D" w:rsidRPr="001C3654">
        <w:rPr>
          <w:rFonts w:eastAsia="Calibri" w:cs="Times New Roman"/>
          <w:i/>
        </w:rPr>
        <w:t>Gender and Disability Inclusion Strategy</w:t>
      </w:r>
      <w:r w:rsidR="001B7A0D" w:rsidRPr="001C3654">
        <w:rPr>
          <w:rFonts w:eastAsia="Calibri" w:cs="Times New Roman"/>
        </w:rPr>
        <w:t xml:space="preserve"> to </w:t>
      </w:r>
      <w:r w:rsidR="009F56CE" w:rsidRPr="001C3654">
        <w:rPr>
          <w:rFonts w:eastAsia="Calibri" w:cs="Times New Roman"/>
        </w:rPr>
        <w:t xml:space="preserve">strengthen its approach to gender equality and disability inclusion. This strategy has </w:t>
      </w:r>
      <w:r w:rsidR="001B7A0D" w:rsidRPr="001C3654">
        <w:rPr>
          <w:rFonts w:eastAsia="Calibri" w:cs="Times New Roman"/>
        </w:rPr>
        <w:t>provid</w:t>
      </w:r>
      <w:r w:rsidR="009F56CE" w:rsidRPr="001C3654">
        <w:rPr>
          <w:rFonts w:eastAsia="Calibri" w:cs="Times New Roman"/>
        </w:rPr>
        <w:t>ed</w:t>
      </w:r>
      <w:r w:rsidR="001B7A0D" w:rsidRPr="001C3654">
        <w:rPr>
          <w:rFonts w:eastAsia="Calibri" w:cs="Times New Roman"/>
        </w:rPr>
        <w:t xml:space="preserve"> guidance to PLP</w:t>
      </w:r>
      <w:r w:rsidR="00C757C9" w:rsidRPr="001C3654">
        <w:rPr>
          <w:rFonts w:eastAsia="Calibri" w:cs="Times New Roman"/>
        </w:rPr>
        <w:t>3</w:t>
      </w:r>
      <w:r w:rsidR="001B7A0D" w:rsidRPr="001C3654">
        <w:rPr>
          <w:rFonts w:eastAsia="Calibri" w:cs="Times New Roman"/>
        </w:rPr>
        <w:t xml:space="preserve"> staff and other stakeholders on how </w:t>
      </w:r>
      <w:r w:rsidR="009F56CE" w:rsidRPr="001C3654">
        <w:rPr>
          <w:rFonts w:eastAsia="Calibri" w:cs="Times New Roman"/>
        </w:rPr>
        <w:t>these issues</w:t>
      </w:r>
      <w:r w:rsidR="001B7A0D" w:rsidRPr="001C3654">
        <w:rPr>
          <w:rFonts w:eastAsia="Calibri" w:cs="Times New Roman"/>
        </w:rPr>
        <w:t xml:space="preserve"> </w:t>
      </w:r>
      <w:r w:rsidRPr="001C3654">
        <w:rPr>
          <w:rFonts w:eastAsia="Calibri" w:cs="Times New Roman"/>
        </w:rPr>
        <w:t>could</w:t>
      </w:r>
      <w:r w:rsidR="001B7A0D" w:rsidRPr="001C3654">
        <w:rPr>
          <w:rFonts w:eastAsia="Calibri" w:cs="Times New Roman"/>
        </w:rPr>
        <w:t xml:space="preserve"> be considered and incorporated into </w:t>
      </w:r>
      <w:r w:rsidR="00C757C9" w:rsidRPr="001C3654">
        <w:rPr>
          <w:rFonts w:eastAsia="Calibri" w:cs="Times New Roman"/>
        </w:rPr>
        <w:t>program</w:t>
      </w:r>
      <w:r w:rsidR="001B7A0D" w:rsidRPr="001C3654">
        <w:rPr>
          <w:rFonts w:eastAsia="Calibri" w:cs="Times New Roman"/>
        </w:rPr>
        <w:t xml:space="preserve"> activities.</w:t>
      </w:r>
      <w:r w:rsidR="0082592F" w:rsidRPr="001C3654">
        <w:rPr>
          <w:rStyle w:val="FootnoteReference"/>
          <w:rFonts w:eastAsia="Calibri" w:cs="Times New Roman"/>
        </w:rPr>
        <w:footnoteReference w:id="94"/>
      </w:r>
      <w:r w:rsidR="001B7A0D" w:rsidRPr="001C3654">
        <w:rPr>
          <w:rFonts w:eastAsia="Calibri" w:cs="Times New Roman"/>
        </w:rPr>
        <w:t xml:space="preserve"> </w:t>
      </w:r>
    </w:p>
    <w:p w14:paraId="73B4153C" w14:textId="77777777" w:rsidR="009F56CE" w:rsidRPr="005B3F9B" w:rsidRDefault="008172FE" w:rsidP="009F56CE">
      <w:pPr>
        <w:spacing w:before="120"/>
        <w:rPr>
          <w:u w:color="386EFF"/>
        </w:rPr>
      </w:pPr>
      <w:r w:rsidRPr="001C3654">
        <w:rPr>
          <w:rFonts w:eastAsia="Calibri" w:cs="Times New Roman"/>
        </w:rPr>
        <w:t>The program</w:t>
      </w:r>
      <w:r w:rsidR="00021AB5" w:rsidRPr="001C3654">
        <w:rPr>
          <w:rFonts w:eastAsia="Calibri" w:cs="Times New Roman"/>
        </w:rPr>
        <w:t xml:space="preserve"> collect</w:t>
      </w:r>
      <w:r w:rsidRPr="001C3654">
        <w:rPr>
          <w:rFonts w:eastAsia="Calibri" w:cs="Times New Roman"/>
        </w:rPr>
        <w:t>s</w:t>
      </w:r>
      <w:r w:rsidR="00021AB5" w:rsidRPr="001C3654">
        <w:rPr>
          <w:rFonts w:eastAsia="Calibri" w:cs="Times New Roman"/>
        </w:rPr>
        <w:t xml:space="preserve"> </w:t>
      </w:r>
      <w:r w:rsidR="009F56CE" w:rsidRPr="001C3654">
        <w:rPr>
          <w:rFonts w:eastAsia="Calibri" w:cs="Times New Roman"/>
        </w:rPr>
        <w:t xml:space="preserve">and reports on </w:t>
      </w:r>
      <w:r w:rsidR="00021AB5" w:rsidRPr="001C3654">
        <w:rPr>
          <w:rFonts w:eastAsia="Calibri" w:cs="Times New Roman"/>
        </w:rPr>
        <w:t xml:space="preserve">sex-disaggregated data through its </w:t>
      </w:r>
      <w:r w:rsidRPr="001C3654">
        <w:rPr>
          <w:rFonts w:eastAsia="Calibri" w:cs="Times New Roman"/>
        </w:rPr>
        <w:t>monitoring</w:t>
      </w:r>
      <w:r w:rsidR="00021AB5" w:rsidRPr="001C3654">
        <w:rPr>
          <w:rFonts w:eastAsia="Calibri" w:cs="Times New Roman"/>
        </w:rPr>
        <w:t xml:space="preserve"> and evaluation </w:t>
      </w:r>
      <w:r w:rsidR="009F56CE" w:rsidRPr="001C3654">
        <w:rPr>
          <w:rFonts w:eastAsia="Calibri" w:cs="Times New Roman"/>
        </w:rPr>
        <w:t>activities.</w:t>
      </w:r>
      <w:r w:rsidR="002A0E65" w:rsidRPr="001C3654">
        <w:rPr>
          <w:rStyle w:val="FootnoteReference"/>
          <w:rFonts w:eastAsia="Calibri" w:cs="Times New Roman"/>
        </w:rPr>
        <w:footnoteReference w:id="95"/>
      </w:r>
      <w:r w:rsidR="009F56CE" w:rsidRPr="001C3654">
        <w:rPr>
          <w:rFonts w:eastAsia="Calibri" w:cs="Times New Roman"/>
        </w:rPr>
        <w:t xml:space="preserve"> </w:t>
      </w:r>
      <w:r w:rsidR="00C757C9" w:rsidRPr="001C3654">
        <w:rPr>
          <w:rFonts w:eastAsia="Calibri" w:cs="Times New Roman"/>
        </w:rPr>
        <w:t>For example, a</w:t>
      </w:r>
      <w:r w:rsidR="009F56CE" w:rsidRPr="001C3654">
        <w:rPr>
          <w:rFonts w:eastAsia="Calibri" w:cs="Times New Roman"/>
        </w:rPr>
        <w:t xml:space="preserve"> recent evaluation of the ada</w:t>
      </w:r>
      <w:r w:rsidR="009F56CE" w:rsidRPr="001C3654">
        <w:rPr>
          <w:u w:color="386EFF"/>
        </w:rPr>
        <w:t xml:space="preserve">ptive leadership </w:t>
      </w:r>
      <w:r w:rsidR="00C757C9" w:rsidRPr="001C3654">
        <w:rPr>
          <w:u w:color="386EFF"/>
        </w:rPr>
        <w:t xml:space="preserve">training </w:t>
      </w:r>
      <w:r w:rsidR="009F56CE" w:rsidRPr="001C3654">
        <w:rPr>
          <w:u w:color="386EFF"/>
        </w:rPr>
        <w:t xml:space="preserve">found that the training has particular </w:t>
      </w:r>
      <w:r w:rsidR="002A0E65" w:rsidRPr="001C3654">
        <w:rPr>
          <w:u w:color="386EFF"/>
        </w:rPr>
        <w:t>relevance</w:t>
      </w:r>
      <w:r w:rsidR="009F56CE" w:rsidRPr="001C3654">
        <w:rPr>
          <w:u w:color="386EFF"/>
        </w:rPr>
        <w:t xml:space="preserve"> for women leaders and gender advocates.</w:t>
      </w:r>
      <w:r w:rsidR="009F56CE" w:rsidRPr="001C3654">
        <w:rPr>
          <w:rStyle w:val="FootnoteReference"/>
          <w:u w:color="386EFF"/>
        </w:rPr>
        <w:footnoteReference w:id="96"/>
      </w:r>
      <w:r w:rsidR="009F56CE" w:rsidRPr="001C3654">
        <w:rPr>
          <w:u w:color="386EFF"/>
        </w:rPr>
        <w:t xml:space="preserve">  The report states that: “Women leaders and gender advocates identify most readily with the adaptive leadership framework. This may be because Pacific women are often denied formal authority roles in society and have developed strategies for leading without authority – mobili</w:t>
      </w:r>
      <w:r w:rsidR="00F960BB">
        <w:rPr>
          <w:u w:color="386EFF"/>
        </w:rPr>
        <w:t>s</w:t>
      </w:r>
      <w:r w:rsidR="009F56CE" w:rsidRPr="001C3654">
        <w:rPr>
          <w:u w:color="386EFF"/>
        </w:rPr>
        <w:t>ing support in creative and collaborative ways.  Women are also used to exercising both ‘hard’ (more formal) and ‘soft’ (more</w:t>
      </w:r>
      <w:r w:rsidR="009F56CE" w:rsidRPr="001C3654">
        <w:t xml:space="preserve"> adaptive, subtle) leadership to </w:t>
      </w:r>
      <w:r w:rsidR="009F56CE" w:rsidRPr="001C3654">
        <w:rPr>
          <w:u w:color="386EFF"/>
        </w:rPr>
        <w:t>progress their agenda</w:t>
      </w:r>
      <w:r w:rsidR="009F56CE" w:rsidRPr="001C3654">
        <w:t>.”</w:t>
      </w:r>
      <w:r w:rsidR="009F56CE" w:rsidRPr="005B3F9B">
        <w:t xml:space="preserve"> </w:t>
      </w:r>
    </w:p>
    <w:p w14:paraId="5E9F9781" w14:textId="77777777" w:rsidR="00021AB5" w:rsidRPr="001C3654" w:rsidRDefault="009F56CE" w:rsidP="009F56CE">
      <w:pPr>
        <w:spacing w:before="120"/>
        <w:rPr>
          <w:rFonts w:eastAsia="Calibri" w:cs="Times New Roman"/>
        </w:rPr>
      </w:pPr>
      <w:r w:rsidRPr="001C3654">
        <w:rPr>
          <w:rFonts w:eastAsia="Calibri" w:cs="Times New Roman"/>
        </w:rPr>
        <w:t>PLP3 has supported coalitions and networks of Pacific women to increase women's access to decision</w:t>
      </w:r>
      <w:r w:rsidR="0082592F" w:rsidRPr="001C3654">
        <w:rPr>
          <w:rFonts w:eastAsia="Calibri" w:cs="Times New Roman"/>
        </w:rPr>
        <w:t>-</w:t>
      </w:r>
      <w:r w:rsidRPr="001C3654">
        <w:rPr>
          <w:rFonts w:eastAsia="Calibri" w:cs="Times New Roman"/>
        </w:rPr>
        <w:t xml:space="preserve">making and improve women's economic empowerment. </w:t>
      </w:r>
      <w:r w:rsidRPr="001C3654">
        <w:rPr>
          <w:rFonts w:eastAsia="Calibri" w:cs="Times New Roman"/>
          <w:b/>
        </w:rPr>
        <w:t xml:space="preserve">Its investment in action research is </w:t>
      </w:r>
      <w:r w:rsidR="0082592F" w:rsidRPr="001C3654">
        <w:rPr>
          <w:rFonts w:eastAsia="Calibri" w:cs="Times New Roman"/>
          <w:b/>
        </w:rPr>
        <w:t xml:space="preserve">starting to </w:t>
      </w:r>
      <w:r w:rsidRPr="001C3654">
        <w:rPr>
          <w:rFonts w:eastAsia="Calibri" w:cs="Times New Roman"/>
          <w:b/>
        </w:rPr>
        <w:t>contribut</w:t>
      </w:r>
      <w:r w:rsidR="0082592F" w:rsidRPr="001C3654">
        <w:rPr>
          <w:rFonts w:eastAsia="Calibri" w:cs="Times New Roman"/>
          <w:b/>
        </w:rPr>
        <w:t>e</w:t>
      </w:r>
      <w:r w:rsidRPr="001C3654">
        <w:rPr>
          <w:rFonts w:eastAsia="Calibri" w:cs="Times New Roman"/>
          <w:b/>
        </w:rPr>
        <w:t xml:space="preserve"> to a discourse on gender and leadership</w:t>
      </w:r>
      <w:r w:rsidRPr="001C3654">
        <w:rPr>
          <w:rFonts w:eastAsia="Calibri" w:cs="Times New Roman"/>
        </w:rPr>
        <w:t>.</w:t>
      </w:r>
      <w:r w:rsidRPr="001C3654">
        <w:rPr>
          <w:rStyle w:val="FootnoteReference"/>
          <w:rFonts w:eastAsia="Calibri" w:cs="Times New Roman"/>
        </w:rPr>
        <w:footnoteReference w:id="97"/>
      </w:r>
    </w:p>
    <w:p w14:paraId="2B8421AE" w14:textId="77777777" w:rsidR="00757F06" w:rsidRPr="001C3654" w:rsidRDefault="009F56CE" w:rsidP="009F56CE">
      <w:pPr>
        <w:spacing w:before="120"/>
        <w:rPr>
          <w:rFonts w:eastAsia="Calibri" w:cs="Times New Roman"/>
        </w:rPr>
      </w:pPr>
      <w:r w:rsidRPr="001C3654">
        <w:rPr>
          <w:rFonts w:eastAsia="Calibri" w:cs="Times New Roman"/>
          <w:b/>
        </w:rPr>
        <w:t xml:space="preserve">Women’s leadership is a </w:t>
      </w:r>
      <w:r w:rsidR="00021AB5" w:rsidRPr="001C3654">
        <w:rPr>
          <w:rFonts w:eastAsia="Calibri" w:cs="Times New Roman"/>
          <w:b/>
        </w:rPr>
        <w:t xml:space="preserve">priority focus </w:t>
      </w:r>
      <w:r w:rsidRPr="001C3654">
        <w:rPr>
          <w:rFonts w:eastAsia="Calibri" w:cs="Times New Roman"/>
          <w:b/>
        </w:rPr>
        <w:t>under PLP3</w:t>
      </w:r>
      <w:r w:rsidRPr="001C3654">
        <w:rPr>
          <w:rFonts w:eastAsia="Calibri" w:cs="Times New Roman"/>
        </w:rPr>
        <w:t>.</w:t>
      </w:r>
      <w:r w:rsidR="00021AB5" w:rsidRPr="001C3654">
        <w:rPr>
          <w:rFonts w:eastAsia="Calibri" w:cs="Times New Roman"/>
        </w:rPr>
        <w:t xml:space="preserve"> Some examples of how </w:t>
      </w:r>
      <w:r w:rsidRPr="001C3654">
        <w:rPr>
          <w:rFonts w:eastAsia="Calibri" w:cs="Times New Roman"/>
        </w:rPr>
        <w:t xml:space="preserve">PLP3 has contributed to women’s leadership </w:t>
      </w:r>
      <w:r w:rsidR="00021AB5" w:rsidRPr="001C3654">
        <w:rPr>
          <w:rFonts w:eastAsia="Calibri" w:cs="Times New Roman"/>
        </w:rPr>
        <w:t>include</w:t>
      </w:r>
      <w:r w:rsidR="00757F06" w:rsidRPr="001C3654">
        <w:rPr>
          <w:rFonts w:eastAsia="Calibri" w:cs="Times New Roman"/>
        </w:rPr>
        <w:t xml:space="preserve">: </w:t>
      </w:r>
    </w:p>
    <w:p w14:paraId="070CE6AF" w14:textId="77777777" w:rsidR="008172FE" w:rsidRPr="001C3654" w:rsidRDefault="008172FE" w:rsidP="00CA1DBC">
      <w:pPr>
        <w:pStyle w:val="ListParagraph"/>
        <w:numPr>
          <w:ilvl w:val="0"/>
          <w:numId w:val="17"/>
        </w:numPr>
        <w:spacing w:before="120"/>
        <w:ind w:left="714" w:hanging="357"/>
        <w:rPr>
          <w:rFonts w:eastAsia="Calibri" w:cs="Times New Roman"/>
        </w:rPr>
      </w:pPr>
      <w:r w:rsidRPr="001C3654">
        <w:rPr>
          <w:rFonts w:eastAsia="Calibri" w:cs="Times New Roman"/>
        </w:rPr>
        <w:t>Increa</w:t>
      </w:r>
      <w:r w:rsidR="0082592F" w:rsidRPr="001C3654">
        <w:rPr>
          <w:rFonts w:eastAsia="Calibri" w:cs="Times New Roman"/>
        </w:rPr>
        <w:t>sing w</w:t>
      </w:r>
      <w:r w:rsidRPr="001C3654">
        <w:rPr>
          <w:rFonts w:eastAsia="Calibri" w:cs="Times New Roman"/>
        </w:rPr>
        <w:t xml:space="preserve">omen's </w:t>
      </w:r>
      <w:r w:rsidR="0082592F" w:rsidRPr="001C3654">
        <w:rPr>
          <w:rFonts w:eastAsia="Calibri" w:cs="Times New Roman"/>
        </w:rPr>
        <w:t>r</w:t>
      </w:r>
      <w:r w:rsidRPr="001C3654">
        <w:rPr>
          <w:rFonts w:eastAsia="Calibri" w:cs="Times New Roman"/>
        </w:rPr>
        <w:t xml:space="preserve">epresentation in </w:t>
      </w:r>
      <w:r w:rsidR="0082592F" w:rsidRPr="001C3654">
        <w:rPr>
          <w:rFonts w:eastAsia="Calibri" w:cs="Times New Roman"/>
        </w:rPr>
        <w:t>p</w:t>
      </w:r>
      <w:r w:rsidRPr="001C3654">
        <w:rPr>
          <w:rFonts w:eastAsia="Calibri" w:cs="Times New Roman"/>
        </w:rPr>
        <w:t xml:space="preserve">olitical </w:t>
      </w:r>
      <w:r w:rsidR="0082592F" w:rsidRPr="001C3654">
        <w:rPr>
          <w:rFonts w:eastAsia="Calibri" w:cs="Times New Roman"/>
        </w:rPr>
        <w:t>l</w:t>
      </w:r>
      <w:r w:rsidRPr="001C3654">
        <w:rPr>
          <w:rFonts w:eastAsia="Calibri" w:cs="Times New Roman"/>
        </w:rPr>
        <w:t xml:space="preserve">eadership in Vanuatu </w:t>
      </w:r>
      <w:r w:rsidR="002A0E65" w:rsidRPr="001C3654">
        <w:rPr>
          <w:rFonts w:eastAsia="Calibri" w:cs="Times New Roman"/>
        </w:rPr>
        <w:t>–</w:t>
      </w:r>
      <w:r w:rsidRPr="001C3654">
        <w:rPr>
          <w:rFonts w:eastAsia="Calibri" w:cs="Times New Roman"/>
        </w:rPr>
        <w:t xml:space="preserve"> </w:t>
      </w:r>
      <w:r w:rsidR="002A0E65" w:rsidRPr="001C3654">
        <w:rPr>
          <w:rFonts w:eastAsia="Calibri" w:cs="Times New Roman"/>
        </w:rPr>
        <w:t xml:space="preserve">the </w:t>
      </w:r>
      <w:r w:rsidRPr="001C3654">
        <w:rPr>
          <w:rFonts w:eastAsia="Calibri" w:cs="Times New Roman"/>
        </w:rPr>
        <w:t xml:space="preserve">WISDM coalition, led by the Vanuatu Department for Women's Affairs, advocated for reserved seats for women in local government and helped ten women to be elected to municipal councils in Port Vila and Luganville, including the first woman Deputy Mayor of Luganville. </w:t>
      </w:r>
    </w:p>
    <w:p w14:paraId="14FA6C38" w14:textId="77777777" w:rsidR="00757F06" w:rsidRPr="001C3654" w:rsidRDefault="00BF7E2D" w:rsidP="00CA1DBC">
      <w:pPr>
        <w:pStyle w:val="ListParagraph"/>
        <w:numPr>
          <w:ilvl w:val="0"/>
          <w:numId w:val="17"/>
        </w:numPr>
        <w:spacing w:before="120"/>
        <w:ind w:left="714" w:hanging="357"/>
        <w:rPr>
          <w:rFonts w:eastAsia="Calibri" w:cs="Times New Roman"/>
        </w:rPr>
      </w:pPr>
      <w:r w:rsidRPr="001C3654">
        <w:rPr>
          <w:rFonts w:eastAsia="Calibri" w:cs="Times New Roman"/>
        </w:rPr>
        <w:t>Increasing political participation of w</w:t>
      </w:r>
      <w:r w:rsidR="008172FE" w:rsidRPr="001C3654">
        <w:rPr>
          <w:rFonts w:eastAsia="Calibri" w:cs="Times New Roman"/>
        </w:rPr>
        <w:t xml:space="preserve">omen in Samoa </w:t>
      </w:r>
      <w:r w:rsidR="00757F06" w:rsidRPr="001C3654">
        <w:rPr>
          <w:rFonts w:eastAsia="Calibri" w:cs="Times New Roman"/>
        </w:rPr>
        <w:t>- PLP support to the SNLDF to convene a post-election forum, (partnership with UN Women) b</w:t>
      </w:r>
      <w:r w:rsidR="00AE64DF" w:rsidRPr="001C3654">
        <w:rPr>
          <w:rFonts w:eastAsia="Calibri" w:cs="Times New Roman"/>
        </w:rPr>
        <w:t>r</w:t>
      </w:r>
      <w:r w:rsidR="00757F06" w:rsidRPr="001C3654">
        <w:rPr>
          <w:rFonts w:eastAsia="Calibri" w:cs="Times New Roman"/>
        </w:rPr>
        <w:t xml:space="preserve">ought together women candidates to the 2016 elections including, the </w:t>
      </w:r>
      <w:r w:rsidRPr="001C3654">
        <w:rPr>
          <w:rFonts w:eastAsia="Calibri" w:cs="Times New Roman"/>
        </w:rPr>
        <w:t>three</w:t>
      </w:r>
      <w:r w:rsidR="00757F06" w:rsidRPr="001C3654">
        <w:rPr>
          <w:rFonts w:eastAsia="Calibri" w:cs="Times New Roman"/>
        </w:rPr>
        <w:t xml:space="preserve"> successful women </w:t>
      </w:r>
      <w:r w:rsidR="00C32C09" w:rsidRPr="001C3654">
        <w:rPr>
          <w:rFonts w:eastAsia="Calibri" w:cs="Times New Roman"/>
        </w:rPr>
        <w:t>members of parliament</w:t>
      </w:r>
      <w:r w:rsidR="00757F06" w:rsidRPr="001C3654">
        <w:rPr>
          <w:rFonts w:eastAsia="Calibri" w:cs="Times New Roman"/>
        </w:rPr>
        <w:t>.</w:t>
      </w:r>
    </w:p>
    <w:p w14:paraId="66164D00" w14:textId="77777777" w:rsidR="00757F06" w:rsidRPr="001C3654" w:rsidRDefault="00757F06" w:rsidP="00CA1DBC">
      <w:pPr>
        <w:pStyle w:val="ListParagraph"/>
        <w:numPr>
          <w:ilvl w:val="0"/>
          <w:numId w:val="17"/>
        </w:numPr>
        <w:spacing w:before="120"/>
        <w:ind w:left="714" w:hanging="357"/>
        <w:rPr>
          <w:rFonts w:eastAsia="Calibri" w:cs="Times New Roman"/>
        </w:rPr>
      </w:pPr>
      <w:r w:rsidRPr="001C3654">
        <w:rPr>
          <w:rFonts w:eastAsia="Calibri" w:cs="Times New Roman"/>
        </w:rPr>
        <w:t xml:space="preserve">Supporting </w:t>
      </w:r>
      <w:r w:rsidR="00BF7E2D" w:rsidRPr="001C3654">
        <w:rPr>
          <w:rFonts w:eastAsia="Calibri" w:cs="Times New Roman"/>
        </w:rPr>
        <w:t>c</w:t>
      </w:r>
      <w:r w:rsidRPr="001C3654">
        <w:rPr>
          <w:rFonts w:eastAsia="Calibri" w:cs="Times New Roman"/>
        </w:rPr>
        <w:t xml:space="preserve">oalitions to </w:t>
      </w:r>
      <w:r w:rsidR="00BF7E2D" w:rsidRPr="001C3654">
        <w:rPr>
          <w:rFonts w:eastAsia="Calibri" w:cs="Times New Roman"/>
        </w:rPr>
        <w:t>empower Tongan w</w:t>
      </w:r>
      <w:r w:rsidRPr="001C3654">
        <w:rPr>
          <w:rFonts w:eastAsia="Calibri" w:cs="Times New Roman"/>
        </w:rPr>
        <w:t xml:space="preserve">omen - In local government elections, a record number of women contested seats and two women were elected, including the first Woman District Officer in June 2016. Tailored training and mentoring support was provided </w:t>
      </w:r>
      <w:r w:rsidR="00BF7E2D" w:rsidRPr="001C3654">
        <w:rPr>
          <w:rFonts w:eastAsia="Calibri" w:cs="Times New Roman"/>
        </w:rPr>
        <w:t>to the women</w:t>
      </w:r>
      <w:r w:rsidR="000E65E7">
        <w:rPr>
          <w:rFonts w:eastAsia="Calibri" w:cs="Times New Roman"/>
        </w:rPr>
        <w:t xml:space="preserve"> before the election</w:t>
      </w:r>
      <w:r w:rsidR="00BF7E2D" w:rsidRPr="001C3654">
        <w:rPr>
          <w:rFonts w:eastAsia="Calibri" w:cs="Times New Roman"/>
        </w:rPr>
        <w:t xml:space="preserve"> </w:t>
      </w:r>
      <w:r w:rsidRPr="001C3654">
        <w:rPr>
          <w:rFonts w:eastAsia="Calibri" w:cs="Times New Roman"/>
        </w:rPr>
        <w:t>by the Women in Leadership coalition</w:t>
      </w:r>
      <w:r w:rsidR="00BF7E2D" w:rsidRPr="001C3654">
        <w:rPr>
          <w:rFonts w:eastAsia="Calibri" w:cs="Times New Roman"/>
        </w:rPr>
        <w:t xml:space="preserve"> (which is supported by PLP3)</w:t>
      </w:r>
      <w:r w:rsidRPr="001C3654">
        <w:rPr>
          <w:rFonts w:eastAsia="Calibri" w:cs="Times New Roman"/>
        </w:rPr>
        <w:t xml:space="preserve">, in partnership with the Department of Women's Affairs.  </w:t>
      </w:r>
    </w:p>
    <w:p w14:paraId="0094DCBC" w14:textId="77777777" w:rsidR="005844C8" w:rsidRDefault="005844C8" w:rsidP="005844C8">
      <w:pPr>
        <w:pStyle w:val="SDANumberedheading2"/>
        <w:ind w:left="709" w:hanging="709"/>
      </w:pPr>
      <w:bookmarkStart w:id="51" w:name="_Toc486247213"/>
      <w:r>
        <w:t>Value for Money</w:t>
      </w:r>
      <w:bookmarkEnd w:id="51"/>
    </w:p>
    <w:p w14:paraId="69E4C2B4" w14:textId="77777777" w:rsidR="00C55A16" w:rsidRPr="001C3654" w:rsidRDefault="00C55A16" w:rsidP="00C55A16">
      <w:pPr>
        <w:spacing w:before="120"/>
        <w:rPr>
          <w:rFonts w:ascii="Calibri" w:hAnsi="Calibri"/>
        </w:rPr>
      </w:pPr>
      <w:r w:rsidRPr="001C3654">
        <w:rPr>
          <w:rFonts w:ascii="Calibri" w:hAnsi="Calibri"/>
        </w:rPr>
        <w:t>Understanding PLP</w:t>
      </w:r>
      <w:r w:rsidR="00C757C9" w:rsidRPr="001C3654">
        <w:rPr>
          <w:rFonts w:ascii="Calibri" w:hAnsi="Calibri"/>
        </w:rPr>
        <w:t>3</w:t>
      </w:r>
      <w:r w:rsidRPr="001C3654">
        <w:rPr>
          <w:rFonts w:ascii="Calibri" w:hAnsi="Calibri"/>
        </w:rPr>
        <w:t xml:space="preserve">'s approach is critical to assessing the program's value for money.  </w:t>
      </w:r>
      <w:r w:rsidRPr="001C3654">
        <w:rPr>
          <w:rFonts w:ascii="Calibri" w:hAnsi="Calibri"/>
          <w:b/>
        </w:rPr>
        <w:t>Experimental, innovative programming – placing a series of small 'bets' to see which ones yield the best development 'dividends' is a good strategy for achieving value for money.</w:t>
      </w:r>
      <w:r w:rsidRPr="001C3654">
        <w:rPr>
          <w:rFonts w:ascii="Calibri" w:hAnsi="Calibri"/>
        </w:rPr>
        <w:t xml:space="preserve">   PLP</w:t>
      </w:r>
      <w:r w:rsidR="00BF7E2D" w:rsidRPr="001C3654">
        <w:rPr>
          <w:rFonts w:ascii="Calibri" w:hAnsi="Calibri"/>
        </w:rPr>
        <w:t>3</w:t>
      </w:r>
      <w:r w:rsidRPr="001C3654">
        <w:rPr>
          <w:rFonts w:ascii="Calibri" w:hAnsi="Calibri"/>
        </w:rPr>
        <w:t xml:space="preserve">'s support for the WISDM Coalition, for example, produced significant impact with a modest financial investment of </w:t>
      </w:r>
      <w:r w:rsidR="00D3246B" w:rsidRPr="001C3654">
        <w:rPr>
          <w:rFonts w:ascii="Calibri" w:hAnsi="Calibri"/>
        </w:rPr>
        <w:t xml:space="preserve">approximately </w:t>
      </w:r>
      <w:r w:rsidRPr="001C3654">
        <w:rPr>
          <w:rFonts w:ascii="Calibri" w:hAnsi="Calibri"/>
        </w:rPr>
        <w:t>AUD</w:t>
      </w:r>
      <w:r w:rsidR="00D3246B" w:rsidRPr="001C3654">
        <w:rPr>
          <w:bCs/>
          <w:lang w:val="en-US"/>
        </w:rPr>
        <w:t>254,697</w:t>
      </w:r>
      <w:r w:rsidR="00BF7E2D" w:rsidRPr="00CE099E">
        <w:rPr>
          <w:bCs/>
          <w:lang w:val="en-US"/>
        </w:rPr>
        <w:t>.</w:t>
      </w:r>
      <w:r w:rsidR="00D3246B" w:rsidRPr="00CE099E">
        <w:rPr>
          <w:rStyle w:val="FootnoteReference"/>
          <w:b/>
          <w:bCs/>
          <w:lang w:val="en-US"/>
        </w:rPr>
        <w:footnoteReference w:id="98"/>
      </w:r>
      <w:r w:rsidRPr="001C3654">
        <w:rPr>
          <w:rFonts w:ascii="Calibri" w:hAnsi="Calibri"/>
        </w:rPr>
        <w:t xml:space="preserve">  However, the strategy is only effective in achieving value for money if there is a system and willingness to walk away from poorly performing investments.  PLP</w:t>
      </w:r>
      <w:r w:rsidR="00BF7E2D" w:rsidRPr="001C3654">
        <w:rPr>
          <w:rFonts w:ascii="Calibri" w:hAnsi="Calibri"/>
        </w:rPr>
        <w:t>3</w:t>
      </w:r>
      <w:r w:rsidRPr="001C3654">
        <w:rPr>
          <w:rFonts w:ascii="Calibri" w:hAnsi="Calibri"/>
        </w:rPr>
        <w:t xml:space="preserve"> has demonstrated that willingness to some extent – Oxfam Vanuatu (2015), Leadership Vanuatu (2015) and the Solomon Islands Development Trust (December 2014) are three initiatives for which PLP</w:t>
      </w:r>
      <w:r w:rsidR="00BF7E2D" w:rsidRPr="001C3654">
        <w:rPr>
          <w:rFonts w:ascii="Calibri" w:hAnsi="Calibri"/>
        </w:rPr>
        <w:t>3</w:t>
      </w:r>
      <w:r w:rsidRPr="001C3654">
        <w:rPr>
          <w:rFonts w:ascii="Calibri" w:hAnsi="Calibri"/>
        </w:rPr>
        <w:t xml:space="preserve"> discontinued support because they were not on track to produce the desired results. More critically, there is </w:t>
      </w:r>
      <w:r w:rsidR="00BF7E2D" w:rsidRPr="001C3654">
        <w:rPr>
          <w:rFonts w:ascii="Calibri" w:hAnsi="Calibri"/>
        </w:rPr>
        <w:t>little</w:t>
      </w:r>
      <w:r w:rsidRPr="001C3654">
        <w:rPr>
          <w:rFonts w:ascii="Calibri" w:hAnsi="Calibri"/>
        </w:rPr>
        <w:t xml:space="preserve"> evidence that PLP</w:t>
      </w:r>
      <w:r w:rsidR="00BF7E2D" w:rsidRPr="001C3654">
        <w:rPr>
          <w:rFonts w:ascii="Calibri" w:hAnsi="Calibri"/>
        </w:rPr>
        <w:t>3</w:t>
      </w:r>
      <w:r w:rsidRPr="001C3654">
        <w:rPr>
          <w:rFonts w:ascii="Calibri" w:hAnsi="Calibri"/>
        </w:rPr>
        <w:t xml:space="preserve"> </w:t>
      </w:r>
      <w:r w:rsidR="00BF7E2D" w:rsidRPr="001C3654">
        <w:rPr>
          <w:rFonts w:ascii="Calibri" w:hAnsi="Calibri"/>
        </w:rPr>
        <w:t>used</w:t>
      </w:r>
      <w:r w:rsidRPr="001C3654">
        <w:rPr>
          <w:rFonts w:ascii="Calibri" w:hAnsi="Calibri"/>
        </w:rPr>
        <w:t xml:space="preserve"> a system</w:t>
      </w:r>
      <w:r w:rsidR="00BF7E2D" w:rsidRPr="001C3654">
        <w:rPr>
          <w:rFonts w:ascii="Calibri" w:hAnsi="Calibri"/>
        </w:rPr>
        <w:t>at</w:t>
      </w:r>
      <w:r w:rsidRPr="001C3654">
        <w:rPr>
          <w:rFonts w:ascii="Calibri" w:hAnsi="Calibri"/>
        </w:rPr>
        <w:t xml:space="preserve">ic approach to assessing the value of different partnerships and </w:t>
      </w:r>
      <w:r w:rsidR="00AF415C" w:rsidRPr="001C3654">
        <w:rPr>
          <w:rFonts w:ascii="Calibri" w:hAnsi="Calibri"/>
        </w:rPr>
        <w:t>investments</w:t>
      </w:r>
      <w:r w:rsidRPr="001C3654">
        <w:rPr>
          <w:rFonts w:ascii="Calibri" w:hAnsi="Calibri"/>
        </w:rPr>
        <w:t xml:space="preserve">. </w:t>
      </w:r>
    </w:p>
    <w:p w14:paraId="080E6C41" w14:textId="77777777" w:rsidR="00C55A16" w:rsidRPr="001C3654" w:rsidRDefault="00C55A16" w:rsidP="00C55A16">
      <w:pPr>
        <w:spacing w:before="120"/>
        <w:rPr>
          <w:rFonts w:ascii="Calibri" w:hAnsi="Calibri"/>
        </w:rPr>
      </w:pPr>
      <w:r w:rsidRPr="001C3654">
        <w:rPr>
          <w:rFonts w:ascii="Calibri" w:hAnsi="Calibri"/>
          <w:b/>
        </w:rPr>
        <w:t>PLP</w:t>
      </w:r>
      <w:r w:rsidR="00C757C9" w:rsidRPr="001C3654">
        <w:rPr>
          <w:rFonts w:ascii="Calibri" w:hAnsi="Calibri"/>
          <w:b/>
        </w:rPr>
        <w:t>3</w:t>
      </w:r>
      <w:r w:rsidRPr="001C3654">
        <w:rPr>
          <w:rFonts w:ascii="Calibri" w:hAnsi="Calibri"/>
          <w:b/>
        </w:rPr>
        <w:t xml:space="preserve"> should be expected to invest heavily in relationships through staffing. </w:t>
      </w:r>
      <w:r w:rsidRPr="001C3654">
        <w:rPr>
          <w:rFonts w:ascii="Calibri" w:hAnsi="Calibri"/>
        </w:rPr>
        <w:t>PLP</w:t>
      </w:r>
      <w:r w:rsidR="00C757C9" w:rsidRPr="001C3654">
        <w:rPr>
          <w:rFonts w:ascii="Calibri" w:hAnsi="Calibri"/>
        </w:rPr>
        <w:t>3</w:t>
      </w:r>
      <w:r w:rsidRPr="001C3654">
        <w:rPr>
          <w:rFonts w:ascii="Calibri" w:hAnsi="Calibri"/>
        </w:rPr>
        <w:t xml:space="preserve"> is not a standard aid program – its theory of change</w:t>
      </w:r>
      <w:r w:rsidR="00AE64DF" w:rsidRPr="001C3654">
        <w:rPr>
          <w:rFonts w:ascii="Calibri" w:hAnsi="Calibri"/>
        </w:rPr>
        <w:t xml:space="preserve"> (see</w:t>
      </w:r>
      <w:r w:rsidR="00AE64DF" w:rsidRPr="001C3654">
        <w:rPr>
          <w:rFonts w:ascii="Calibri" w:hAnsi="Calibri"/>
          <w:b/>
        </w:rPr>
        <w:t xml:space="preserve"> </w:t>
      </w:r>
      <w:r w:rsidR="00C32C09" w:rsidRPr="001C3654">
        <w:rPr>
          <w:rFonts w:ascii="Calibri" w:hAnsi="Calibri"/>
          <w:u w:val="single"/>
        </w:rPr>
        <w:t>a</w:t>
      </w:r>
      <w:r w:rsidR="00AE64DF" w:rsidRPr="001C3654">
        <w:rPr>
          <w:rFonts w:ascii="Calibri" w:hAnsi="Calibri"/>
          <w:u w:val="single"/>
        </w:rPr>
        <w:t>nnex 2</w:t>
      </w:r>
      <w:r w:rsidR="00AE64DF" w:rsidRPr="001C3654">
        <w:rPr>
          <w:rFonts w:ascii="Calibri" w:hAnsi="Calibri"/>
        </w:rPr>
        <w:t>)</w:t>
      </w:r>
      <w:r w:rsidRPr="001C3654">
        <w:rPr>
          <w:rFonts w:ascii="Calibri" w:hAnsi="Calibri"/>
        </w:rPr>
        <w:t xml:space="preserve"> articulates that the program will bring a range of resources to partners, not just funding. Accordingly, the model necessitates higher investment in relationships through staffing costs, and travel and hospitality costs, than are required for delivery of a grant program.  Activity costs have been in the vicinity of 57-60% of total expenditure, and personnel costs in the vicinity of 19-22%.</w:t>
      </w:r>
      <w:r w:rsidRPr="001C3654">
        <w:rPr>
          <w:rStyle w:val="FootnoteReference"/>
          <w:rFonts w:ascii="Calibri" w:hAnsi="Calibri"/>
        </w:rPr>
        <w:footnoteReference w:id="99"/>
      </w:r>
      <w:r w:rsidRPr="001C3654">
        <w:rPr>
          <w:rFonts w:ascii="Calibri" w:hAnsi="Calibri"/>
        </w:rPr>
        <w:t xml:space="preserve">  Stakeholder interviews confirm that many of PLP's partners place a high value on this non-financial contribution – including guidance, mentoring, networking and two-way dialogue provided by PLP</w:t>
      </w:r>
      <w:r w:rsidR="00C757C9" w:rsidRPr="001C3654">
        <w:rPr>
          <w:rFonts w:ascii="Calibri" w:hAnsi="Calibri"/>
        </w:rPr>
        <w:t>3</w:t>
      </w:r>
      <w:r w:rsidRPr="001C3654">
        <w:rPr>
          <w:rFonts w:ascii="Calibri" w:hAnsi="Calibri"/>
        </w:rPr>
        <w:t xml:space="preserve"> staff members.  </w:t>
      </w:r>
    </w:p>
    <w:p w14:paraId="2C5BB808" w14:textId="2B640E91" w:rsidR="00C55A16" w:rsidRPr="001C3654" w:rsidRDefault="00C55A16" w:rsidP="00C55A16">
      <w:pPr>
        <w:spacing w:before="120"/>
        <w:rPr>
          <w:rFonts w:ascii="Calibri" w:hAnsi="Calibri"/>
        </w:rPr>
      </w:pPr>
      <w:r w:rsidRPr="001C3654">
        <w:rPr>
          <w:rFonts w:ascii="Calibri" w:hAnsi="Calibri"/>
          <w:b/>
        </w:rPr>
        <w:t>PLP</w:t>
      </w:r>
      <w:r w:rsidR="00C757C9" w:rsidRPr="001C3654">
        <w:rPr>
          <w:rFonts w:ascii="Calibri" w:hAnsi="Calibri"/>
          <w:b/>
        </w:rPr>
        <w:t>3</w:t>
      </w:r>
      <w:r w:rsidRPr="001C3654">
        <w:rPr>
          <w:rFonts w:ascii="Calibri" w:hAnsi="Calibri"/>
          <w:b/>
        </w:rPr>
        <w:t>'s organisational structure is broadly appropriate in terms of value for money.</w:t>
      </w:r>
      <w:r w:rsidR="001F349A">
        <w:rPr>
          <w:rStyle w:val="FootnoteReference"/>
          <w:rFonts w:ascii="Calibri" w:hAnsi="Calibri"/>
          <w:b/>
        </w:rPr>
        <w:footnoteReference w:id="100"/>
      </w:r>
      <w:r w:rsidRPr="001C3654">
        <w:rPr>
          <w:rFonts w:ascii="Calibri" w:hAnsi="Calibri"/>
          <w:b/>
        </w:rPr>
        <w:t xml:space="preserve">  </w:t>
      </w:r>
      <w:r w:rsidRPr="001C3654">
        <w:rPr>
          <w:rFonts w:ascii="Calibri" w:hAnsi="Calibri"/>
        </w:rPr>
        <w:t>There are trade-offs to be made between centrali</w:t>
      </w:r>
      <w:r w:rsidR="008E5B9E">
        <w:rPr>
          <w:rFonts w:ascii="Calibri" w:hAnsi="Calibri"/>
        </w:rPr>
        <w:t>s</w:t>
      </w:r>
      <w:r w:rsidRPr="001C3654">
        <w:rPr>
          <w:rFonts w:ascii="Calibri" w:hAnsi="Calibri"/>
        </w:rPr>
        <w:t>ing organi</w:t>
      </w:r>
      <w:r w:rsidR="008E5B9E">
        <w:rPr>
          <w:rFonts w:ascii="Calibri" w:hAnsi="Calibri"/>
        </w:rPr>
        <w:t>s</w:t>
      </w:r>
      <w:r w:rsidRPr="001C3654">
        <w:rPr>
          <w:rFonts w:ascii="Calibri" w:hAnsi="Calibri"/>
        </w:rPr>
        <w:t>ational structures, and embedding the program within the countries in which it operates.  On the one hand, having staff centralised in the office in Suva would support program coherence and shared lesson learning.  On the other hand, having staff operating primarily in the relevant countries would maximise contextual knowledge and relationships at the national and sub-national level.  PLP</w:t>
      </w:r>
      <w:r w:rsidR="00BF7E2D" w:rsidRPr="001C3654">
        <w:rPr>
          <w:rFonts w:ascii="Calibri" w:hAnsi="Calibri"/>
        </w:rPr>
        <w:t>3</w:t>
      </w:r>
      <w:r w:rsidRPr="001C3654">
        <w:rPr>
          <w:rFonts w:ascii="Calibri" w:hAnsi="Calibri"/>
        </w:rPr>
        <w:t xml:space="preserve"> has chosen a hybrid approach, with the core team based in Suva and a country manager based in each of the four countries.  Each of these options has pros and cons, and a decisive judgement is extremely difficult to make, but the evaluation team's view is that PLP</w:t>
      </w:r>
      <w:r w:rsidR="00BF7E2D" w:rsidRPr="001C3654">
        <w:rPr>
          <w:rFonts w:ascii="Calibri" w:hAnsi="Calibri"/>
        </w:rPr>
        <w:t>3</w:t>
      </w:r>
      <w:r w:rsidRPr="001C3654">
        <w:rPr>
          <w:rFonts w:ascii="Calibri" w:hAnsi="Calibri"/>
        </w:rPr>
        <w:t>'s hybrid model is an appropriate one in terms of value for money.</w:t>
      </w:r>
      <w:r w:rsidR="00C757C9" w:rsidRPr="001C3654">
        <w:rPr>
          <w:rFonts w:ascii="Calibri" w:hAnsi="Calibri"/>
        </w:rPr>
        <w:t xml:space="preserve"> The regional Advisory Panel, though, appears not to have been effectively used to either guide the program or champion it. Looking ahead, a different model might provide greater value, such as national level steering or working committees.  </w:t>
      </w:r>
    </w:p>
    <w:p w14:paraId="55AFCA25" w14:textId="44E68A6B" w:rsidR="00C55A16" w:rsidRPr="001C3654" w:rsidRDefault="00C55A16" w:rsidP="00C55A16">
      <w:pPr>
        <w:spacing w:before="120"/>
        <w:rPr>
          <w:rFonts w:ascii="Calibri" w:hAnsi="Calibri"/>
        </w:rPr>
      </w:pPr>
      <w:r w:rsidRPr="001C3654">
        <w:rPr>
          <w:rFonts w:ascii="Calibri" w:hAnsi="Calibri"/>
          <w:b/>
        </w:rPr>
        <w:t>The weaknesses in PLP</w:t>
      </w:r>
      <w:r w:rsidR="00BF7E2D" w:rsidRPr="001C3654">
        <w:rPr>
          <w:rFonts w:ascii="Calibri" w:hAnsi="Calibri"/>
          <w:b/>
        </w:rPr>
        <w:t>3</w:t>
      </w:r>
      <w:r w:rsidRPr="001C3654">
        <w:rPr>
          <w:rFonts w:ascii="Calibri" w:hAnsi="Calibri"/>
          <w:b/>
        </w:rPr>
        <w:t xml:space="preserve">'s effectiveness articulated above do call into question the program's value for money. </w:t>
      </w:r>
      <w:r w:rsidRPr="001C3654">
        <w:rPr>
          <w:rFonts w:ascii="Calibri" w:hAnsi="Calibri"/>
        </w:rPr>
        <w:t xml:space="preserve"> In particular, the program's </w:t>
      </w:r>
      <w:r w:rsidR="00CE099E">
        <w:rPr>
          <w:rFonts w:ascii="Calibri" w:hAnsi="Calibri"/>
        </w:rPr>
        <w:t>limited success</w:t>
      </w:r>
      <w:r w:rsidR="00CE099E" w:rsidRPr="001C3654">
        <w:rPr>
          <w:rFonts w:ascii="Calibri" w:hAnsi="Calibri"/>
        </w:rPr>
        <w:t xml:space="preserve"> </w:t>
      </w:r>
      <w:r w:rsidR="00CA6362">
        <w:rPr>
          <w:rFonts w:ascii="Calibri" w:hAnsi="Calibri"/>
        </w:rPr>
        <w:t>in communicating</w:t>
      </w:r>
      <w:r w:rsidRPr="001C3654">
        <w:rPr>
          <w:rFonts w:ascii="Calibri" w:hAnsi="Calibri"/>
        </w:rPr>
        <w:t xml:space="preserve"> with influence within DFAT reduces the value the program is providing to DFAT.  </w:t>
      </w:r>
      <w:r w:rsidR="00BF7E2D" w:rsidRPr="001C3654">
        <w:rPr>
          <w:rFonts w:ascii="Calibri" w:hAnsi="Calibri"/>
        </w:rPr>
        <w:t>In hindsight, t</w:t>
      </w:r>
      <w:r w:rsidRPr="001C3654">
        <w:rPr>
          <w:rFonts w:ascii="Calibri" w:hAnsi="Calibri"/>
        </w:rPr>
        <w:t xml:space="preserve">he program </w:t>
      </w:r>
      <w:r w:rsidR="00CE099E">
        <w:rPr>
          <w:rFonts w:ascii="Calibri" w:hAnsi="Calibri"/>
        </w:rPr>
        <w:t xml:space="preserve">(and DFAT) </w:t>
      </w:r>
      <w:r w:rsidRPr="001C3654">
        <w:rPr>
          <w:rFonts w:ascii="Calibri" w:hAnsi="Calibri"/>
        </w:rPr>
        <w:t xml:space="preserve">under-invested in senior </w:t>
      </w:r>
      <w:r w:rsidR="00CE099E">
        <w:rPr>
          <w:rFonts w:ascii="Calibri" w:hAnsi="Calibri"/>
        </w:rPr>
        <w:t xml:space="preserve">strategic </w:t>
      </w:r>
      <w:r w:rsidRPr="001C3654">
        <w:rPr>
          <w:rFonts w:ascii="Calibri" w:hAnsi="Calibri"/>
        </w:rPr>
        <w:t xml:space="preserve">leadership, especially Pacific Islander leadership, and </w:t>
      </w:r>
      <w:r w:rsidR="00BF7E2D" w:rsidRPr="001C3654">
        <w:rPr>
          <w:rFonts w:ascii="Calibri" w:hAnsi="Calibri"/>
        </w:rPr>
        <w:t>did not fully</w:t>
      </w:r>
      <w:r w:rsidRPr="001C3654">
        <w:rPr>
          <w:rFonts w:ascii="Calibri" w:hAnsi="Calibri"/>
        </w:rPr>
        <w:t xml:space="preserve"> </w:t>
      </w:r>
      <w:r w:rsidR="008E5B9E" w:rsidRPr="001C3654">
        <w:rPr>
          <w:rFonts w:ascii="Calibri" w:hAnsi="Calibri"/>
        </w:rPr>
        <w:t>utili</w:t>
      </w:r>
      <w:r w:rsidR="008E5B9E">
        <w:rPr>
          <w:rFonts w:ascii="Calibri" w:hAnsi="Calibri"/>
        </w:rPr>
        <w:t>s</w:t>
      </w:r>
      <w:r w:rsidR="008E5B9E" w:rsidRPr="001C3654">
        <w:rPr>
          <w:rFonts w:ascii="Calibri" w:hAnsi="Calibri"/>
        </w:rPr>
        <w:t xml:space="preserve">e </w:t>
      </w:r>
      <w:r w:rsidRPr="001C3654">
        <w:rPr>
          <w:rFonts w:ascii="Calibri" w:hAnsi="Calibri"/>
        </w:rPr>
        <w:t>the Advisory Panel, including as champions for the program.  For its part, DFAT's low level of investment of its own time and attention to PLP</w:t>
      </w:r>
      <w:r w:rsidR="00BF7E2D" w:rsidRPr="001C3654">
        <w:rPr>
          <w:rFonts w:ascii="Calibri" w:hAnsi="Calibri"/>
        </w:rPr>
        <w:t>3</w:t>
      </w:r>
      <w:r w:rsidRPr="001C3654">
        <w:rPr>
          <w:rFonts w:ascii="Calibri" w:hAnsi="Calibri"/>
        </w:rPr>
        <w:t xml:space="preserve"> has constrained </w:t>
      </w:r>
      <w:r w:rsidR="00BF7E2D" w:rsidRPr="001C3654">
        <w:rPr>
          <w:rFonts w:ascii="Calibri" w:hAnsi="Calibri"/>
        </w:rPr>
        <w:t>DFAT’s</w:t>
      </w:r>
      <w:r w:rsidRPr="001C3654">
        <w:rPr>
          <w:rFonts w:ascii="Calibri" w:hAnsi="Calibri"/>
        </w:rPr>
        <w:t xml:space="preserve"> ability to extract </w:t>
      </w:r>
      <w:r w:rsidR="00BF7E2D" w:rsidRPr="001C3654">
        <w:rPr>
          <w:rFonts w:ascii="Calibri" w:hAnsi="Calibri"/>
        </w:rPr>
        <w:t xml:space="preserve">more </w:t>
      </w:r>
      <w:r w:rsidRPr="001C3654">
        <w:rPr>
          <w:rFonts w:ascii="Calibri" w:hAnsi="Calibri"/>
        </w:rPr>
        <w:t xml:space="preserve">value from the program.  </w:t>
      </w:r>
    </w:p>
    <w:tbl>
      <w:tblPr>
        <w:tblpPr w:leftFromText="180" w:rightFromText="180" w:vertAnchor="text" w:horzAnchor="page" w:tblpX="1562" w:tblpY="38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268"/>
        <w:gridCol w:w="2449"/>
        <w:gridCol w:w="1917"/>
      </w:tblGrid>
      <w:tr w:rsidR="00C55A16" w:rsidRPr="00CE099E" w14:paraId="72AC52A7" w14:textId="77777777" w:rsidTr="00CE45C9">
        <w:trPr>
          <w:trHeight w:val="452"/>
        </w:trPr>
        <w:tc>
          <w:tcPr>
            <w:tcW w:w="9039" w:type="dxa"/>
            <w:gridSpan w:val="4"/>
            <w:tcMar>
              <w:top w:w="200" w:type="nil"/>
              <w:left w:w="100" w:type="nil"/>
              <w:bottom w:w="100" w:type="nil"/>
              <w:right w:w="200" w:type="nil"/>
            </w:tcMar>
          </w:tcPr>
          <w:p w14:paraId="53EAD2F8" w14:textId="77777777" w:rsidR="00C55A16" w:rsidRPr="001C3654" w:rsidRDefault="00C55A16" w:rsidP="0098356E">
            <w:pPr>
              <w:spacing w:before="120"/>
              <w:jc w:val="center"/>
              <w:rPr>
                <w:rFonts w:ascii="Calibri" w:hAnsi="Calibri"/>
                <w:b/>
                <w:bCs/>
                <w:lang w:val="en-US"/>
              </w:rPr>
            </w:pPr>
            <w:r w:rsidRPr="001C3654">
              <w:rPr>
                <w:rFonts w:ascii="Calibri" w:hAnsi="Calibri"/>
                <w:b/>
              </w:rPr>
              <w:t>DFAT VALUE FOR MONEY PRINCIPLES</w:t>
            </w:r>
            <w:r w:rsidRPr="001C3654">
              <w:rPr>
                <w:rFonts w:ascii="Calibri" w:hAnsi="Calibri"/>
                <w:b/>
                <w:vertAlign w:val="superscript"/>
              </w:rPr>
              <w:footnoteReference w:id="101"/>
            </w:r>
          </w:p>
        </w:tc>
      </w:tr>
      <w:tr w:rsidR="00C55A16" w:rsidRPr="00CE099E" w14:paraId="0C0466A7" w14:textId="77777777" w:rsidTr="00CE45C9">
        <w:trPr>
          <w:trHeight w:val="417"/>
        </w:trPr>
        <w:tc>
          <w:tcPr>
            <w:tcW w:w="2405" w:type="dxa"/>
            <w:tcMar>
              <w:top w:w="200" w:type="nil"/>
              <w:left w:w="100" w:type="nil"/>
              <w:bottom w:w="100" w:type="nil"/>
              <w:right w:w="200" w:type="nil"/>
            </w:tcMar>
          </w:tcPr>
          <w:p w14:paraId="57EBB359" w14:textId="77777777" w:rsidR="00C55A16" w:rsidRPr="001C3654" w:rsidRDefault="00C55A16" w:rsidP="0098356E">
            <w:pPr>
              <w:spacing w:before="120"/>
              <w:jc w:val="center"/>
              <w:rPr>
                <w:rFonts w:ascii="Calibri" w:hAnsi="Calibri"/>
                <w:b/>
                <w:bCs/>
                <w:lang w:val="en-US"/>
              </w:rPr>
            </w:pPr>
            <w:r w:rsidRPr="001C3654">
              <w:rPr>
                <w:rFonts w:ascii="Calibri" w:hAnsi="Calibri"/>
                <w:b/>
                <w:bCs/>
                <w:lang w:val="en-US"/>
              </w:rPr>
              <w:t>Economy</w:t>
            </w:r>
          </w:p>
        </w:tc>
        <w:tc>
          <w:tcPr>
            <w:tcW w:w="2268" w:type="dxa"/>
            <w:tcMar>
              <w:top w:w="200" w:type="nil"/>
              <w:left w:w="100" w:type="nil"/>
              <w:bottom w:w="100" w:type="nil"/>
              <w:right w:w="200" w:type="nil"/>
            </w:tcMar>
          </w:tcPr>
          <w:p w14:paraId="084C3FB7" w14:textId="77777777" w:rsidR="00C55A16" w:rsidRPr="001C3654" w:rsidRDefault="00C55A16" w:rsidP="0098356E">
            <w:pPr>
              <w:spacing w:before="120"/>
              <w:jc w:val="center"/>
              <w:rPr>
                <w:rFonts w:ascii="Calibri" w:hAnsi="Calibri"/>
                <w:b/>
                <w:bCs/>
                <w:lang w:val="en-US"/>
              </w:rPr>
            </w:pPr>
            <w:r w:rsidRPr="001C3654">
              <w:rPr>
                <w:rFonts w:ascii="Calibri" w:hAnsi="Calibri"/>
                <w:b/>
                <w:bCs/>
                <w:lang w:val="en-US"/>
              </w:rPr>
              <w:t>Efficiency</w:t>
            </w:r>
          </w:p>
        </w:tc>
        <w:tc>
          <w:tcPr>
            <w:tcW w:w="2449" w:type="dxa"/>
            <w:tcMar>
              <w:top w:w="200" w:type="nil"/>
              <w:left w:w="100" w:type="nil"/>
              <w:bottom w:w="100" w:type="nil"/>
              <w:right w:w="200" w:type="nil"/>
            </w:tcMar>
          </w:tcPr>
          <w:p w14:paraId="703515E9" w14:textId="77777777" w:rsidR="00C55A16" w:rsidRPr="001C3654" w:rsidRDefault="00C55A16" w:rsidP="0098356E">
            <w:pPr>
              <w:spacing w:before="120"/>
              <w:jc w:val="center"/>
              <w:rPr>
                <w:rFonts w:ascii="Calibri" w:hAnsi="Calibri"/>
                <w:b/>
                <w:bCs/>
                <w:lang w:val="en-US"/>
              </w:rPr>
            </w:pPr>
            <w:r w:rsidRPr="001C3654">
              <w:rPr>
                <w:rFonts w:ascii="Calibri" w:hAnsi="Calibri"/>
                <w:b/>
                <w:bCs/>
                <w:lang w:val="en-US"/>
              </w:rPr>
              <w:t>Effectiveness</w:t>
            </w:r>
          </w:p>
        </w:tc>
        <w:tc>
          <w:tcPr>
            <w:tcW w:w="1917" w:type="dxa"/>
            <w:tcMar>
              <w:top w:w="200" w:type="nil"/>
              <w:left w:w="100" w:type="nil"/>
              <w:bottom w:w="100" w:type="nil"/>
              <w:right w:w="200" w:type="nil"/>
            </w:tcMar>
          </w:tcPr>
          <w:p w14:paraId="3F9681F5" w14:textId="77777777" w:rsidR="00C55A16" w:rsidRPr="001C3654" w:rsidRDefault="00C55A16" w:rsidP="0098356E">
            <w:pPr>
              <w:spacing w:before="120"/>
              <w:jc w:val="center"/>
              <w:rPr>
                <w:rFonts w:ascii="Calibri" w:hAnsi="Calibri"/>
                <w:b/>
                <w:bCs/>
                <w:lang w:val="en-US"/>
              </w:rPr>
            </w:pPr>
            <w:r w:rsidRPr="001C3654">
              <w:rPr>
                <w:rFonts w:ascii="Calibri" w:hAnsi="Calibri"/>
                <w:b/>
                <w:bCs/>
                <w:lang w:val="en-US"/>
              </w:rPr>
              <w:t>Ethics</w:t>
            </w:r>
          </w:p>
        </w:tc>
      </w:tr>
      <w:tr w:rsidR="00C55A16" w:rsidRPr="00CE099E" w14:paraId="73FF40BE" w14:textId="77777777" w:rsidTr="00CA1DBC">
        <w:trPr>
          <w:trHeight w:val="132"/>
        </w:trPr>
        <w:tc>
          <w:tcPr>
            <w:tcW w:w="2405" w:type="dxa"/>
            <w:tcMar>
              <w:top w:w="200" w:type="nil"/>
              <w:left w:w="100" w:type="nil"/>
              <w:bottom w:w="100" w:type="nil"/>
              <w:right w:w="200" w:type="nil"/>
            </w:tcMar>
          </w:tcPr>
          <w:p w14:paraId="1FE2D58F" w14:textId="77777777" w:rsidR="00C55A16" w:rsidRPr="001C3654" w:rsidRDefault="00C55A16" w:rsidP="00CE45C9">
            <w:pPr>
              <w:spacing w:after="0"/>
              <w:jc w:val="left"/>
              <w:rPr>
                <w:rFonts w:ascii="Calibri" w:hAnsi="Calibri"/>
                <w:lang w:val="en-US"/>
              </w:rPr>
            </w:pPr>
            <w:r w:rsidRPr="001C3654">
              <w:rPr>
                <w:rFonts w:ascii="Calibri" w:hAnsi="Calibri"/>
                <w:b/>
                <w:lang w:val="en-US"/>
              </w:rPr>
              <w:t>1.</w:t>
            </w:r>
            <w:r w:rsidRPr="001C3654">
              <w:rPr>
                <w:rFonts w:ascii="Calibri" w:hAnsi="Calibri"/>
                <w:lang w:val="en-US"/>
              </w:rPr>
              <w:t xml:space="preserve"> Cost consciousness</w:t>
            </w:r>
          </w:p>
          <w:p w14:paraId="5C278DF6" w14:textId="77777777" w:rsidR="00C55A16" w:rsidRPr="001C3654" w:rsidRDefault="00C55A16" w:rsidP="00CE45C9">
            <w:pPr>
              <w:spacing w:after="0"/>
              <w:jc w:val="left"/>
              <w:rPr>
                <w:rFonts w:ascii="Calibri" w:hAnsi="Calibri"/>
                <w:lang w:val="en-US"/>
              </w:rPr>
            </w:pPr>
            <w:r w:rsidRPr="001C3654">
              <w:rPr>
                <w:rFonts w:ascii="Calibri" w:hAnsi="Calibri"/>
                <w:b/>
                <w:lang w:val="en-US"/>
              </w:rPr>
              <w:t>2.</w:t>
            </w:r>
            <w:r w:rsidRPr="001C3654">
              <w:rPr>
                <w:rFonts w:ascii="Calibri" w:hAnsi="Calibri"/>
                <w:lang w:val="en-US"/>
              </w:rPr>
              <w:t xml:space="preserve"> Encouraging competition</w:t>
            </w:r>
          </w:p>
        </w:tc>
        <w:tc>
          <w:tcPr>
            <w:tcW w:w="2268" w:type="dxa"/>
            <w:tcMar>
              <w:top w:w="200" w:type="nil"/>
              <w:left w:w="100" w:type="nil"/>
              <w:bottom w:w="100" w:type="nil"/>
              <w:right w:w="200" w:type="nil"/>
            </w:tcMar>
          </w:tcPr>
          <w:p w14:paraId="747E0D5A" w14:textId="77777777" w:rsidR="00C55A16" w:rsidRPr="001C3654" w:rsidRDefault="00C55A16" w:rsidP="00CE45C9">
            <w:pPr>
              <w:spacing w:after="0"/>
              <w:jc w:val="left"/>
              <w:rPr>
                <w:rFonts w:ascii="Calibri" w:hAnsi="Calibri"/>
                <w:lang w:val="en-US"/>
              </w:rPr>
            </w:pPr>
            <w:r w:rsidRPr="001C3654">
              <w:rPr>
                <w:rFonts w:ascii="Calibri" w:hAnsi="Calibri"/>
                <w:b/>
                <w:lang w:val="en-US"/>
              </w:rPr>
              <w:t>3.</w:t>
            </w:r>
            <w:r w:rsidRPr="001C3654">
              <w:rPr>
                <w:rFonts w:ascii="Calibri" w:hAnsi="Calibri"/>
                <w:lang w:val="en-US"/>
              </w:rPr>
              <w:t xml:space="preserve"> Evidence based decision making</w:t>
            </w:r>
          </w:p>
          <w:p w14:paraId="22D3209F" w14:textId="77777777" w:rsidR="00C55A16" w:rsidRPr="001C3654" w:rsidRDefault="00C55A16" w:rsidP="00CE45C9">
            <w:pPr>
              <w:spacing w:after="0"/>
              <w:jc w:val="left"/>
              <w:rPr>
                <w:rFonts w:ascii="Calibri" w:hAnsi="Calibri"/>
                <w:lang w:val="en-US"/>
              </w:rPr>
            </w:pPr>
            <w:r w:rsidRPr="001C3654">
              <w:rPr>
                <w:rFonts w:ascii="Calibri" w:hAnsi="Calibri"/>
                <w:b/>
                <w:lang w:val="en-US"/>
              </w:rPr>
              <w:t>4.</w:t>
            </w:r>
            <w:r w:rsidRPr="001C3654">
              <w:rPr>
                <w:rFonts w:ascii="Calibri" w:hAnsi="Calibri"/>
                <w:lang w:val="en-US"/>
              </w:rPr>
              <w:t xml:space="preserve"> Proportionality</w:t>
            </w:r>
          </w:p>
        </w:tc>
        <w:tc>
          <w:tcPr>
            <w:tcW w:w="2449" w:type="dxa"/>
            <w:tcMar>
              <w:top w:w="200" w:type="nil"/>
              <w:left w:w="100" w:type="nil"/>
              <w:bottom w:w="100" w:type="nil"/>
              <w:right w:w="200" w:type="nil"/>
            </w:tcMar>
          </w:tcPr>
          <w:p w14:paraId="18972F08" w14:textId="77777777" w:rsidR="00C55A16" w:rsidRPr="001C3654" w:rsidRDefault="00C55A16" w:rsidP="00CE45C9">
            <w:pPr>
              <w:spacing w:after="0"/>
              <w:jc w:val="left"/>
              <w:rPr>
                <w:rFonts w:ascii="Calibri" w:hAnsi="Calibri"/>
                <w:lang w:val="en-US"/>
              </w:rPr>
            </w:pPr>
            <w:r w:rsidRPr="001C3654">
              <w:rPr>
                <w:rFonts w:ascii="Calibri" w:hAnsi="Calibri"/>
                <w:b/>
                <w:lang w:val="en-US"/>
              </w:rPr>
              <w:t>5.</w:t>
            </w:r>
            <w:r w:rsidRPr="001C3654">
              <w:rPr>
                <w:rFonts w:ascii="Calibri" w:hAnsi="Calibri"/>
                <w:lang w:val="en-US"/>
              </w:rPr>
              <w:t xml:space="preserve"> Performance and Risk Management</w:t>
            </w:r>
          </w:p>
          <w:p w14:paraId="7AF41361" w14:textId="77777777" w:rsidR="00C55A16" w:rsidRPr="001C3654" w:rsidRDefault="00C55A16" w:rsidP="00CE45C9">
            <w:pPr>
              <w:spacing w:after="0"/>
              <w:jc w:val="left"/>
              <w:rPr>
                <w:rFonts w:ascii="Calibri" w:hAnsi="Calibri"/>
                <w:lang w:val="en-US"/>
              </w:rPr>
            </w:pPr>
            <w:r w:rsidRPr="001C3654">
              <w:rPr>
                <w:rFonts w:ascii="Calibri" w:hAnsi="Calibri"/>
                <w:b/>
                <w:lang w:val="en-US"/>
              </w:rPr>
              <w:t>6.</w:t>
            </w:r>
            <w:r w:rsidRPr="001C3654">
              <w:rPr>
                <w:rFonts w:ascii="Calibri" w:hAnsi="Calibri"/>
                <w:lang w:val="en-US"/>
              </w:rPr>
              <w:t xml:space="preserve"> Results Focus</w:t>
            </w:r>
          </w:p>
          <w:p w14:paraId="00986967" w14:textId="77777777" w:rsidR="00C55A16" w:rsidRPr="001C3654" w:rsidRDefault="00C55A16" w:rsidP="00CE45C9">
            <w:pPr>
              <w:spacing w:after="0"/>
              <w:jc w:val="left"/>
              <w:rPr>
                <w:rFonts w:ascii="Calibri" w:hAnsi="Calibri"/>
                <w:lang w:val="en-US"/>
              </w:rPr>
            </w:pPr>
            <w:r w:rsidRPr="001C3654">
              <w:rPr>
                <w:rFonts w:ascii="Calibri" w:hAnsi="Calibri"/>
                <w:b/>
                <w:lang w:val="en-US"/>
              </w:rPr>
              <w:t>7.</w:t>
            </w:r>
            <w:r w:rsidRPr="001C3654">
              <w:rPr>
                <w:rFonts w:ascii="Calibri" w:hAnsi="Calibri"/>
                <w:lang w:val="en-US"/>
              </w:rPr>
              <w:t xml:space="preserve"> Experimentation and innovation</w:t>
            </w:r>
          </w:p>
        </w:tc>
        <w:tc>
          <w:tcPr>
            <w:tcW w:w="1917" w:type="dxa"/>
            <w:tcMar>
              <w:top w:w="200" w:type="nil"/>
              <w:left w:w="100" w:type="nil"/>
              <w:bottom w:w="100" w:type="nil"/>
              <w:right w:w="200" w:type="nil"/>
            </w:tcMar>
          </w:tcPr>
          <w:p w14:paraId="72103CF4" w14:textId="77777777" w:rsidR="00C55A16" w:rsidRPr="001C3654" w:rsidRDefault="00C55A16" w:rsidP="00CE45C9">
            <w:pPr>
              <w:spacing w:after="0"/>
              <w:jc w:val="left"/>
              <w:rPr>
                <w:rFonts w:ascii="Calibri" w:hAnsi="Calibri"/>
                <w:lang w:val="en-US"/>
              </w:rPr>
            </w:pPr>
            <w:r w:rsidRPr="001C3654">
              <w:rPr>
                <w:rFonts w:ascii="Calibri" w:hAnsi="Calibri"/>
                <w:b/>
                <w:lang w:val="en-US"/>
              </w:rPr>
              <w:t>8.</w:t>
            </w:r>
            <w:r w:rsidRPr="001C3654">
              <w:rPr>
                <w:rFonts w:ascii="Calibri" w:hAnsi="Calibri"/>
                <w:lang w:val="en-US"/>
              </w:rPr>
              <w:t xml:space="preserve"> Accountability and transparency</w:t>
            </w:r>
          </w:p>
        </w:tc>
      </w:tr>
    </w:tbl>
    <w:p w14:paraId="2263B82E" w14:textId="77777777" w:rsidR="00C55A16" w:rsidRPr="001C3654" w:rsidRDefault="00C55A16" w:rsidP="00C55A16">
      <w:pPr>
        <w:spacing w:before="120"/>
        <w:rPr>
          <w:rFonts w:ascii="Calibri" w:hAnsi="Calibri"/>
        </w:rPr>
      </w:pPr>
    </w:p>
    <w:p w14:paraId="669D79A0" w14:textId="77777777" w:rsidR="00C55A16" w:rsidRPr="001C3654" w:rsidRDefault="00C55A16" w:rsidP="00C55A16">
      <w:pPr>
        <w:widowControl w:val="0"/>
        <w:autoSpaceDE w:val="0"/>
        <w:autoSpaceDN w:val="0"/>
        <w:adjustRightInd w:val="0"/>
        <w:spacing w:after="240"/>
        <w:rPr>
          <w:rFonts w:ascii="Times" w:hAnsi="Times" w:cs="Times"/>
          <w:lang w:val="en-US"/>
        </w:rPr>
      </w:pPr>
      <w:r w:rsidRPr="001C3654">
        <w:rPr>
          <w:rFonts w:ascii="Calibri" w:hAnsi="Calibri"/>
          <w:b/>
        </w:rPr>
        <w:t xml:space="preserve">Economy: </w:t>
      </w:r>
      <w:r w:rsidRPr="001C3654">
        <w:rPr>
          <w:rFonts w:ascii="Calibri" w:hAnsi="Calibri"/>
        </w:rPr>
        <w:t xml:space="preserve"> PLP</w:t>
      </w:r>
      <w:r w:rsidR="00BF7E2D" w:rsidRPr="001C3654">
        <w:rPr>
          <w:rFonts w:ascii="Calibri" w:hAnsi="Calibri"/>
        </w:rPr>
        <w:t>3</w:t>
      </w:r>
      <w:r w:rsidRPr="001C3654">
        <w:rPr>
          <w:rFonts w:ascii="Calibri" w:hAnsi="Calibri"/>
        </w:rPr>
        <w:t xml:space="preserve"> has demonstrated cost consciousness and encouragement of competition in its approach to procurement of services.  For example, the Research Review Panel was sourced through an open market procurement approach, complemented by targeted approaches to PLP</w:t>
      </w:r>
      <w:r w:rsidR="00BF7E2D" w:rsidRPr="001C3654">
        <w:rPr>
          <w:rFonts w:ascii="Calibri" w:hAnsi="Calibri"/>
        </w:rPr>
        <w:t>3</w:t>
      </w:r>
      <w:r w:rsidRPr="001C3654">
        <w:rPr>
          <w:rFonts w:ascii="Calibri" w:hAnsi="Calibri"/>
        </w:rPr>
        <w:t>’s Advisory Panel members and existing research partners.</w:t>
      </w:r>
    </w:p>
    <w:p w14:paraId="424FE2D1" w14:textId="77777777" w:rsidR="00C55A16" w:rsidRPr="001C3654" w:rsidRDefault="00C55A16" w:rsidP="00C55A16">
      <w:pPr>
        <w:spacing w:before="120"/>
        <w:rPr>
          <w:rFonts w:ascii="Calibri" w:hAnsi="Calibri"/>
        </w:rPr>
      </w:pPr>
      <w:r w:rsidRPr="001C3654">
        <w:rPr>
          <w:rFonts w:ascii="Calibri" w:hAnsi="Calibri"/>
          <w:b/>
        </w:rPr>
        <w:t>Efficiency:</w:t>
      </w:r>
      <w:r w:rsidRPr="001C3654">
        <w:rPr>
          <w:rFonts w:ascii="Calibri" w:hAnsi="Calibri"/>
        </w:rPr>
        <w:t xml:space="preserve"> PLP</w:t>
      </w:r>
      <w:r w:rsidR="00BF7E2D" w:rsidRPr="001C3654">
        <w:rPr>
          <w:rFonts w:ascii="Calibri" w:hAnsi="Calibri"/>
        </w:rPr>
        <w:t>3</w:t>
      </w:r>
      <w:r w:rsidRPr="001C3654">
        <w:rPr>
          <w:rFonts w:ascii="Calibri" w:hAnsi="Calibri"/>
        </w:rPr>
        <w:t xml:space="preserve">'s six-monthly Reflection and Refocus process demonstrates a commitment to lesson-learning and evidence-based decision-making.  As above, the strong investment in staffing and related costs are appropriate for a program of this nature.  </w:t>
      </w:r>
      <w:r w:rsidR="00BF7E2D" w:rsidRPr="001C3654">
        <w:rPr>
          <w:rFonts w:ascii="Calibri" w:hAnsi="Calibri"/>
        </w:rPr>
        <w:t>Although, the contractor’s</w:t>
      </w:r>
      <w:r w:rsidRPr="001C3654">
        <w:rPr>
          <w:rFonts w:ascii="Calibri" w:hAnsi="Calibri"/>
        </w:rPr>
        <w:t xml:space="preserve"> management fee (10% of total expenditure, and 47-53% of personnel fees</w:t>
      </w:r>
      <w:r w:rsidRPr="001C3654">
        <w:rPr>
          <w:rStyle w:val="FootnoteReference"/>
          <w:rFonts w:ascii="Calibri" w:hAnsi="Calibri"/>
        </w:rPr>
        <w:footnoteReference w:id="102"/>
      </w:r>
      <w:r w:rsidRPr="001C3654">
        <w:rPr>
          <w:rFonts w:ascii="Calibri" w:hAnsi="Calibri"/>
        </w:rPr>
        <w:t xml:space="preserve">) is </w:t>
      </w:r>
      <w:r w:rsidR="00C32C09" w:rsidRPr="001C3654">
        <w:rPr>
          <w:rFonts w:ascii="Calibri" w:hAnsi="Calibri"/>
        </w:rPr>
        <w:t xml:space="preserve">considered </w:t>
      </w:r>
      <w:r w:rsidRPr="001C3654">
        <w:rPr>
          <w:rFonts w:ascii="Calibri" w:hAnsi="Calibri"/>
        </w:rPr>
        <w:t>costly</w:t>
      </w:r>
      <w:r w:rsidR="00C32C09" w:rsidRPr="001C3654">
        <w:rPr>
          <w:rFonts w:ascii="Calibri" w:hAnsi="Calibri"/>
        </w:rPr>
        <w:t xml:space="preserve"> by DFAT</w:t>
      </w:r>
      <w:r w:rsidRPr="001C3654">
        <w:rPr>
          <w:rFonts w:ascii="Calibri" w:hAnsi="Calibri"/>
        </w:rPr>
        <w:t>.</w:t>
      </w:r>
      <w:r w:rsidR="00C32C09" w:rsidRPr="001C3654">
        <w:rPr>
          <w:rStyle w:val="FootnoteReference"/>
          <w:rFonts w:ascii="Calibri" w:hAnsi="Calibri"/>
        </w:rPr>
        <w:footnoteReference w:id="103"/>
      </w:r>
      <w:r w:rsidRPr="001C3654">
        <w:rPr>
          <w:rFonts w:ascii="Calibri" w:hAnsi="Calibri"/>
        </w:rPr>
        <w:t xml:space="preserve"> </w:t>
      </w:r>
    </w:p>
    <w:p w14:paraId="0DBD30CA" w14:textId="77777777" w:rsidR="00C55A16" w:rsidRPr="001C3654" w:rsidRDefault="00C55A16" w:rsidP="00C55A16">
      <w:pPr>
        <w:spacing w:before="120"/>
        <w:rPr>
          <w:rFonts w:ascii="Calibri" w:hAnsi="Calibri"/>
        </w:rPr>
      </w:pPr>
      <w:r w:rsidRPr="001C3654">
        <w:rPr>
          <w:rFonts w:ascii="Calibri" w:hAnsi="Calibri"/>
          <w:b/>
        </w:rPr>
        <w:t>Effectiveness:</w:t>
      </w:r>
      <w:r w:rsidRPr="001C3654">
        <w:rPr>
          <w:rFonts w:ascii="Calibri" w:hAnsi="Calibri"/>
        </w:rPr>
        <w:t xml:space="preserve"> PLP</w:t>
      </w:r>
      <w:r w:rsidR="00BF7E2D" w:rsidRPr="001C3654">
        <w:rPr>
          <w:rFonts w:ascii="Calibri" w:hAnsi="Calibri"/>
        </w:rPr>
        <w:t>3</w:t>
      </w:r>
      <w:r w:rsidRPr="001C3654">
        <w:rPr>
          <w:rFonts w:ascii="Calibri" w:hAnsi="Calibri"/>
        </w:rPr>
        <w:t xml:space="preserve">'s approach is characterised by experimentation and innovation.  The Reflection and Refocus process demonstrates a commitment to results focus and performance management, but the lack of a formalised system for </w:t>
      </w:r>
      <w:r w:rsidR="00BF7E2D" w:rsidRPr="001C3654">
        <w:rPr>
          <w:rFonts w:ascii="Calibri" w:hAnsi="Calibri"/>
        </w:rPr>
        <w:t>exiting from</w:t>
      </w:r>
      <w:r w:rsidRPr="001C3654">
        <w:rPr>
          <w:rFonts w:ascii="Calibri" w:hAnsi="Calibri"/>
        </w:rPr>
        <w:t xml:space="preserve"> poorly performing activities is a weakness.</w:t>
      </w:r>
    </w:p>
    <w:p w14:paraId="2E056616" w14:textId="77777777" w:rsidR="00C55A16" w:rsidRPr="001C3654" w:rsidRDefault="00C55A16" w:rsidP="00C55A16">
      <w:pPr>
        <w:spacing w:before="120"/>
        <w:rPr>
          <w:rFonts w:ascii="Calibri" w:hAnsi="Calibri"/>
        </w:rPr>
      </w:pPr>
      <w:r w:rsidRPr="001C3654">
        <w:rPr>
          <w:rFonts w:ascii="Calibri" w:hAnsi="Calibri"/>
          <w:b/>
        </w:rPr>
        <w:t>Ethics:</w:t>
      </w:r>
      <w:r w:rsidRPr="001C3654">
        <w:rPr>
          <w:rFonts w:ascii="Calibri" w:hAnsi="Calibri"/>
        </w:rPr>
        <w:t xml:space="preserve"> PLP</w:t>
      </w:r>
      <w:r w:rsidR="00BF7E2D" w:rsidRPr="001C3654">
        <w:rPr>
          <w:rFonts w:ascii="Calibri" w:hAnsi="Calibri"/>
        </w:rPr>
        <w:t>3</w:t>
      </w:r>
      <w:r w:rsidRPr="001C3654">
        <w:rPr>
          <w:rFonts w:ascii="Calibri" w:hAnsi="Calibri"/>
        </w:rPr>
        <w:t xml:space="preserve"> uses tailored versions of </w:t>
      </w:r>
      <w:r w:rsidR="00BF7E2D" w:rsidRPr="001C3654">
        <w:rPr>
          <w:rFonts w:ascii="Calibri" w:hAnsi="Calibri"/>
        </w:rPr>
        <w:t>the managing contractor’s</w:t>
      </w:r>
      <w:r w:rsidRPr="001C3654">
        <w:rPr>
          <w:rFonts w:ascii="Calibri" w:hAnsi="Calibri"/>
        </w:rPr>
        <w:t xml:space="preserve"> robust procurement toolkit and financial management systems, which provide for accountability and transparency.  Regular internal audits are undertaken.</w:t>
      </w:r>
    </w:p>
    <w:p w14:paraId="202A3662" w14:textId="77777777" w:rsidR="00C55A16" w:rsidRPr="004B320C" w:rsidRDefault="00C55A16" w:rsidP="00C55A16">
      <w:pPr>
        <w:pStyle w:val="SDANumberedheading2"/>
        <w:ind w:left="709" w:hanging="709"/>
      </w:pPr>
      <w:bookmarkStart w:id="52" w:name="_Toc486247214"/>
      <w:r>
        <w:t>Sustainability</w:t>
      </w:r>
      <w:bookmarkEnd w:id="52"/>
    </w:p>
    <w:p w14:paraId="0E74FFA8" w14:textId="77777777" w:rsidR="00C55A16" w:rsidRPr="001C3654" w:rsidRDefault="00C55A16" w:rsidP="00C55A16">
      <w:pPr>
        <w:spacing w:before="120"/>
        <w:rPr>
          <w:rFonts w:eastAsia="Calibri" w:cs="Times New Roman"/>
          <w:b/>
        </w:rPr>
      </w:pPr>
      <w:r w:rsidRPr="001C3654">
        <w:rPr>
          <w:rFonts w:eastAsia="Calibri" w:cs="Times New Roman"/>
          <w:b/>
        </w:rPr>
        <w:t>Inherent to PLP</w:t>
      </w:r>
      <w:r w:rsidR="00BF7E2D" w:rsidRPr="001C3654">
        <w:rPr>
          <w:rFonts w:eastAsia="Calibri" w:cs="Times New Roman"/>
          <w:b/>
        </w:rPr>
        <w:t>3</w:t>
      </w:r>
      <w:r w:rsidRPr="001C3654">
        <w:rPr>
          <w:rFonts w:eastAsia="Calibri" w:cs="Times New Roman"/>
          <w:b/>
        </w:rPr>
        <w:t>'s approach is a very high degree of partners' ownership over their activities.</w:t>
      </w:r>
      <w:r w:rsidRPr="001C3654">
        <w:rPr>
          <w:rFonts w:eastAsia="Calibri" w:cs="Times New Roman"/>
        </w:rPr>
        <w:t xml:space="preserve">  This is fundamental to PLP's approach, and is </w:t>
      </w:r>
      <w:r w:rsidR="00BF7E2D" w:rsidRPr="001C3654">
        <w:rPr>
          <w:rFonts w:eastAsia="Calibri" w:cs="Times New Roman"/>
        </w:rPr>
        <w:t>critical</w:t>
      </w:r>
      <w:r w:rsidRPr="001C3654">
        <w:rPr>
          <w:rFonts w:eastAsia="Calibri" w:cs="Times New Roman"/>
        </w:rPr>
        <w:t xml:space="preserve"> to the sustainability of the activities.  PLP</w:t>
      </w:r>
      <w:r w:rsidR="00BF7E2D" w:rsidRPr="001C3654">
        <w:rPr>
          <w:rFonts w:eastAsia="Calibri" w:cs="Times New Roman"/>
        </w:rPr>
        <w:t>3</w:t>
      </w:r>
      <w:r w:rsidRPr="001C3654">
        <w:rPr>
          <w:rFonts w:eastAsia="Calibri" w:cs="Times New Roman"/>
        </w:rPr>
        <w:t xml:space="preserve"> staff apply the principle that "our partners need to want this more than we do."</w:t>
      </w:r>
      <w:r w:rsidR="00BF7E2D" w:rsidRPr="001C3654">
        <w:rPr>
          <w:rStyle w:val="FootnoteReference"/>
          <w:rFonts w:eastAsia="Calibri" w:cs="Times New Roman"/>
        </w:rPr>
        <w:footnoteReference w:id="104"/>
      </w:r>
      <w:r w:rsidRPr="001C3654">
        <w:rPr>
          <w:rFonts w:eastAsia="Calibri" w:cs="Times New Roman"/>
        </w:rPr>
        <w:t xml:space="preserve">  This philosophy of tailoring external support in response to the requirements of local leaders and change-makers ensures high levels of local ownership and long-term commitment to the initiatives. </w:t>
      </w:r>
    </w:p>
    <w:p w14:paraId="39809065" w14:textId="77777777" w:rsidR="00C55A16" w:rsidRPr="001C3654" w:rsidRDefault="00C55A16" w:rsidP="00C55A16">
      <w:pPr>
        <w:spacing w:before="120"/>
        <w:rPr>
          <w:rFonts w:eastAsia="Calibri" w:cs="Times New Roman"/>
        </w:rPr>
      </w:pPr>
      <w:r w:rsidRPr="001C3654">
        <w:rPr>
          <w:rFonts w:eastAsia="Calibri" w:cs="Times New Roman"/>
          <w:b/>
        </w:rPr>
        <w:t xml:space="preserve">PLP's support has taken some partners from a low base to a higher level of sustainability.  </w:t>
      </w:r>
      <w:r w:rsidRPr="001C3654">
        <w:rPr>
          <w:rFonts w:eastAsia="Calibri" w:cs="Times New Roman"/>
        </w:rPr>
        <w:t>PLP's support – and particularly its willingness to take the risk of supporting organisations with an initially low level of capacity – has been critical in growing the capacity of many of its partner organisations.  This has, in turn, enhanced those organisations' ability to leverage other sources of funding.  For example, PIPSO was initially heavily reliant on PLP core funding support to properly establish itself as an influential organisation, but has now successfully leveraged PLP's support to access a range of other funding sources, improving its effectiveness and long-term viability.</w:t>
      </w:r>
      <w:r w:rsidR="00FC0ED4">
        <w:rPr>
          <w:rStyle w:val="FootnoteReference"/>
          <w:rFonts w:eastAsia="Calibri" w:cs="Times New Roman"/>
        </w:rPr>
        <w:footnoteReference w:id="105"/>
      </w:r>
    </w:p>
    <w:p w14:paraId="14304DA8" w14:textId="4F6FE7D8" w:rsidR="00C55A16" w:rsidRPr="001C3654" w:rsidRDefault="001F349A" w:rsidP="00C55A16">
      <w:pPr>
        <w:spacing w:before="120"/>
        <w:rPr>
          <w:rFonts w:eastAsia="Calibri" w:cs="Times New Roman"/>
          <w:b/>
        </w:rPr>
      </w:pPr>
      <w:r>
        <w:rPr>
          <w:rFonts w:eastAsia="Calibri" w:cs="Times New Roman"/>
          <w:b/>
        </w:rPr>
        <w:t>Some</w:t>
      </w:r>
      <w:r w:rsidR="00C55A16" w:rsidRPr="001C3654">
        <w:rPr>
          <w:rFonts w:eastAsia="Calibri" w:cs="Times New Roman"/>
          <w:b/>
        </w:rPr>
        <w:t xml:space="preserve"> activities show potential for </w:t>
      </w:r>
      <w:r w:rsidR="00FA06CD" w:rsidRPr="001C3654">
        <w:rPr>
          <w:rFonts w:eastAsia="Calibri" w:cs="Times New Roman"/>
          <w:b/>
        </w:rPr>
        <w:t>replication</w:t>
      </w:r>
      <w:r w:rsidR="00C55A16" w:rsidRPr="001C3654">
        <w:rPr>
          <w:rFonts w:eastAsia="Calibri" w:cs="Times New Roman"/>
          <w:b/>
        </w:rPr>
        <w:t xml:space="preserve">.  </w:t>
      </w:r>
      <w:r w:rsidR="00C55A16" w:rsidRPr="001C3654">
        <w:rPr>
          <w:rFonts w:eastAsia="Calibri" w:cs="Times New Roman"/>
        </w:rPr>
        <w:t>PLP</w:t>
      </w:r>
      <w:r w:rsidR="00BF7E2D" w:rsidRPr="001C3654">
        <w:rPr>
          <w:rFonts w:eastAsia="Calibri" w:cs="Times New Roman"/>
        </w:rPr>
        <w:t>3</w:t>
      </w:r>
      <w:r w:rsidR="00C55A16" w:rsidRPr="001C3654">
        <w:rPr>
          <w:rFonts w:eastAsia="Calibri" w:cs="Times New Roman"/>
        </w:rPr>
        <w:t>'s emphasis on a coalitions approach has led to significant complementarity with and influence on government policy and programs.  Several activities (for example, WISDM's advocacy for Temporary Special Measures and the Tonga Chamber of Commerce and Industry's work to establish a Public Private Dialogue) have helped to shape national government policy.  Others</w:t>
      </w:r>
      <w:r w:rsidR="00790E48">
        <w:rPr>
          <w:rFonts w:eastAsia="Calibri" w:cs="Times New Roman"/>
        </w:rPr>
        <w:t>,</w:t>
      </w:r>
      <w:r w:rsidR="00C55A16" w:rsidRPr="001C3654">
        <w:rPr>
          <w:rFonts w:eastAsia="Calibri" w:cs="Times New Roman"/>
        </w:rPr>
        <w:t xml:space="preserve"> such as the work undertaken by the Tongan National Leadership Development Forum (TNLDF) </w:t>
      </w:r>
      <w:r w:rsidR="00790E48">
        <w:rPr>
          <w:rFonts w:eastAsia="Calibri" w:cs="Times New Roman"/>
        </w:rPr>
        <w:t>are being replicated</w:t>
      </w:r>
      <w:r w:rsidR="00790E48">
        <w:rPr>
          <w:rStyle w:val="FootnoteReference"/>
          <w:rFonts w:eastAsia="Calibri" w:cs="Times New Roman"/>
        </w:rPr>
        <w:footnoteReference w:id="106"/>
      </w:r>
      <w:r w:rsidR="00790E48">
        <w:rPr>
          <w:rFonts w:eastAsia="Calibri" w:cs="Times New Roman"/>
        </w:rPr>
        <w:t xml:space="preserve"> or, as in the case for </w:t>
      </w:r>
      <w:r w:rsidR="00C55A16" w:rsidRPr="001C3654">
        <w:rPr>
          <w:rFonts w:eastAsia="Calibri" w:cs="Times New Roman"/>
        </w:rPr>
        <w:t>Simbo for Change</w:t>
      </w:r>
      <w:r w:rsidR="00790E48">
        <w:rPr>
          <w:rFonts w:eastAsia="Calibri" w:cs="Times New Roman"/>
        </w:rPr>
        <w:t>,</w:t>
      </w:r>
      <w:r w:rsidR="00C55A16" w:rsidRPr="001C3654">
        <w:rPr>
          <w:rFonts w:eastAsia="Calibri" w:cs="Times New Roman"/>
        </w:rPr>
        <w:t xml:space="preserve"> are planned to be </w:t>
      </w:r>
      <w:r w:rsidR="00790E48">
        <w:rPr>
          <w:rFonts w:eastAsia="Calibri" w:cs="Times New Roman"/>
        </w:rPr>
        <w:t>replicated in</w:t>
      </w:r>
      <w:r w:rsidR="00C55A16" w:rsidRPr="001C3654">
        <w:rPr>
          <w:rFonts w:eastAsia="Calibri" w:cs="Times New Roman"/>
        </w:rPr>
        <w:t xml:space="preserve"> other areas of the country.</w:t>
      </w:r>
      <w:r w:rsidR="00790E48">
        <w:rPr>
          <w:rStyle w:val="FootnoteReference"/>
          <w:rFonts w:eastAsia="Calibri" w:cs="Times New Roman"/>
        </w:rPr>
        <w:footnoteReference w:id="107"/>
      </w:r>
    </w:p>
    <w:p w14:paraId="1C1FED24" w14:textId="6C504C38" w:rsidR="00C55A16" w:rsidRPr="001C3654" w:rsidRDefault="00826984" w:rsidP="00C55A16">
      <w:pPr>
        <w:spacing w:before="120"/>
        <w:rPr>
          <w:rFonts w:eastAsia="Calibri" w:cs="Times New Roman"/>
        </w:rPr>
      </w:pPr>
      <w:r w:rsidRPr="001C3654">
        <w:rPr>
          <w:rFonts w:eastAsia="Calibri" w:cs="Times New Roman"/>
          <w:b/>
        </w:rPr>
        <w:t>The program’s</w:t>
      </w:r>
      <w:r w:rsidR="00C55A16" w:rsidRPr="001C3654">
        <w:rPr>
          <w:rFonts w:eastAsia="Calibri" w:cs="Times New Roman"/>
          <w:b/>
        </w:rPr>
        <w:t xml:space="preserve"> investm</w:t>
      </w:r>
      <w:r w:rsidRPr="001C3654">
        <w:rPr>
          <w:rFonts w:eastAsia="Calibri" w:cs="Times New Roman"/>
          <w:b/>
        </w:rPr>
        <w:t>ent in individuals through the a</w:t>
      </w:r>
      <w:r w:rsidR="00C55A16" w:rsidRPr="001C3654">
        <w:rPr>
          <w:rFonts w:eastAsia="Calibri" w:cs="Times New Roman"/>
          <w:b/>
        </w:rPr>
        <w:t xml:space="preserve">daptive </w:t>
      </w:r>
      <w:r w:rsidRPr="001C3654">
        <w:rPr>
          <w:rFonts w:eastAsia="Calibri" w:cs="Times New Roman"/>
          <w:b/>
        </w:rPr>
        <w:t>l</w:t>
      </w:r>
      <w:r w:rsidR="00C55A16" w:rsidRPr="001C3654">
        <w:rPr>
          <w:rFonts w:eastAsia="Calibri" w:cs="Times New Roman"/>
          <w:b/>
        </w:rPr>
        <w:t xml:space="preserve">eadership training and the Greg Urwin Awards will bear fruit </w:t>
      </w:r>
      <w:r w:rsidRPr="001C3654">
        <w:rPr>
          <w:rFonts w:eastAsia="Calibri" w:cs="Times New Roman"/>
          <w:b/>
        </w:rPr>
        <w:t>beyond the life of PLP3</w:t>
      </w:r>
      <w:r w:rsidR="00C55A16" w:rsidRPr="001C3654">
        <w:rPr>
          <w:rFonts w:eastAsia="Calibri" w:cs="Times New Roman"/>
          <w:b/>
        </w:rPr>
        <w:t xml:space="preserve">.  </w:t>
      </w:r>
      <w:r w:rsidR="00C55A16" w:rsidRPr="001C3654">
        <w:rPr>
          <w:rFonts w:eastAsia="Calibri" w:cs="Times New Roman"/>
        </w:rPr>
        <w:t xml:space="preserve">Numerous stakeholders emphasised that leadership was central to the Pacific region's development challenges, and that raising up ethical, development-focused leaders was vital for the region's future.  </w:t>
      </w:r>
      <w:r w:rsidR="00790E48">
        <w:rPr>
          <w:rFonts w:eastAsia="Calibri" w:cs="Times New Roman"/>
        </w:rPr>
        <w:t>For example, as one training participant said, “</w:t>
      </w:r>
      <w:r w:rsidR="00790E48" w:rsidRPr="001C3654">
        <w:rPr>
          <w:rFonts w:eastAsia="Calibri" w:cs="Times New Roman"/>
          <w:i/>
        </w:rPr>
        <w:t>show me the leadership of your country and I will tell you about the quality of development there</w:t>
      </w:r>
      <w:r w:rsidR="00790E48">
        <w:rPr>
          <w:rFonts w:eastAsia="Calibri" w:cs="Times New Roman"/>
        </w:rPr>
        <w:t xml:space="preserve">”. </w:t>
      </w:r>
      <w:r w:rsidR="00C55A16" w:rsidRPr="001C3654">
        <w:rPr>
          <w:rFonts w:eastAsia="Calibri" w:cs="Times New Roman"/>
        </w:rPr>
        <w:t xml:space="preserve">The individual leaders and future </w:t>
      </w:r>
      <w:r w:rsidRPr="001C3654">
        <w:rPr>
          <w:rFonts w:eastAsia="Calibri" w:cs="Times New Roman"/>
        </w:rPr>
        <w:t>leaders who benefited from the adaptive l</w:t>
      </w:r>
      <w:r w:rsidR="00C55A16" w:rsidRPr="001C3654">
        <w:rPr>
          <w:rFonts w:eastAsia="Calibri" w:cs="Times New Roman"/>
        </w:rPr>
        <w:t>eadership training and Greg Urwin Awards will likely play roles in their countries in years to come.</w:t>
      </w:r>
      <w:r w:rsidRPr="001C3654">
        <w:rPr>
          <w:rStyle w:val="FootnoteReference"/>
          <w:rFonts w:eastAsia="Calibri" w:cs="Times New Roman"/>
        </w:rPr>
        <w:footnoteReference w:id="108"/>
      </w:r>
      <w:r w:rsidR="00C55A16" w:rsidRPr="001C3654">
        <w:rPr>
          <w:rFonts w:eastAsia="Calibri" w:cs="Times New Roman"/>
        </w:rPr>
        <w:t xml:space="preserve">  Having said that, PLP3 </w:t>
      </w:r>
      <w:r w:rsidR="001F349A">
        <w:rPr>
          <w:rFonts w:eastAsia="Calibri" w:cs="Times New Roman"/>
        </w:rPr>
        <w:t>(and DFAT) seem</w:t>
      </w:r>
      <w:r w:rsidR="00C55A16" w:rsidRPr="001C3654">
        <w:rPr>
          <w:rFonts w:eastAsia="Calibri" w:cs="Times New Roman"/>
        </w:rPr>
        <w:t xml:space="preserve"> to have missed an opportunity to proactively shape these participants into a cohesive alumni cohort (though this has occurred organically to a limited extent). </w:t>
      </w:r>
    </w:p>
    <w:p w14:paraId="0FD94005" w14:textId="77777777" w:rsidR="00C55A16" w:rsidRPr="001C3654" w:rsidRDefault="00C55A16" w:rsidP="00C55A16">
      <w:pPr>
        <w:spacing w:before="120"/>
        <w:rPr>
          <w:rFonts w:eastAsia="Calibri" w:cs="Times New Roman"/>
        </w:rPr>
      </w:pPr>
      <w:r w:rsidRPr="001C3654">
        <w:rPr>
          <w:rFonts w:eastAsia="Calibri" w:cs="Times New Roman"/>
          <w:b/>
        </w:rPr>
        <w:t xml:space="preserve">Investing in knowledge products has produced a public good that will endure beyond the life of the program.  </w:t>
      </w:r>
      <w:r w:rsidRPr="001C3654">
        <w:rPr>
          <w:rFonts w:eastAsia="Calibri" w:cs="Times New Roman"/>
        </w:rPr>
        <w:t>Investing in surveys, action research and knowledge products is an often-valued role that donors can play in supporting long-term development.  While PLP</w:t>
      </w:r>
      <w:r w:rsidR="00826984" w:rsidRPr="001C3654">
        <w:rPr>
          <w:rFonts w:eastAsia="Calibri" w:cs="Times New Roman"/>
        </w:rPr>
        <w:t>3</w:t>
      </w:r>
      <w:r w:rsidRPr="001C3654">
        <w:rPr>
          <w:rFonts w:eastAsia="Calibri" w:cs="Times New Roman"/>
        </w:rPr>
        <w:t xml:space="preserve"> has under-performed in terms of communicating with influence the knowledge it is generating, the publication of many of those knowledge products through PLP</w:t>
      </w:r>
      <w:r w:rsidR="00826984" w:rsidRPr="001C3654">
        <w:rPr>
          <w:rFonts w:eastAsia="Calibri" w:cs="Times New Roman"/>
        </w:rPr>
        <w:t>3</w:t>
      </w:r>
      <w:r w:rsidRPr="001C3654">
        <w:rPr>
          <w:rFonts w:eastAsia="Calibri" w:cs="Times New Roman"/>
        </w:rPr>
        <w:t xml:space="preserve">'s academic partners will ensure that those investments remain a freely-available public good beyond the life of the program.  </w:t>
      </w:r>
    </w:p>
    <w:p w14:paraId="1C79AD4D" w14:textId="77777777" w:rsidR="0069046E" w:rsidRPr="001C3654" w:rsidRDefault="0069046E" w:rsidP="00C55A16">
      <w:pPr>
        <w:spacing w:before="120"/>
        <w:rPr>
          <w:rFonts w:eastAsia="Calibri" w:cs="Times New Roman"/>
        </w:rPr>
      </w:pPr>
      <w:r w:rsidRPr="001C3654">
        <w:rPr>
          <w:rFonts w:eastAsia="Calibri" w:cs="Times New Roman"/>
          <w:b/>
        </w:rPr>
        <w:t>Some partners and coalitions voiced concern that funding from PLP3 was unlikely to continue</w:t>
      </w:r>
      <w:r w:rsidRPr="001C3654">
        <w:rPr>
          <w:rFonts w:eastAsia="Calibri" w:cs="Times New Roman"/>
        </w:rPr>
        <w:t>. Some partners will find other funding sources, but a number of partners/coalitions will struggle to maintain the level of activity that has been possible through support from PLP.</w:t>
      </w:r>
    </w:p>
    <w:p w14:paraId="02FA2045" w14:textId="77777777" w:rsidR="00981C7E" w:rsidRPr="00A63407" w:rsidRDefault="00981C7E" w:rsidP="00981C7E">
      <w:pPr>
        <w:pStyle w:val="SDANumberedheading2"/>
        <w:numPr>
          <w:ilvl w:val="0"/>
          <w:numId w:val="0"/>
        </w:numPr>
        <w:ind w:left="709"/>
      </w:pPr>
    </w:p>
    <w:p w14:paraId="50B49A82" w14:textId="77777777" w:rsidR="0006115D" w:rsidRDefault="0006115D">
      <w:pPr>
        <w:rPr>
          <w:rFonts w:ascii="Calibri" w:eastAsiaTheme="majorEastAsia" w:hAnsi="Calibri" w:cstheme="majorBidi"/>
          <w:b/>
          <w:bCs/>
          <w:color w:val="757575"/>
          <w:sz w:val="50"/>
          <w:szCs w:val="26"/>
        </w:rPr>
      </w:pPr>
      <w:r>
        <w:br w:type="page"/>
      </w:r>
    </w:p>
    <w:p w14:paraId="3B9843D9" w14:textId="77777777" w:rsidR="00E40F69" w:rsidRDefault="003179FA" w:rsidP="00A15602">
      <w:pPr>
        <w:pStyle w:val="Heading2"/>
      </w:pPr>
      <w:bookmarkStart w:id="53" w:name="_Toc486247215"/>
      <w:r>
        <w:t xml:space="preserve">Options and </w:t>
      </w:r>
      <w:r w:rsidR="00F62177">
        <w:t>Recommendations</w:t>
      </w:r>
      <w:bookmarkEnd w:id="53"/>
    </w:p>
    <w:p w14:paraId="5B6FA569" w14:textId="77777777" w:rsidR="00A63407" w:rsidRDefault="00A63407" w:rsidP="00500F71">
      <w:pPr>
        <w:pStyle w:val="SDAbulletpoints"/>
        <w:numPr>
          <w:ilvl w:val="0"/>
          <w:numId w:val="0"/>
        </w:numPr>
        <w:sectPr w:rsidR="00A63407" w:rsidSect="00A63407">
          <w:footerReference w:type="default" r:id="rId17"/>
          <w:type w:val="continuous"/>
          <w:pgSz w:w="11906" w:h="16838"/>
          <w:pgMar w:top="1440" w:right="1440" w:bottom="1440" w:left="1440" w:header="708" w:footer="708" w:gutter="0"/>
          <w:cols w:space="708"/>
          <w:docGrid w:linePitch="360"/>
        </w:sectPr>
      </w:pPr>
    </w:p>
    <w:p w14:paraId="65299538" w14:textId="77777777" w:rsidR="003179FA" w:rsidRPr="001C3654" w:rsidRDefault="003179FA" w:rsidP="003179FA">
      <w:pPr>
        <w:spacing w:before="120"/>
        <w:contextualSpacing/>
        <w:rPr>
          <w:rFonts w:eastAsia="Calibri" w:cs="Times New Roman"/>
        </w:rPr>
      </w:pPr>
      <w:r w:rsidRPr="001C3654">
        <w:rPr>
          <w:rFonts w:eastAsia="Calibri" w:cs="Times New Roman"/>
        </w:rPr>
        <w:t xml:space="preserve">The future of the Pacific Leadership Program </w:t>
      </w:r>
      <w:r w:rsidR="005844C8" w:rsidRPr="001C3654">
        <w:rPr>
          <w:rFonts w:eastAsia="Calibri" w:cs="Times New Roman"/>
        </w:rPr>
        <w:t xml:space="preserve">remains uncertain. </w:t>
      </w:r>
      <w:r w:rsidRPr="001C3654">
        <w:rPr>
          <w:rFonts w:eastAsia="Calibri" w:cs="Times New Roman"/>
        </w:rPr>
        <w:t>Th</w:t>
      </w:r>
      <w:r w:rsidR="00B05DE2" w:rsidRPr="001C3654">
        <w:rPr>
          <w:rFonts w:eastAsia="Calibri" w:cs="Times New Roman"/>
        </w:rPr>
        <w:t xml:space="preserve">e evaluation team proposes </w:t>
      </w:r>
      <w:r w:rsidR="00E96E53">
        <w:rPr>
          <w:rFonts w:eastAsia="Calibri" w:cs="Times New Roman"/>
        </w:rPr>
        <w:t>seven</w:t>
      </w:r>
      <w:r w:rsidR="00E96E53" w:rsidRPr="001C3654">
        <w:rPr>
          <w:rFonts w:eastAsia="Calibri" w:cs="Times New Roman"/>
        </w:rPr>
        <w:t xml:space="preserve"> </w:t>
      </w:r>
      <w:r w:rsidRPr="001C3654">
        <w:rPr>
          <w:rFonts w:eastAsia="Calibri" w:cs="Times New Roman"/>
        </w:rPr>
        <w:t xml:space="preserve">recommendations for consideration by DFAT.  These recommendations, which can be found in section 4.2 below, are forward looking </w:t>
      </w:r>
      <w:r w:rsidR="00E96E53">
        <w:rPr>
          <w:rFonts w:eastAsia="Calibri" w:cs="Times New Roman"/>
        </w:rPr>
        <w:t xml:space="preserve">and intentionally focussed on DFAT </w:t>
      </w:r>
      <w:r w:rsidRPr="001C3654">
        <w:rPr>
          <w:rFonts w:eastAsia="Calibri" w:cs="Times New Roman"/>
        </w:rPr>
        <w:t>in recognition that there is limited time available to consider program improve</w:t>
      </w:r>
      <w:r w:rsidR="00B05DE2" w:rsidRPr="001C3654">
        <w:rPr>
          <w:rFonts w:eastAsia="Calibri" w:cs="Times New Roman"/>
        </w:rPr>
        <w:t>ments under the current program extension.</w:t>
      </w:r>
      <w:r w:rsidRPr="001C3654">
        <w:rPr>
          <w:rFonts w:eastAsia="Calibri" w:cs="Times New Roman"/>
        </w:rPr>
        <w:t xml:space="preserve"> </w:t>
      </w:r>
    </w:p>
    <w:p w14:paraId="074E6AA7" w14:textId="77777777" w:rsidR="003179FA" w:rsidRPr="001C3654" w:rsidRDefault="003179FA" w:rsidP="003179FA">
      <w:pPr>
        <w:spacing w:before="120"/>
        <w:contextualSpacing/>
        <w:rPr>
          <w:rFonts w:eastAsia="Calibri" w:cs="Times New Roman"/>
        </w:rPr>
      </w:pPr>
    </w:p>
    <w:p w14:paraId="665E2BF5" w14:textId="6EF946A0" w:rsidR="005844C8" w:rsidRPr="001C3654" w:rsidRDefault="003179FA" w:rsidP="003179FA">
      <w:pPr>
        <w:spacing w:before="120"/>
        <w:contextualSpacing/>
        <w:rPr>
          <w:rFonts w:eastAsia="Calibri" w:cstheme="minorHAnsi"/>
        </w:rPr>
      </w:pPr>
      <w:r w:rsidRPr="001C3654">
        <w:rPr>
          <w:rFonts w:eastAsia="Calibri" w:cs="Times New Roman"/>
        </w:rPr>
        <w:t>In terms of next steps, w</w:t>
      </w:r>
      <w:r w:rsidR="005844C8" w:rsidRPr="001C3654">
        <w:rPr>
          <w:rFonts w:eastAsia="Calibri" w:cs="Times New Roman"/>
        </w:rPr>
        <w:t xml:space="preserve">e </w:t>
      </w:r>
      <w:r w:rsidRPr="001C3654">
        <w:rPr>
          <w:rFonts w:eastAsia="Calibri" w:cs="Times New Roman"/>
        </w:rPr>
        <w:t>see four broad</w:t>
      </w:r>
      <w:r w:rsidR="005844C8" w:rsidRPr="001C3654">
        <w:rPr>
          <w:rFonts w:eastAsia="Calibri" w:cs="Times New Roman"/>
        </w:rPr>
        <w:t xml:space="preserve"> options available to DFAT</w:t>
      </w:r>
      <w:r w:rsidRPr="001C3654">
        <w:rPr>
          <w:rFonts w:eastAsia="Calibri" w:cs="Times New Roman"/>
        </w:rPr>
        <w:t xml:space="preserve">. These options </w:t>
      </w:r>
      <w:r w:rsidR="005844C8" w:rsidRPr="001C3654">
        <w:rPr>
          <w:rFonts w:eastAsia="Calibri" w:cs="Times New Roman"/>
        </w:rPr>
        <w:t>can best be described as: continue</w:t>
      </w:r>
      <w:r w:rsidRPr="001C3654">
        <w:rPr>
          <w:rFonts w:eastAsia="Calibri" w:cs="Times New Roman"/>
        </w:rPr>
        <w:t xml:space="preserve"> with PLP</w:t>
      </w:r>
      <w:r w:rsidR="005844C8" w:rsidRPr="001C3654">
        <w:rPr>
          <w:rFonts w:eastAsia="Calibri" w:cs="Times New Roman"/>
        </w:rPr>
        <w:t>; discontinue</w:t>
      </w:r>
      <w:r w:rsidRPr="001C3654">
        <w:rPr>
          <w:rFonts w:eastAsia="Calibri" w:cs="Times New Roman"/>
        </w:rPr>
        <w:t xml:space="preserve"> support for PLP</w:t>
      </w:r>
      <w:r w:rsidR="005844C8" w:rsidRPr="001C3654">
        <w:rPr>
          <w:rFonts w:eastAsia="Calibri" w:cs="Times New Roman"/>
        </w:rPr>
        <w:t>; reho</w:t>
      </w:r>
      <w:r w:rsidRPr="001C3654">
        <w:rPr>
          <w:rFonts w:eastAsia="Calibri" w:cs="Times New Roman"/>
        </w:rPr>
        <w:t>use elements of PLP; or reshape this investment in developmental leadership</w:t>
      </w:r>
      <w:r w:rsidR="00B05DE2" w:rsidRPr="001C3654">
        <w:rPr>
          <w:rFonts w:eastAsia="Calibri" w:cs="Times New Roman"/>
        </w:rPr>
        <w:t xml:space="preserve"> to better suit the current policy and institutional context</w:t>
      </w:r>
      <w:r w:rsidRPr="001C3654">
        <w:rPr>
          <w:rFonts w:eastAsia="Calibri" w:cs="Times New Roman"/>
        </w:rPr>
        <w:t xml:space="preserve">. The advantages and disadvantages of each option are summarised below. </w:t>
      </w:r>
    </w:p>
    <w:p w14:paraId="45C9450C" w14:textId="77777777" w:rsidR="005844C8" w:rsidRPr="005844C8" w:rsidRDefault="005844C8" w:rsidP="005844C8">
      <w:pPr>
        <w:pStyle w:val="SDANumberedheading2"/>
        <w:ind w:left="709" w:hanging="709"/>
      </w:pPr>
      <w:bookmarkStart w:id="54" w:name="_Toc486247216"/>
      <w:r w:rsidRPr="005844C8">
        <w:t>Options</w:t>
      </w:r>
      <w:bookmarkEnd w:id="54"/>
    </w:p>
    <w:p w14:paraId="556ABE8A" w14:textId="77777777" w:rsidR="005844C8" w:rsidRPr="001C3654" w:rsidRDefault="005844C8" w:rsidP="005844C8">
      <w:pPr>
        <w:pStyle w:val="ListParagraph"/>
        <w:numPr>
          <w:ilvl w:val="0"/>
          <w:numId w:val="25"/>
        </w:numPr>
        <w:spacing w:before="120"/>
        <w:ind w:left="360"/>
        <w:rPr>
          <w:b/>
        </w:rPr>
      </w:pPr>
      <w:r w:rsidRPr="001C3654">
        <w:rPr>
          <w:b/>
        </w:rPr>
        <w:t xml:space="preserve">Continue with PLP </w:t>
      </w:r>
      <w:r w:rsidRPr="001C3654">
        <w:rPr>
          <w:b/>
          <w:u w:val="single"/>
        </w:rPr>
        <w:t>as is</w:t>
      </w:r>
      <w:r w:rsidRPr="001C3654">
        <w:rPr>
          <w:b/>
        </w:rPr>
        <w:t xml:space="preserve"> beyond December 2017</w:t>
      </w:r>
      <w:r w:rsidR="00030FA4" w:rsidRPr="001C3654">
        <w:rPr>
          <w:rStyle w:val="FootnoteReference"/>
          <w:b/>
        </w:rPr>
        <w:footnoteReference w:id="109"/>
      </w:r>
    </w:p>
    <w:p w14:paraId="7B1CA486" w14:textId="77777777" w:rsidR="005844C8" w:rsidRPr="001C3654" w:rsidRDefault="005844C8" w:rsidP="005844C8">
      <w:pPr>
        <w:spacing w:before="120"/>
        <w:rPr>
          <w:b/>
        </w:rPr>
      </w:pPr>
      <w:r w:rsidRPr="001C3654">
        <w:rPr>
          <w:b/>
        </w:rPr>
        <w:t>Advantages</w:t>
      </w:r>
      <w:r w:rsidRPr="001C3654">
        <w:t xml:space="preserve">: </w:t>
      </w:r>
      <w:r w:rsidR="00CC4A83">
        <w:t>P</w:t>
      </w:r>
      <w:r w:rsidRPr="001C3654">
        <w:t>reserve the valuable elements that have been built up over time through Australia’s investment, including relationships with and support to coalitions, partners and individuals;  continue to model a different way of ‘doing development’; allow for ongoing experimentation, innovation and lesson learning over the (required) longer time frame; continue to contribute to the development discourse around how donors can best support developmental leadership and reform processes which are genuinely locally-led.</w:t>
      </w:r>
    </w:p>
    <w:p w14:paraId="14E09434" w14:textId="77777777" w:rsidR="005844C8" w:rsidRPr="001C3654" w:rsidRDefault="005844C8" w:rsidP="005844C8">
      <w:pPr>
        <w:spacing w:before="120"/>
      </w:pPr>
      <w:r w:rsidRPr="001C3654">
        <w:rPr>
          <w:b/>
        </w:rPr>
        <w:t>Disadvantages</w:t>
      </w:r>
      <w:r w:rsidRPr="001C3654">
        <w:t xml:space="preserve">: </w:t>
      </w:r>
      <w:r w:rsidR="00CC4A83">
        <w:t>E</w:t>
      </w:r>
      <w:r w:rsidR="00030FA4" w:rsidRPr="001C3654">
        <w:t>xtending the program in its current form would not resolve the</w:t>
      </w:r>
      <w:r w:rsidRPr="001C3654">
        <w:t xml:space="preserve"> </w:t>
      </w:r>
      <w:r w:rsidR="00FC4BD0">
        <w:t>limited</w:t>
      </w:r>
      <w:r w:rsidRPr="001C3654">
        <w:t xml:space="preserve"> strategic leadership of the program or </w:t>
      </w:r>
      <w:r w:rsidR="00FC4BD0">
        <w:t>limited</w:t>
      </w:r>
      <w:r w:rsidRPr="001C3654">
        <w:t xml:space="preserve"> strategic engagement from DFAT with the program; DFAT would continue to miss opportunities to extract more value from the program; program would likely become more conventional and less flexible and experimental; budget uncertainty would continue.</w:t>
      </w:r>
    </w:p>
    <w:p w14:paraId="06A25B8C" w14:textId="77777777" w:rsidR="005844C8" w:rsidRPr="001C3654" w:rsidRDefault="005844C8" w:rsidP="005844C8">
      <w:pPr>
        <w:pStyle w:val="ListParagraph"/>
        <w:numPr>
          <w:ilvl w:val="0"/>
          <w:numId w:val="25"/>
        </w:numPr>
        <w:spacing w:before="120"/>
        <w:ind w:left="360"/>
        <w:rPr>
          <w:b/>
        </w:rPr>
      </w:pPr>
      <w:r w:rsidRPr="001C3654">
        <w:rPr>
          <w:b/>
        </w:rPr>
        <w:t>Discontinue support for PLP</w:t>
      </w:r>
    </w:p>
    <w:p w14:paraId="1D9EB65F" w14:textId="77777777" w:rsidR="005844C8" w:rsidRPr="001C3654" w:rsidRDefault="005844C8" w:rsidP="005844C8">
      <w:pPr>
        <w:spacing w:before="120"/>
      </w:pPr>
      <w:r w:rsidRPr="001C3654">
        <w:rPr>
          <w:b/>
        </w:rPr>
        <w:t>Advantages</w:t>
      </w:r>
      <w:r w:rsidRPr="001C3654">
        <w:t xml:space="preserve">: </w:t>
      </w:r>
      <w:r w:rsidR="00CC4A83">
        <w:t>C</w:t>
      </w:r>
      <w:r w:rsidRPr="001C3654">
        <w:t xml:space="preserve">reate budget and resource space for a program with which DFAT has a stronger appetite to engage; save on short-term resources required to rehouse; </w:t>
      </w:r>
      <w:r w:rsidR="00FA06CD" w:rsidRPr="001C3654">
        <w:t xml:space="preserve">or to </w:t>
      </w:r>
      <w:r w:rsidRPr="001C3654">
        <w:t xml:space="preserve">reshape and reconnect. </w:t>
      </w:r>
    </w:p>
    <w:p w14:paraId="6CC709F0" w14:textId="77777777" w:rsidR="005844C8" w:rsidRPr="001C3654" w:rsidRDefault="005844C8" w:rsidP="005844C8">
      <w:pPr>
        <w:spacing w:before="120"/>
      </w:pPr>
      <w:r w:rsidRPr="001C3654">
        <w:rPr>
          <w:b/>
        </w:rPr>
        <w:t>Disadvantages</w:t>
      </w:r>
      <w:r w:rsidRPr="001C3654">
        <w:t xml:space="preserve">: </w:t>
      </w:r>
      <w:r w:rsidR="00CC4A83">
        <w:t>L</w:t>
      </w:r>
      <w:r w:rsidRPr="001C3654">
        <w:t>ose the valuable elements that have been built up over time; lose the repository of knowledge (local staff); lose conscious experimentation, innovation and lesson learning vehicle; lose opportu</w:t>
      </w:r>
      <w:r w:rsidR="00030FA4" w:rsidRPr="001C3654">
        <w:t>nity to build on the investment and extract more value from the investment; loss of momentum around developmental coalitions; cessation of support to individual developmental leaders.</w:t>
      </w:r>
    </w:p>
    <w:p w14:paraId="2AD53B91" w14:textId="77777777" w:rsidR="005844C8" w:rsidRPr="001C3654" w:rsidRDefault="005844C8" w:rsidP="005844C8">
      <w:pPr>
        <w:pStyle w:val="ListParagraph"/>
        <w:numPr>
          <w:ilvl w:val="0"/>
          <w:numId w:val="25"/>
        </w:numPr>
        <w:spacing w:before="120"/>
        <w:ind w:left="360"/>
        <w:rPr>
          <w:b/>
        </w:rPr>
      </w:pPr>
      <w:r w:rsidRPr="001C3654">
        <w:rPr>
          <w:b/>
        </w:rPr>
        <w:t>Rehouse elements of PLP</w:t>
      </w:r>
    </w:p>
    <w:p w14:paraId="515AFB6C" w14:textId="77777777" w:rsidR="005844C8" w:rsidRPr="001C3654" w:rsidRDefault="005844C8" w:rsidP="005844C8">
      <w:pPr>
        <w:spacing w:before="120"/>
      </w:pPr>
      <w:r w:rsidRPr="001C3654">
        <w:rPr>
          <w:b/>
        </w:rPr>
        <w:t>Advantages</w:t>
      </w:r>
      <w:r w:rsidRPr="001C3654">
        <w:t xml:space="preserve">: </w:t>
      </w:r>
      <w:r w:rsidR="00CC4A83">
        <w:t>S</w:t>
      </w:r>
      <w:r w:rsidRPr="001C3654">
        <w:t xml:space="preserve">hift parts of the program to other DFAT-funded programs (i.e. </w:t>
      </w:r>
      <w:r w:rsidRPr="001C3654">
        <w:rPr>
          <w:i/>
        </w:rPr>
        <w:t>Pacific Women</w:t>
      </w:r>
      <w:r w:rsidRPr="001C3654">
        <w:t xml:space="preserve">, </w:t>
      </w:r>
      <w:r w:rsidR="00FA06CD" w:rsidRPr="001C3654">
        <w:rPr>
          <w:i/>
        </w:rPr>
        <w:t xml:space="preserve">Pacific Connect, </w:t>
      </w:r>
      <w:r w:rsidRPr="001C3654">
        <w:rPr>
          <w:i/>
        </w:rPr>
        <w:t>Australia Awards</w:t>
      </w:r>
      <w:r w:rsidRPr="001C3654">
        <w:t xml:space="preserve">, </w:t>
      </w:r>
      <w:r w:rsidR="00030FA4" w:rsidRPr="001C3654">
        <w:t xml:space="preserve">Pacific </w:t>
      </w:r>
      <w:r w:rsidRPr="001C3654">
        <w:t xml:space="preserve">bilateral programs, </w:t>
      </w:r>
      <w:r w:rsidR="00030FA4" w:rsidRPr="001C3654">
        <w:rPr>
          <w:i/>
        </w:rPr>
        <w:t xml:space="preserve">Pacific </w:t>
      </w:r>
      <w:r w:rsidR="005C0952" w:rsidRPr="001C3654">
        <w:rPr>
          <w:i/>
        </w:rPr>
        <w:t>Research P</w:t>
      </w:r>
      <w:r w:rsidRPr="001C3654">
        <w:rPr>
          <w:i/>
        </w:rPr>
        <w:t>rogram</w:t>
      </w:r>
      <w:r w:rsidRPr="001C3654">
        <w:t>) and/or to an academic institution or another DFAT-funded partner. Rehousing would preserve some valuable elements, go some way to address strategic leadership issues, and might align with long-term view needed for experimentation and lesson learning.</w:t>
      </w:r>
    </w:p>
    <w:p w14:paraId="2A6C3E98" w14:textId="77777777" w:rsidR="005844C8" w:rsidRPr="001C3654" w:rsidRDefault="005844C8" w:rsidP="005844C8">
      <w:pPr>
        <w:spacing w:before="120"/>
      </w:pPr>
      <w:r w:rsidRPr="001C3654">
        <w:rPr>
          <w:b/>
        </w:rPr>
        <w:t>Disadvantages</w:t>
      </w:r>
      <w:r w:rsidRPr="001C3654">
        <w:t xml:space="preserve">: </w:t>
      </w:r>
      <w:r w:rsidR="00CC4A83">
        <w:t>W</w:t>
      </w:r>
      <w:r w:rsidRPr="001C3654">
        <w:t>ould dismantle the theory of change (program logic) and the ability to leverage off the various types of resources used to support partners to achieve positive social change</w:t>
      </w:r>
      <w:r w:rsidR="00030FA4" w:rsidRPr="001C3654">
        <w:t>;</w:t>
      </w:r>
      <w:r w:rsidRPr="001C3654">
        <w:t xml:space="preserve"> unlikely to resolve </w:t>
      </w:r>
      <w:r w:rsidR="00FC4BD0">
        <w:t>low level</w:t>
      </w:r>
      <w:r w:rsidR="00FC4BD0" w:rsidRPr="001C3654">
        <w:t xml:space="preserve"> </w:t>
      </w:r>
      <w:r w:rsidRPr="001C3654">
        <w:t>of DFAT engagement</w:t>
      </w:r>
      <w:r w:rsidR="00030FA4" w:rsidRPr="001C3654">
        <w:t>;</w:t>
      </w:r>
      <w:r w:rsidRPr="001C3654">
        <w:t xml:space="preserve"> likely to result in a more conventional and less experimental range of activities (and the loss of key staff).</w:t>
      </w:r>
    </w:p>
    <w:p w14:paraId="15AA1753" w14:textId="3153C850" w:rsidR="005844C8" w:rsidRPr="001C3654" w:rsidRDefault="005844C8" w:rsidP="005844C8">
      <w:pPr>
        <w:pStyle w:val="ListParagraph"/>
        <w:numPr>
          <w:ilvl w:val="0"/>
          <w:numId w:val="25"/>
        </w:numPr>
        <w:spacing w:before="120"/>
        <w:ind w:left="360"/>
        <w:rPr>
          <w:b/>
        </w:rPr>
      </w:pPr>
      <w:r w:rsidRPr="001C3654">
        <w:rPr>
          <w:b/>
        </w:rPr>
        <w:t xml:space="preserve">Reshape </w:t>
      </w:r>
    </w:p>
    <w:p w14:paraId="394D9748" w14:textId="77777777" w:rsidR="005844C8" w:rsidRPr="001C3654" w:rsidRDefault="005844C8" w:rsidP="005844C8">
      <w:pPr>
        <w:spacing w:before="120"/>
      </w:pPr>
      <w:r w:rsidRPr="001C3654">
        <w:rPr>
          <w:b/>
        </w:rPr>
        <w:t>Advantages</w:t>
      </w:r>
      <w:r w:rsidRPr="001C3654">
        <w:t xml:space="preserve">: </w:t>
      </w:r>
      <w:r w:rsidR="00CC4A83">
        <w:t>E</w:t>
      </w:r>
      <w:r w:rsidRPr="001C3654">
        <w:t xml:space="preserve">nable DFAT  to </w:t>
      </w:r>
      <w:r w:rsidR="00030FA4" w:rsidRPr="001C3654">
        <w:t>leverage off (and learn from) the investment to-date and reshape it</w:t>
      </w:r>
      <w:r w:rsidRPr="001C3654">
        <w:t xml:space="preserve"> to add value to Australia’s new ‘stepped up’ engagement in the Pacific, recognising the PLP approach as one ‘tool’, among others, in progressing Australia’s policy interests in the Pacific; extract more value out of the program (i.e. use elements as vehicles to increase linkages between constituencies in Australia and in the Pacific); keep the best </w:t>
      </w:r>
      <w:r w:rsidR="00030FA4" w:rsidRPr="001C3654">
        <w:t>elements, and discontinue</w:t>
      </w:r>
      <w:r w:rsidRPr="001C3654">
        <w:t xml:space="preserve"> the underperformers;  chance to reset the strategic leadership and DFAT’s engagement; chance to better connect this program (and its learnings) with other new investments (i.e. </w:t>
      </w:r>
      <w:r w:rsidRPr="001C3654">
        <w:rPr>
          <w:i/>
        </w:rPr>
        <w:t>Pacific Connect</w:t>
      </w:r>
      <w:r w:rsidRPr="001C3654">
        <w:t xml:space="preserve">; </w:t>
      </w:r>
      <w:r w:rsidRPr="001C3654">
        <w:rPr>
          <w:i/>
        </w:rPr>
        <w:t>Women’s Leadership Initiative</w:t>
      </w:r>
      <w:r w:rsidRPr="001C3654">
        <w:t xml:space="preserve">; </w:t>
      </w:r>
      <w:r w:rsidRPr="001C3654">
        <w:rPr>
          <w:i/>
        </w:rPr>
        <w:t>Pacific Research Program</w:t>
      </w:r>
      <w:r w:rsidRPr="001C3654">
        <w:t>).</w:t>
      </w:r>
    </w:p>
    <w:p w14:paraId="70B16D9C" w14:textId="77777777" w:rsidR="005844C8" w:rsidRPr="001C3654" w:rsidRDefault="005844C8" w:rsidP="005844C8">
      <w:pPr>
        <w:spacing w:before="120"/>
      </w:pPr>
      <w:r w:rsidRPr="001C3654">
        <w:rPr>
          <w:b/>
        </w:rPr>
        <w:t>Disadvantages</w:t>
      </w:r>
      <w:r w:rsidRPr="001C3654">
        <w:t>:  DFAT will need to allocate resources to reshape and reconnect the program; DFAT will need to engage strategically (at the appropriate level – i.e. decision makers) with the program and their contacts; risk of ongoing uncertainty.</w:t>
      </w:r>
    </w:p>
    <w:p w14:paraId="61C6EC4F" w14:textId="77777777" w:rsidR="005844C8" w:rsidRPr="005844C8" w:rsidRDefault="005844C8" w:rsidP="005844C8">
      <w:pPr>
        <w:pStyle w:val="SDANumberedheading2"/>
        <w:ind w:left="709" w:hanging="709"/>
      </w:pPr>
      <w:bookmarkStart w:id="55" w:name="_Toc486247217"/>
      <w:r w:rsidRPr="005844C8">
        <w:t>Recommendations</w:t>
      </w:r>
      <w:bookmarkEnd w:id="55"/>
    </w:p>
    <w:p w14:paraId="27648F9B" w14:textId="77777777" w:rsidR="00826984" w:rsidRPr="001C3654" w:rsidRDefault="00030FA4" w:rsidP="007D0B9D">
      <w:pPr>
        <w:spacing w:before="120"/>
      </w:pPr>
      <w:r w:rsidRPr="001C3654">
        <w:t xml:space="preserve">The </w:t>
      </w:r>
      <w:r w:rsidR="007D0B9D" w:rsidRPr="001C3654">
        <w:t>evaluation’s</w:t>
      </w:r>
      <w:r w:rsidRPr="001C3654">
        <w:t xml:space="preserve"> broad conclusion is that the</w:t>
      </w:r>
      <w:r w:rsidR="007D0B9D" w:rsidRPr="001C3654">
        <w:t xml:space="preserve"> theory of change which defines the Pacific Leadership Program (Phase 3) </w:t>
      </w:r>
      <w:r w:rsidRPr="001C3654">
        <w:t xml:space="preserve">remains </w:t>
      </w:r>
      <w:r w:rsidR="007D0B9D" w:rsidRPr="001C3654">
        <w:t xml:space="preserve">highly </w:t>
      </w:r>
      <w:r w:rsidRPr="001C3654">
        <w:t>relevant</w:t>
      </w:r>
      <w:r w:rsidR="007D0B9D" w:rsidRPr="001C3654">
        <w:t xml:space="preserve"> to Pacific partners and the Australian</w:t>
      </w:r>
      <w:r w:rsidRPr="001C3654">
        <w:t xml:space="preserve"> Government’s </w:t>
      </w:r>
      <w:r w:rsidR="007D0B9D" w:rsidRPr="001C3654">
        <w:t xml:space="preserve">foreign policy and development priorities in the Pacific region. However, to be highly effective in the current context, the program needs to be reshaped to ensure it is ‘fit-for-purpose’. </w:t>
      </w:r>
    </w:p>
    <w:p w14:paraId="57E5FF47" w14:textId="77777777" w:rsidR="00E96E53" w:rsidRDefault="00E96E53" w:rsidP="001C3654">
      <w:pPr>
        <w:pStyle w:val="SDAbodytext"/>
        <w:rPr>
          <w:rFonts w:eastAsia="Calibri" w:cs="Times New Roman"/>
        </w:rPr>
      </w:pPr>
      <w:r>
        <w:rPr>
          <w:rFonts w:eastAsia="Calibri" w:cs="Times New Roman"/>
        </w:rPr>
        <w:t>The evaluation’s analysis concludes that continuing with PLP3 in its current form is not an effective option. Yet, experimentation in developmental leadership in the Pacific remains highly relevant to DFAT, to its partners in the Pacific and to the international discour</w:t>
      </w:r>
      <w:r w:rsidR="001A1A54">
        <w:rPr>
          <w:rFonts w:eastAsia="Calibri" w:cs="Times New Roman"/>
        </w:rPr>
        <w:t>s</w:t>
      </w:r>
      <w:r>
        <w:rPr>
          <w:rFonts w:eastAsia="Calibri" w:cs="Times New Roman"/>
        </w:rPr>
        <w:t xml:space="preserve">e on aid effectiveness. </w:t>
      </w:r>
      <w:r w:rsidRPr="00347F33">
        <w:rPr>
          <w:rFonts w:eastAsia="Calibri" w:cs="Times New Roman"/>
        </w:rPr>
        <w:t xml:space="preserve">The </w:t>
      </w:r>
      <w:r>
        <w:rPr>
          <w:rFonts w:eastAsia="Calibri" w:cs="Times New Roman"/>
        </w:rPr>
        <w:t xml:space="preserve">evaluation recommends that DFAT reshape and reconnect with an investment in developmental leadership, seizing its potential to play a small but not insignificant role in supporting Australia’s long-term objectives for a safe, stable and economically resilient Pacific region. </w:t>
      </w:r>
    </w:p>
    <w:p w14:paraId="2D7F3C0F" w14:textId="20294BE8" w:rsidR="00F56E15" w:rsidRDefault="00030FA4" w:rsidP="007D0B9D">
      <w:pPr>
        <w:spacing w:before="120"/>
      </w:pPr>
      <w:r w:rsidRPr="001C3654">
        <w:t xml:space="preserve">Our recommendations </w:t>
      </w:r>
      <w:r w:rsidR="007D0B9D" w:rsidRPr="001C3654">
        <w:t xml:space="preserve">include threshold questions for DFAT that </w:t>
      </w:r>
      <w:r w:rsidR="00F56E15" w:rsidRPr="001C3654">
        <w:t xml:space="preserve">we believe </w:t>
      </w:r>
      <w:r w:rsidR="007D0B9D" w:rsidRPr="001C3654">
        <w:t>are relevant in determining any</w:t>
      </w:r>
      <w:r w:rsidR="00F56E15" w:rsidRPr="001C3654">
        <w:t xml:space="preserve"> future investment in</w:t>
      </w:r>
      <w:r w:rsidR="007D0B9D" w:rsidRPr="001C3654">
        <w:t xml:space="preserve"> developmental leadership through an experimental vehicle like PLP3.</w:t>
      </w:r>
      <w:r w:rsidR="00F56E15" w:rsidRPr="001C3654">
        <w:t xml:space="preserve"> These</w:t>
      </w:r>
      <w:r w:rsidR="007D0B9D" w:rsidRPr="001C3654">
        <w:t xml:space="preserve"> </w:t>
      </w:r>
      <w:r w:rsidR="00F56E15" w:rsidRPr="001C3654">
        <w:t xml:space="preserve">recommendations encompass our view that a program like PLP has the potential to </w:t>
      </w:r>
      <w:r w:rsidR="00AA7208" w:rsidRPr="001C3654">
        <w:t>continue to be meaning</w:t>
      </w:r>
      <w:r w:rsidR="002934EB" w:rsidRPr="001C3654">
        <w:t>ful</w:t>
      </w:r>
      <w:r w:rsidR="00AA7208" w:rsidRPr="001C3654">
        <w:t xml:space="preserve"> (and offer value for money) </w:t>
      </w:r>
      <w:r w:rsidR="00F56E15" w:rsidRPr="001C3654">
        <w:t xml:space="preserve">to Australia and to Pacific Island countries in pursuit of inclusive development gains for the region and its people. </w:t>
      </w:r>
    </w:p>
    <w:p w14:paraId="6B51CE95" w14:textId="77777777" w:rsidR="00A9092C" w:rsidRPr="001C3654" w:rsidRDefault="00A9092C" w:rsidP="007D0B9D">
      <w:pPr>
        <w:spacing w:before="120"/>
      </w:pPr>
    </w:p>
    <w:p w14:paraId="052FC932" w14:textId="4136B808" w:rsidR="005219B1" w:rsidRPr="001C3654" w:rsidRDefault="005219B1" w:rsidP="00AB0684">
      <w:pPr>
        <w:pBdr>
          <w:top w:val="single" w:sz="4" w:space="1" w:color="auto"/>
          <w:left w:val="single" w:sz="4" w:space="4" w:color="auto"/>
          <w:bottom w:val="single" w:sz="4" w:space="1" w:color="auto"/>
          <w:right w:val="single" w:sz="4" w:space="4" w:color="auto"/>
        </w:pBdr>
        <w:shd w:val="clear" w:color="auto" w:fill="B8CCE4" w:themeFill="accent1" w:themeFillTint="66"/>
        <w:spacing w:before="120"/>
        <w:rPr>
          <w:rFonts w:eastAsia="Calibri" w:cstheme="minorHAnsi"/>
          <w:b/>
        </w:rPr>
      </w:pPr>
      <w:r w:rsidRPr="001C3654">
        <w:rPr>
          <w:rFonts w:eastAsia="Calibri" w:cstheme="minorHAnsi"/>
          <w:b/>
          <w:i/>
        </w:rPr>
        <w:t xml:space="preserve">Recommendation </w:t>
      </w:r>
      <w:r w:rsidR="00C757C9" w:rsidRPr="001C3654">
        <w:rPr>
          <w:rFonts w:eastAsia="Calibri" w:cstheme="minorHAnsi"/>
          <w:b/>
          <w:i/>
        </w:rPr>
        <w:t>1</w:t>
      </w:r>
      <w:r w:rsidRPr="001C3654">
        <w:rPr>
          <w:rFonts w:eastAsia="Calibri" w:cstheme="minorHAnsi"/>
          <w:b/>
        </w:rPr>
        <w:t>: DFAT to maintain an</w:t>
      </w:r>
      <w:r w:rsidR="003B1998">
        <w:rPr>
          <w:rFonts w:eastAsia="Calibri" w:cstheme="minorHAnsi"/>
          <w:b/>
        </w:rPr>
        <w:t xml:space="preserve"> </w:t>
      </w:r>
      <w:r w:rsidRPr="001C3654">
        <w:rPr>
          <w:rFonts w:eastAsia="Calibri" w:cstheme="minorHAnsi"/>
          <w:b/>
        </w:rPr>
        <w:t>innovative investment in developmental leadership</w:t>
      </w:r>
    </w:p>
    <w:p w14:paraId="15462A0E" w14:textId="12CA40F6" w:rsidR="005219B1" w:rsidRDefault="005219B1" w:rsidP="005219B1">
      <w:pPr>
        <w:spacing w:before="120" w:line="259" w:lineRule="auto"/>
        <w:rPr>
          <w:rFonts w:eastAsia="Calibri" w:cstheme="minorHAnsi"/>
        </w:rPr>
      </w:pPr>
      <w:r w:rsidRPr="001C3654">
        <w:rPr>
          <w:rFonts w:eastAsia="Calibri" w:cstheme="minorHAnsi"/>
        </w:rPr>
        <w:t xml:space="preserve">Experimentation in developmental leadership remains highly relevant to DFAT, and to its partners in the Pacific. </w:t>
      </w:r>
      <w:r w:rsidR="00E96E53">
        <w:rPr>
          <w:rFonts w:eastAsia="Calibri" w:cstheme="minorHAnsi"/>
        </w:rPr>
        <w:t>A politically informed, flexible and iterative</w:t>
      </w:r>
      <w:r w:rsidRPr="001C3654">
        <w:rPr>
          <w:rFonts w:eastAsia="Calibri" w:cstheme="minorHAnsi"/>
        </w:rPr>
        <w:t xml:space="preserve"> approach to development is valuable, and more time is needed to fully explore the approach's potential and to capitalise on lessons learned to date. Valuable elements (key initiatives, relationships and staff) will be lost if the program is discontinued (indeed, they are already at risk due to uncertainty).  However, problems identified above (</w:t>
      </w:r>
      <w:r w:rsidR="00E96E53">
        <w:rPr>
          <w:rFonts w:eastAsia="Calibri" w:cstheme="minorHAnsi"/>
        </w:rPr>
        <w:t>including limited</w:t>
      </w:r>
      <w:r w:rsidRPr="001C3654">
        <w:rPr>
          <w:rFonts w:eastAsia="Calibri" w:cstheme="minorHAnsi"/>
        </w:rPr>
        <w:t xml:space="preserve"> strategic leadership</w:t>
      </w:r>
      <w:r w:rsidR="00E96E53">
        <w:rPr>
          <w:rFonts w:eastAsia="Calibri" w:cstheme="minorHAnsi"/>
        </w:rPr>
        <w:t xml:space="preserve"> and</w:t>
      </w:r>
      <w:r w:rsidR="006F429C">
        <w:rPr>
          <w:rFonts w:eastAsia="Calibri" w:cstheme="minorHAnsi"/>
        </w:rPr>
        <w:t xml:space="preserve"> limited</w:t>
      </w:r>
      <w:r w:rsidRPr="001C3654">
        <w:rPr>
          <w:rFonts w:eastAsia="Calibri" w:cstheme="minorHAnsi"/>
        </w:rPr>
        <w:t xml:space="preserve"> DFAT engagement) will not resolve themselves over time without a concerted effort and changes to engagement, resourcing and prioritisation. This experimental programming should be a complement to DFAT's bilateral programming – specifically it should be </w:t>
      </w:r>
      <w:r w:rsidRPr="001C3654">
        <w:rPr>
          <w:rFonts w:eastAsia="Calibri" w:cstheme="minorHAnsi"/>
          <w:i/>
        </w:rPr>
        <w:t>different</w:t>
      </w:r>
      <w:r w:rsidRPr="001C3654">
        <w:rPr>
          <w:rFonts w:eastAsia="Calibri" w:cstheme="minorHAnsi"/>
        </w:rPr>
        <w:t xml:space="preserve"> to the bilateral programming (trying new things) and </w:t>
      </w:r>
      <w:r w:rsidRPr="001C3654">
        <w:rPr>
          <w:rFonts w:eastAsia="Calibri" w:cstheme="minorHAnsi"/>
          <w:i/>
        </w:rPr>
        <w:t>valuable</w:t>
      </w:r>
      <w:r w:rsidRPr="001C3654">
        <w:rPr>
          <w:rFonts w:eastAsia="Calibri" w:cstheme="minorHAnsi"/>
        </w:rPr>
        <w:t xml:space="preserve"> to the bilateral programming (effectively sharing lessons learned, networks, public diplomacy opportunities, etc.).</w:t>
      </w:r>
    </w:p>
    <w:p w14:paraId="742ACC92" w14:textId="77777777" w:rsidR="00A9092C" w:rsidRPr="001C3654" w:rsidRDefault="00A9092C" w:rsidP="005219B1">
      <w:pPr>
        <w:spacing w:before="120" w:line="259" w:lineRule="auto"/>
        <w:rPr>
          <w:rFonts w:eastAsia="Calibri" w:cstheme="minorHAnsi"/>
        </w:rPr>
      </w:pPr>
    </w:p>
    <w:p w14:paraId="3FC818FA" w14:textId="01CED245" w:rsidR="00E96E53" w:rsidRPr="00BC2DB3" w:rsidRDefault="00E96E53" w:rsidP="00AB0684">
      <w:pPr>
        <w:pStyle w:val="ListParagraph"/>
        <w:pBdr>
          <w:top w:val="single" w:sz="4" w:space="1" w:color="auto"/>
          <w:left w:val="single" w:sz="4" w:space="4" w:color="auto"/>
          <w:bottom w:val="single" w:sz="4" w:space="1" w:color="auto"/>
          <w:right w:val="single" w:sz="4" w:space="4" w:color="auto"/>
        </w:pBdr>
        <w:shd w:val="clear" w:color="auto" w:fill="B8CCE4" w:themeFill="accent1" w:themeFillTint="66"/>
        <w:spacing w:before="120"/>
        <w:ind w:left="0"/>
        <w:contextualSpacing w:val="0"/>
        <w:rPr>
          <w:rFonts w:eastAsia="Calibri" w:cstheme="minorHAnsi"/>
          <w:b/>
        </w:rPr>
      </w:pPr>
      <w:r w:rsidRPr="00BC2DB3">
        <w:rPr>
          <w:rFonts w:eastAsia="Calibri" w:cstheme="minorHAnsi"/>
          <w:b/>
          <w:i/>
        </w:rPr>
        <w:t>Recommendation 2:</w:t>
      </w:r>
      <w:r w:rsidRPr="00BC2DB3">
        <w:rPr>
          <w:rFonts w:eastAsia="Calibri" w:cstheme="minorHAnsi"/>
          <w:b/>
        </w:rPr>
        <w:t xml:space="preserve"> DFAT to consider ways that it can </w:t>
      </w:r>
      <w:r w:rsidR="003B1998">
        <w:rPr>
          <w:rFonts w:eastAsia="Calibri" w:cstheme="minorHAnsi"/>
          <w:b/>
        </w:rPr>
        <w:t>better</w:t>
      </w:r>
      <w:r w:rsidRPr="00BC2DB3">
        <w:rPr>
          <w:rFonts w:eastAsia="Calibri" w:cstheme="minorHAnsi"/>
          <w:b/>
        </w:rPr>
        <w:t xml:space="preserve"> integrat</w:t>
      </w:r>
      <w:r w:rsidR="003B1998">
        <w:rPr>
          <w:rFonts w:eastAsia="Calibri" w:cstheme="minorHAnsi"/>
          <w:b/>
        </w:rPr>
        <w:t>e</w:t>
      </w:r>
      <w:r w:rsidRPr="00BC2DB3">
        <w:rPr>
          <w:rFonts w:eastAsia="Calibri" w:cstheme="minorHAnsi"/>
          <w:b/>
        </w:rPr>
        <w:t xml:space="preserve"> any future innovative and experimental programs like PLP within its broader governance and/or research portfolios </w:t>
      </w:r>
    </w:p>
    <w:p w14:paraId="7A730A01" w14:textId="77777777" w:rsidR="00E96E53" w:rsidRPr="00347F33" w:rsidRDefault="00E96E53" w:rsidP="00E96E53">
      <w:pPr>
        <w:pStyle w:val="ListParagraph"/>
        <w:spacing w:before="120"/>
        <w:ind w:left="0"/>
        <w:contextualSpacing w:val="0"/>
        <w:rPr>
          <w:rFonts w:eastAsia="Calibri" w:cstheme="minorHAnsi"/>
        </w:rPr>
      </w:pPr>
      <w:r>
        <w:rPr>
          <w:rFonts w:eastAsia="Calibri" w:cstheme="minorHAnsi"/>
        </w:rPr>
        <w:t xml:space="preserve">In particular, DFAT should: </w:t>
      </w:r>
    </w:p>
    <w:p w14:paraId="2A53CABD" w14:textId="0E067BC6" w:rsidR="00E96E53" w:rsidRPr="00BC2DB3" w:rsidRDefault="00E96E53" w:rsidP="00E96E53">
      <w:pPr>
        <w:pStyle w:val="SDAbulletpoints"/>
      </w:pPr>
      <w:r w:rsidRPr="00BC2DB3">
        <w:t xml:space="preserve">Consider whether DFAT’s Pacific Division in Canberra requires a role in directly managing these types of programs; and what role </w:t>
      </w:r>
      <w:r w:rsidR="00847741">
        <w:t xml:space="preserve">(if any) </w:t>
      </w:r>
      <w:r w:rsidRPr="00BC2DB3">
        <w:t>should be played by DFAT's Governance, Fragility and</w:t>
      </w:r>
      <w:r>
        <w:t xml:space="preserve"> Water</w:t>
      </w:r>
      <w:r w:rsidRPr="00BC2DB3">
        <w:t xml:space="preserve"> Branch</w:t>
      </w:r>
    </w:p>
    <w:p w14:paraId="6B959098" w14:textId="77777777" w:rsidR="00E96E53" w:rsidRPr="00BC2DB3" w:rsidRDefault="00E96E53" w:rsidP="00E96E53">
      <w:pPr>
        <w:pStyle w:val="SDAbulletpoints"/>
      </w:pPr>
      <w:r w:rsidRPr="00BC2DB3">
        <w:t>Consider whether one or more Pacific bilateral programs might provide a more effective ‘</w:t>
      </w:r>
      <w:r>
        <w:t>enabling</w:t>
      </w:r>
      <w:r w:rsidRPr="00BC2DB3">
        <w:t xml:space="preserve"> environment’, and which bilateral programs have appetite for this kind of innovation and experimentation</w:t>
      </w:r>
    </w:p>
    <w:p w14:paraId="63D9128D" w14:textId="77777777" w:rsidR="00E96E53" w:rsidRPr="00BC2DB3" w:rsidRDefault="00E96E53" w:rsidP="00E96E53">
      <w:pPr>
        <w:pStyle w:val="SDAbulletpoints"/>
      </w:pPr>
      <w:r w:rsidRPr="00BC2DB3">
        <w:t>Consider whether funding (i.e. co-contributions) from bilateral programs offer opportunities for improved ownership, influence and integration</w:t>
      </w:r>
    </w:p>
    <w:p w14:paraId="19A98477" w14:textId="689701AC" w:rsidR="00E96E53" w:rsidRDefault="00E96E53" w:rsidP="00E96E53">
      <w:pPr>
        <w:pStyle w:val="SDAbulletpoints"/>
      </w:pPr>
      <w:r w:rsidRPr="00BC2DB3">
        <w:t>Consider whether recently tendered new leadership and/or research programs offer opportunities for stronger integration and coordination among similar programs.</w:t>
      </w:r>
    </w:p>
    <w:p w14:paraId="0428166E" w14:textId="77777777" w:rsidR="00A9092C" w:rsidRPr="00BC2DB3" w:rsidRDefault="00A9092C" w:rsidP="00A9092C">
      <w:pPr>
        <w:pStyle w:val="SDAbulletpoints"/>
        <w:numPr>
          <w:ilvl w:val="0"/>
          <w:numId w:val="0"/>
        </w:numPr>
        <w:ind w:left="720"/>
      </w:pPr>
    </w:p>
    <w:p w14:paraId="174B8986" w14:textId="7DE759F3" w:rsidR="005844C8" w:rsidRPr="001C3654" w:rsidRDefault="002934EB" w:rsidP="00AB0684">
      <w:pPr>
        <w:pBdr>
          <w:top w:val="single" w:sz="4" w:space="1" w:color="auto"/>
          <w:left w:val="single" w:sz="4" w:space="4" w:color="auto"/>
          <w:bottom w:val="single" w:sz="4" w:space="1" w:color="auto"/>
          <w:right w:val="single" w:sz="4" w:space="4" w:color="auto"/>
        </w:pBdr>
        <w:shd w:val="clear" w:color="auto" w:fill="B8CCE4" w:themeFill="accent1" w:themeFillTint="66"/>
        <w:spacing w:before="120"/>
        <w:rPr>
          <w:rFonts w:eastAsia="Calibri" w:cstheme="minorHAnsi"/>
          <w:b/>
        </w:rPr>
      </w:pPr>
      <w:r w:rsidRPr="001C3654">
        <w:rPr>
          <w:rFonts w:eastAsia="Calibri" w:cstheme="minorHAnsi"/>
          <w:b/>
          <w:i/>
        </w:rPr>
        <w:t xml:space="preserve">Recommendation </w:t>
      </w:r>
      <w:r w:rsidR="00E96E53">
        <w:rPr>
          <w:rFonts w:eastAsia="Calibri" w:cstheme="minorHAnsi"/>
          <w:b/>
          <w:i/>
        </w:rPr>
        <w:t>3</w:t>
      </w:r>
      <w:r w:rsidRPr="001C3654">
        <w:rPr>
          <w:rFonts w:eastAsia="Calibri" w:cstheme="minorHAnsi"/>
          <w:b/>
        </w:rPr>
        <w:t xml:space="preserve">: </w:t>
      </w:r>
      <w:r w:rsidR="003B1998">
        <w:rPr>
          <w:rFonts w:eastAsia="Calibri" w:cstheme="minorHAnsi"/>
          <w:b/>
        </w:rPr>
        <w:t>DFAT to consider key</w:t>
      </w:r>
      <w:r w:rsidR="005844C8" w:rsidRPr="001C3654">
        <w:rPr>
          <w:rFonts w:eastAsia="Calibri" w:cstheme="minorHAnsi"/>
          <w:b/>
        </w:rPr>
        <w:t xml:space="preserve"> threshold issues in determining any future investment in this space</w:t>
      </w:r>
    </w:p>
    <w:p w14:paraId="47E78750" w14:textId="77777777" w:rsidR="005844C8" w:rsidRPr="001C3654" w:rsidRDefault="005844C8" w:rsidP="005844C8">
      <w:pPr>
        <w:spacing w:before="120" w:line="259" w:lineRule="auto"/>
        <w:contextualSpacing/>
        <w:rPr>
          <w:rFonts w:eastAsia="Calibri" w:cstheme="minorHAnsi"/>
        </w:rPr>
      </w:pPr>
      <w:r w:rsidRPr="001C3654">
        <w:rPr>
          <w:rFonts w:eastAsia="Calibri" w:cstheme="minorHAnsi"/>
        </w:rPr>
        <w:t>Key threshold questions</w:t>
      </w:r>
      <w:r w:rsidRPr="001C3654">
        <w:rPr>
          <w:rStyle w:val="FootnoteReference"/>
          <w:rFonts w:eastAsia="Calibri" w:cstheme="minorHAnsi"/>
        </w:rPr>
        <w:footnoteReference w:id="110"/>
      </w:r>
      <w:r w:rsidRPr="001C3654">
        <w:rPr>
          <w:rFonts w:eastAsia="Calibri" w:cstheme="minorHAnsi"/>
        </w:rPr>
        <w:t xml:space="preserve"> include, but are not limited to:</w:t>
      </w:r>
    </w:p>
    <w:p w14:paraId="183ED34B" w14:textId="77777777" w:rsidR="00AA7208" w:rsidRPr="00AB0684" w:rsidRDefault="00AA7208" w:rsidP="00AB0684">
      <w:pPr>
        <w:pStyle w:val="SDAbulletpoints"/>
      </w:pPr>
      <w:r w:rsidRPr="00AB0684">
        <w:t>What is DFAT’s level of interest in, and capacity for, investing in experimental, innovative and learning programs as one part of its broader efforts around improved governance, developmental leadership and transformational change?</w:t>
      </w:r>
    </w:p>
    <w:p w14:paraId="3D3CA5CF" w14:textId="77777777" w:rsidR="005844C8" w:rsidRPr="00AB0684" w:rsidRDefault="005844C8" w:rsidP="00AB0684">
      <w:pPr>
        <w:pStyle w:val="SDAbulletpoints"/>
      </w:pPr>
      <w:r w:rsidRPr="00AB0684">
        <w:t>What is the value of a program like PLP to Australia’s long-term national interests in the Pacific? Is PLP (or a PLP-style approach) a relevant tool in DFAT's broader portfolio to support Australia’s ‘stepped up’ engagement in the Pacific?</w:t>
      </w:r>
    </w:p>
    <w:p w14:paraId="5AB1CD90" w14:textId="77777777" w:rsidR="00AA7208" w:rsidRPr="00AB0684" w:rsidRDefault="00AA7208" w:rsidP="00AB0684">
      <w:pPr>
        <w:pStyle w:val="SDAbulletpoints"/>
      </w:pPr>
      <w:r w:rsidRPr="00AB0684">
        <w:t>Which elements of PLP3 might be well placed to support Australia’s engagement in the Pacific, adding value to Australia’s bilateral programs and diplomatic presence?</w:t>
      </w:r>
    </w:p>
    <w:p w14:paraId="72280592" w14:textId="77777777" w:rsidR="005844C8" w:rsidRPr="00AB0684" w:rsidRDefault="005844C8" w:rsidP="00AB0684">
      <w:pPr>
        <w:pStyle w:val="SDAbulletpoints"/>
      </w:pPr>
      <w:r w:rsidRPr="00AB0684">
        <w:t xml:space="preserve">What implementation arrangements </w:t>
      </w:r>
      <w:r w:rsidR="00677475" w:rsidRPr="00AB0684">
        <w:t xml:space="preserve">and contracting modalities </w:t>
      </w:r>
      <w:r w:rsidRPr="00AB0684">
        <w:t>might provide the appropriate ‘</w:t>
      </w:r>
      <w:r w:rsidR="00E96E53" w:rsidRPr="00AB0684">
        <w:t xml:space="preserve">enabling </w:t>
      </w:r>
      <w:r w:rsidRPr="00AB0684">
        <w:t>environment’ and enable DFAT to engage with, and extract more value out of, PLP or programs like PLP?</w:t>
      </w:r>
    </w:p>
    <w:p w14:paraId="046AA056" w14:textId="77777777" w:rsidR="005844C8" w:rsidRPr="00AB0684" w:rsidRDefault="005844C8" w:rsidP="00AB0684">
      <w:pPr>
        <w:pStyle w:val="SDAbulletpoints"/>
      </w:pPr>
      <w:r w:rsidRPr="00AB0684">
        <w:t xml:space="preserve">With which partners might DFAT consider it is in their interest to stay engaged, in some form, rather than vacate that space leaving it open to other players? </w:t>
      </w:r>
    </w:p>
    <w:p w14:paraId="0995C51C" w14:textId="77777777" w:rsidR="00F85C39" w:rsidRPr="00F85C39" w:rsidRDefault="00F85C39" w:rsidP="00AB0684">
      <w:pPr>
        <w:pStyle w:val="SDAbulletpoints"/>
      </w:pPr>
      <w:r w:rsidRPr="00F85C39">
        <w:t xml:space="preserve">With which coalitions are there </w:t>
      </w:r>
      <w:r w:rsidRPr="00AB0684">
        <w:t>sufficient mutual interests to tolera</w:t>
      </w:r>
      <w:r w:rsidR="00C479D8">
        <w:t>te</w:t>
      </w:r>
      <w:r w:rsidRPr="00AB0684">
        <w:t xml:space="preserve"> a (possible) level of divergence in policy discussions, with consideration given to seeking an appropriate balance between DFAT’s short-term objectives and long-term interests?</w:t>
      </w:r>
    </w:p>
    <w:p w14:paraId="51B769AF" w14:textId="1D54CCFB" w:rsidR="00F85C39" w:rsidRDefault="00F85C39" w:rsidP="00AB0684">
      <w:pPr>
        <w:pStyle w:val="SDAbulletpoints"/>
      </w:pPr>
      <w:r w:rsidRPr="00450B25">
        <w:t xml:space="preserve">When, and in what partnerships, is </w:t>
      </w:r>
      <w:r w:rsidR="00964609">
        <w:t>it better</w:t>
      </w:r>
      <w:r w:rsidRPr="00450B25">
        <w:t xml:space="preserve"> </w:t>
      </w:r>
      <w:r>
        <w:t xml:space="preserve">to work </w:t>
      </w:r>
      <w:r w:rsidRPr="00450B25">
        <w:t>behind the scenes in support of local actors, and when</w:t>
      </w:r>
      <w:r>
        <w:t xml:space="preserve"> </w:t>
      </w:r>
      <w:r w:rsidRPr="00450B25">
        <w:t>does DFAT require greater</w:t>
      </w:r>
      <w:r w:rsidRPr="00F85C39">
        <w:t xml:space="preserve"> </w:t>
      </w:r>
      <w:r w:rsidR="00964609" w:rsidRPr="00F85C39">
        <w:t>visibility</w:t>
      </w:r>
      <w:r w:rsidRPr="00F85C39">
        <w:t>, in</w:t>
      </w:r>
      <w:r w:rsidRPr="00450B25">
        <w:t>cluding in terms of branding?</w:t>
      </w:r>
    </w:p>
    <w:p w14:paraId="59486BC2" w14:textId="77777777" w:rsidR="00A9092C" w:rsidRPr="00450B25" w:rsidRDefault="00A9092C" w:rsidP="00A9092C">
      <w:pPr>
        <w:pStyle w:val="SDAbulletpoints"/>
        <w:numPr>
          <w:ilvl w:val="0"/>
          <w:numId w:val="0"/>
        </w:numPr>
        <w:ind w:left="720"/>
      </w:pPr>
    </w:p>
    <w:p w14:paraId="045E465B" w14:textId="77777777" w:rsidR="00E96E53" w:rsidRPr="00347F33" w:rsidRDefault="00E96E53" w:rsidP="00AB0684">
      <w:pPr>
        <w:pStyle w:val="ListParagraph"/>
        <w:pBdr>
          <w:top w:val="single" w:sz="4" w:space="1" w:color="auto"/>
          <w:left w:val="single" w:sz="4" w:space="4" w:color="auto"/>
          <w:bottom w:val="single" w:sz="4" w:space="1" w:color="auto"/>
          <w:right w:val="single" w:sz="4" w:space="4" w:color="auto"/>
        </w:pBdr>
        <w:shd w:val="clear" w:color="auto" w:fill="B8CCE4" w:themeFill="accent1" w:themeFillTint="66"/>
        <w:spacing w:before="120"/>
        <w:ind w:left="0"/>
        <w:contextualSpacing w:val="0"/>
        <w:rPr>
          <w:rFonts w:eastAsia="Calibri" w:cstheme="minorHAnsi"/>
          <w:b/>
        </w:rPr>
      </w:pPr>
      <w:r w:rsidRPr="00347F33">
        <w:rPr>
          <w:rFonts w:eastAsia="Calibri" w:cstheme="minorHAnsi"/>
          <w:b/>
          <w:i/>
        </w:rPr>
        <w:t xml:space="preserve">Recommendation </w:t>
      </w:r>
      <w:r>
        <w:rPr>
          <w:rFonts w:eastAsia="Calibri" w:cstheme="minorHAnsi"/>
          <w:b/>
          <w:i/>
        </w:rPr>
        <w:t>4</w:t>
      </w:r>
      <w:r w:rsidRPr="00347F33">
        <w:rPr>
          <w:rFonts w:eastAsia="Calibri" w:cstheme="minorHAnsi"/>
          <w:b/>
        </w:rPr>
        <w:t>: DFAT to reshape the program</w:t>
      </w:r>
    </w:p>
    <w:p w14:paraId="2FBDB420" w14:textId="1C0E5BC1" w:rsidR="00E96E53" w:rsidRDefault="00E96E53" w:rsidP="001C3654">
      <w:pPr>
        <w:pStyle w:val="ListParagraph"/>
        <w:spacing w:before="120"/>
        <w:ind w:left="0"/>
        <w:contextualSpacing w:val="0"/>
        <w:rPr>
          <w:rFonts w:eastAsia="Calibri" w:cstheme="minorHAnsi"/>
        </w:rPr>
      </w:pPr>
      <w:r w:rsidRPr="00347F33">
        <w:rPr>
          <w:rFonts w:eastAsia="Calibri" w:cstheme="minorHAnsi"/>
        </w:rPr>
        <w:t xml:space="preserve">We recommend DFAT </w:t>
      </w:r>
      <w:r>
        <w:rPr>
          <w:rFonts w:eastAsia="Calibri" w:cstheme="minorHAnsi"/>
        </w:rPr>
        <w:t xml:space="preserve">reshapes and </w:t>
      </w:r>
      <w:r w:rsidRPr="00347F33">
        <w:rPr>
          <w:rFonts w:eastAsia="Calibri" w:cstheme="minorHAnsi"/>
        </w:rPr>
        <w:t>re-engages with an innovative investment</w:t>
      </w:r>
      <w:r>
        <w:rPr>
          <w:rFonts w:eastAsia="Calibri" w:cstheme="minorHAnsi"/>
        </w:rPr>
        <w:t xml:space="preserve"> in developmental leadership that builds on PLP3’s experience, program components, relationships and lessons learned.</w:t>
      </w:r>
      <w:r w:rsidRPr="00347F33">
        <w:rPr>
          <w:rFonts w:eastAsia="Calibri" w:cstheme="minorHAnsi"/>
        </w:rPr>
        <w:t xml:space="preserve"> DFAT will need to address the weaknesses of strategic leadership and communication that are evident within PLP3, but has an opportunity to </w:t>
      </w:r>
      <w:r>
        <w:rPr>
          <w:rFonts w:eastAsia="Calibri" w:cstheme="minorHAnsi"/>
        </w:rPr>
        <w:t>build on its investment in a way that best fits the current policy and institutional context within which it manages Australia’s aid investments.</w:t>
      </w:r>
      <w:r w:rsidRPr="00347F33">
        <w:rPr>
          <w:rFonts w:eastAsia="Calibri" w:cstheme="minorHAnsi"/>
        </w:rPr>
        <w:t xml:space="preserve"> </w:t>
      </w:r>
    </w:p>
    <w:p w14:paraId="6DE2B9E7" w14:textId="77777777" w:rsidR="00A9092C" w:rsidRPr="00347F33" w:rsidRDefault="00A9092C" w:rsidP="001C3654">
      <w:pPr>
        <w:pStyle w:val="ListParagraph"/>
        <w:spacing w:before="120"/>
        <w:ind w:left="0"/>
        <w:contextualSpacing w:val="0"/>
        <w:rPr>
          <w:rFonts w:eastAsia="Calibri" w:cstheme="minorHAnsi"/>
        </w:rPr>
      </w:pPr>
    </w:p>
    <w:p w14:paraId="1BB409C4" w14:textId="77777777" w:rsidR="00E96E53" w:rsidRPr="00BC2DB3" w:rsidRDefault="00E96E53" w:rsidP="003B1998">
      <w:pPr>
        <w:pStyle w:val="ListParagraph"/>
        <w:keepNext/>
        <w:keepLines/>
        <w:pBdr>
          <w:top w:val="single" w:sz="4" w:space="1" w:color="auto"/>
          <w:left w:val="single" w:sz="4" w:space="4" w:color="auto"/>
          <w:bottom w:val="single" w:sz="4" w:space="1" w:color="auto"/>
          <w:right w:val="single" w:sz="4" w:space="4" w:color="auto"/>
        </w:pBdr>
        <w:shd w:val="clear" w:color="auto" w:fill="B8CCE4" w:themeFill="accent1" w:themeFillTint="66"/>
        <w:spacing w:before="120"/>
        <w:ind w:left="0"/>
        <w:contextualSpacing w:val="0"/>
        <w:rPr>
          <w:rFonts w:eastAsia="Calibri" w:cstheme="minorHAnsi"/>
          <w:b/>
          <w:i/>
        </w:rPr>
      </w:pPr>
      <w:r w:rsidRPr="00BC2DB3">
        <w:rPr>
          <w:rFonts w:eastAsia="Calibri" w:cstheme="minorHAnsi"/>
          <w:b/>
          <w:i/>
        </w:rPr>
        <w:t xml:space="preserve">Recommendation 5: </w:t>
      </w:r>
      <w:r w:rsidRPr="00AB0684">
        <w:rPr>
          <w:rFonts w:eastAsia="Calibri" w:cstheme="minorHAnsi"/>
          <w:b/>
        </w:rPr>
        <w:t>DFAT to further investigate what a reshaped PLP should look like</w:t>
      </w:r>
    </w:p>
    <w:p w14:paraId="64E76B62" w14:textId="77777777" w:rsidR="00E96E53" w:rsidRPr="00347F33" w:rsidRDefault="00E96E53" w:rsidP="00A9092C">
      <w:pPr>
        <w:pStyle w:val="ListParagraph"/>
        <w:keepNext/>
        <w:keepLines/>
        <w:spacing w:before="120"/>
        <w:ind w:left="0"/>
        <w:contextualSpacing w:val="0"/>
        <w:rPr>
          <w:rFonts w:eastAsia="Calibri" w:cstheme="minorHAnsi"/>
        </w:rPr>
      </w:pPr>
      <w:r>
        <w:rPr>
          <w:rFonts w:eastAsia="Calibri" w:cstheme="minorHAnsi"/>
        </w:rPr>
        <w:t>This report and its recommendations are based on an evaluation, not on a design mission. However, w</w:t>
      </w:r>
      <w:r w:rsidRPr="00347F33">
        <w:rPr>
          <w:rFonts w:eastAsia="Calibri" w:cstheme="minorHAnsi"/>
        </w:rPr>
        <w:t xml:space="preserve">e offer </w:t>
      </w:r>
      <w:r>
        <w:rPr>
          <w:rFonts w:eastAsia="Calibri" w:cstheme="minorHAnsi"/>
        </w:rPr>
        <w:t xml:space="preserve">some </w:t>
      </w:r>
      <w:r w:rsidRPr="00347F33">
        <w:rPr>
          <w:rFonts w:eastAsia="Calibri" w:cstheme="minorHAnsi"/>
        </w:rPr>
        <w:t xml:space="preserve">preliminary views </w:t>
      </w:r>
      <w:r>
        <w:rPr>
          <w:rFonts w:eastAsia="Calibri" w:cstheme="minorHAnsi"/>
        </w:rPr>
        <w:t xml:space="preserve">on what a reshaped investment might look like </w:t>
      </w:r>
      <w:r w:rsidRPr="00347F33">
        <w:rPr>
          <w:rFonts w:eastAsia="Calibri" w:cstheme="minorHAnsi"/>
        </w:rPr>
        <w:t>for any transition period and/or design.</w:t>
      </w:r>
    </w:p>
    <w:p w14:paraId="1D0F7DDF" w14:textId="77777777" w:rsidR="00E96E53" w:rsidRDefault="00E96E53" w:rsidP="00A9092C">
      <w:pPr>
        <w:pStyle w:val="SDAbulletpoints"/>
      </w:pPr>
      <w:r w:rsidRPr="00BC2DB3">
        <w:t xml:space="preserve">A program of this kind should be held close by DFAT for the purposes of providing an </w:t>
      </w:r>
      <w:r>
        <w:t>enabling</w:t>
      </w:r>
      <w:r w:rsidRPr="00BC2DB3">
        <w:t xml:space="preserve"> environment for adaptation and iteration; for understanding what works and internalising learning; and for effectively managing risk.</w:t>
      </w:r>
    </w:p>
    <w:p w14:paraId="765CA3BC" w14:textId="77777777" w:rsidR="00E96E53" w:rsidRDefault="00E96E53" w:rsidP="00A9092C">
      <w:pPr>
        <w:pStyle w:val="SDAbulletpoints"/>
      </w:pPr>
      <w:r w:rsidRPr="00BC2DB3">
        <w:t>A program of this kind should be led by an influential Pacific Islander or co-led by a Pacific Islander and an Australian, retaining core local staff.</w:t>
      </w:r>
    </w:p>
    <w:p w14:paraId="5B024753" w14:textId="77777777" w:rsidR="00401A35" w:rsidRPr="00BC2DB3" w:rsidRDefault="00401A35" w:rsidP="00A9092C">
      <w:pPr>
        <w:numPr>
          <w:ilvl w:val="2"/>
          <w:numId w:val="4"/>
        </w:numPr>
        <w:spacing w:before="120"/>
        <w:contextualSpacing/>
        <w:rPr>
          <w:rFonts w:eastAsia="Calibri" w:cstheme="minorHAnsi"/>
        </w:rPr>
      </w:pPr>
      <w:r w:rsidRPr="00BC2DB3">
        <w:rPr>
          <w:rFonts w:eastAsia="Calibri" w:cstheme="minorHAnsi"/>
        </w:rPr>
        <w:t>Continuing with PLP as it is, is not an effective option. However, DFAT could choose to extend the current contracting model. If it did so, DFAT and the managing contractor would need to work together to improve the strategic leadership of the program, including how it better connects in with senior DFAT officials in Canberra and in DFAT bilateral posts. With the current team leader re-locating to Melbourne in June 2017, it would also be necessary to recruit a team leader (or co-team leaders) to lead any extension. This person (or people) need to have the influence and standing to engage with key Pacific and Australian stakeholders</w:t>
      </w:r>
      <w:r w:rsidR="008B779E">
        <w:rPr>
          <w:rFonts w:eastAsia="Calibri" w:cstheme="minorHAnsi"/>
        </w:rPr>
        <w:t>.</w:t>
      </w:r>
    </w:p>
    <w:p w14:paraId="017727E1" w14:textId="77777777" w:rsidR="00401A35" w:rsidRPr="001C3654" w:rsidRDefault="00E96E53" w:rsidP="00A9092C">
      <w:pPr>
        <w:pStyle w:val="SDAbulletpoints"/>
        <w:rPr>
          <w:rFonts w:eastAsia="Calibri" w:cstheme="minorHAnsi"/>
        </w:rPr>
      </w:pPr>
      <w:r w:rsidRPr="00BC2DB3">
        <w:t xml:space="preserve">Valuable elements of PLP3 should be retained, including flexible </w:t>
      </w:r>
      <w:r>
        <w:t xml:space="preserve">and iterative </w:t>
      </w:r>
      <w:r w:rsidRPr="00BC2DB3">
        <w:t xml:space="preserve">support for developmental coalitions; an approach built on relationships which support Pacific-led change; well-targeted adaptive leadership training to support individuals leading developmental </w:t>
      </w:r>
      <w:r>
        <w:t>reforms</w:t>
      </w:r>
      <w:r w:rsidR="00401A35">
        <w:t xml:space="preserve"> (including the current alumni)</w:t>
      </w:r>
      <w:r w:rsidRPr="00BC2DB3">
        <w:t xml:space="preserve">; the Greg Urwin Awards (including a focus on placements in Australia); and an investment in research. </w:t>
      </w:r>
    </w:p>
    <w:p w14:paraId="5341855B" w14:textId="1C0C6701" w:rsidR="00401A35" w:rsidRDefault="00401A35" w:rsidP="00A9092C">
      <w:pPr>
        <w:pStyle w:val="SDAbulletpoints"/>
        <w:numPr>
          <w:ilvl w:val="2"/>
          <w:numId w:val="4"/>
        </w:numPr>
        <w:ind w:left="1950" w:hanging="357"/>
        <w:contextualSpacing/>
        <w:rPr>
          <w:rFonts w:eastAsia="Calibri" w:cstheme="minorHAnsi"/>
        </w:rPr>
      </w:pPr>
      <w:r w:rsidRPr="00401A35">
        <w:rPr>
          <w:rFonts w:eastAsia="Calibri" w:cstheme="minorHAnsi"/>
        </w:rPr>
        <w:t>DFAT to consider how it could extract more value from these investments (</w:t>
      </w:r>
      <w:r w:rsidR="00B84392">
        <w:rPr>
          <w:rFonts w:eastAsia="Calibri" w:cstheme="minorHAnsi"/>
        </w:rPr>
        <w:t>e.g</w:t>
      </w:r>
      <w:r w:rsidRPr="00401A35">
        <w:rPr>
          <w:rFonts w:eastAsia="Calibri" w:cstheme="minorHAnsi"/>
        </w:rPr>
        <w:t>. using the Greg Urwin Awards as a vehicle to increase strong links between constituencies in Australia and in the Pacific).</w:t>
      </w:r>
    </w:p>
    <w:p w14:paraId="22D859F9" w14:textId="77777777" w:rsidR="00A9092C" w:rsidRDefault="00A9092C" w:rsidP="00A9092C">
      <w:pPr>
        <w:pStyle w:val="SDAbulletpoints"/>
        <w:numPr>
          <w:ilvl w:val="0"/>
          <w:numId w:val="0"/>
        </w:numPr>
        <w:ind w:left="1950"/>
        <w:contextualSpacing/>
        <w:rPr>
          <w:rFonts w:eastAsia="Calibri" w:cstheme="minorHAnsi"/>
        </w:rPr>
      </w:pPr>
    </w:p>
    <w:p w14:paraId="13A5CAC1" w14:textId="77777777" w:rsidR="00E96E53" w:rsidRPr="00BC2DB3" w:rsidRDefault="00E96E53" w:rsidP="00A9092C">
      <w:pPr>
        <w:pStyle w:val="SDAbulletpoints"/>
        <w:ind w:hanging="357"/>
      </w:pPr>
      <w:r w:rsidRPr="00BC2DB3">
        <w:t xml:space="preserve">Ensure an appropriate scale with as much certainty as possible, refining the scope of the program if necessary (e.g. possibly a reduction in focus countries; ceding the women's leadership space to </w:t>
      </w:r>
      <w:r w:rsidRPr="00BC2DB3">
        <w:rPr>
          <w:i/>
        </w:rPr>
        <w:t>Pacific Women</w:t>
      </w:r>
      <w:r w:rsidRPr="00BC2DB3">
        <w:t xml:space="preserve"> (or closer integration with </w:t>
      </w:r>
      <w:r w:rsidRPr="00BC2DB3">
        <w:rPr>
          <w:i/>
        </w:rPr>
        <w:t>Pacific Women</w:t>
      </w:r>
      <w:r w:rsidRPr="00BC2DB3">
        <w:t xml:space="preserve">); reduce </w:t>
      </w:r>
      <w:r>
        <w:t xml:space="preserve">the number of </w:t>
      </w:r>
      <w:r w:rsidRPr="00BC2DB3">
        <w:t xml:space="preserve">priority areas; replace the regional advisory </w:t>
      </w:r>
      <w:r>
        <w:t>panel</w:t>
      </w:r>
      <w:r w:rsidRPr="00BC2DB3">
        <w:t xml:space="preserve"> with small steering/working committees at a national level which include DFAT Post representation; sharpen the focus of investments on individuals and coalitions that are leading change.)</w:t>
      </w:r>
    </w:p>
    <w:p w14:paraId="5A60131F" w14:textId="5EB92D08" w:rsidR="00E96E53" w:rsidRDefault="00E96E53" w:rsidP="00A9092C">
      <w:pPr>
        <w:pStyle w:val="SDAbulletpoints"/>
      </w:pPr>
      <w:r w:rsidRPr="00BC2DB3">
        <w:t>Treat PLP as a long-term investment, not expecting short-term results. Ensure the investment is linked into DFAT’s other funded research programs, clearly position the program as a space for experimentation</w:t>
      </w:r>
      <w:r w:rsidR="00401A35">
        <w:t xml:space="preserve"> (drawing in resources from DFAT’s Innovation Resource Facility as appropriate)</w:t>
      </w:r>
      <w:r w:rsidRPr="00BC2DB3">
        <w:t xml:space="preserve">, and identify appropriate linkages with the </w:t>
      </w:r>
      <w:r w:rsidRPr="00BC2DB3">
        <w:rPr>
          <w:i/>
        </w:rPr>
        <w:t>Pacific Research Program</w:t>
      </w:r>
      <w:r w:rsidRPr="00BC2DB3">
        <w:t xml:space="preserve">, </w:t>
      </w:r>
      <w:r w:rsidRPr="00BC2DB3">
        <w:rPr>
          <w:i/>
        </w:rPr>
        <w:t>Pacific Women</w:t>
      </w:r>
      <w:r w:rsidRPr="00BC2DB3">
        <w:t xml:space="preserve">, </w:t>
      </w:r>
      <w:r w:rsidRPr="00BC2DB3">
        <w:rPr>
          <w:i/>
        </w:rPr>
        <w:t>Pacific Connect</w:t>
      </w:r>
      <w:r w:rsidRPr="00BC2DB3">
        <w:t xml:space="preserve"> and the </w:t>
      </w:r>
      <w:r w:rsidRPr="00BC2DB3">
        <w:rPr>
          <w:i/>
        </w:rPr>
        <w:t>Women’s Leadership Initiative</w:t>
      </w:r>
      <w:r w:rsidRPr="00BC2DB3">
        <w:t xml:space="preserve">. </w:t>
      </w:r>
    </w:p>
    <w:p w14:paraId="010185BE" w14:textId="3BC54046" w:rsidR="00A9092C" w:rsidRDefault="00A9092C" w:rsidP="00A9092C">
      <w:pPr>
        <w:pStyle w:val="SDAbulletpoints"/>
        <w:numPr>
          <w:ilvl w:val="0"/>
          <w:numId w:val="0"/>
        </w:numPr>
        <w:ind w:left="720"/>
      </w:pPr>
    </w:p>
    <w:p w14:paraId="193F94B9" w14:textId="5AF4567C" w:rsidR="00A9092C" w:rsidRDefault="00A9092C" w:rsidP="00A9092C">
      <w:pPr>
        <w:pStyle w:val="SDAbulletpoints"/>
        <w:numPr>
          <w:ilvl w:val="0"/>
          <w:numId w:val="0"/>
        </w:numPr>
        <w:ind w:left="720"/>
      </w:pPr>
    </w:p>
    <w:p w14:paraId="6AA6CB9B" w14:textId="77777777" w:rsidR="00A9092C" w:rsidRPr="00BC2DB3" w:rsidRDefault="00A9092C" w:rsidP="00A9092C">
      <w:pPr>
        <w:pStyle w:val="SDAbulletpoints"/>
        <w:numPr>
          <w:ilvl w:val="0"/>
          <w:numId w:val="0"/>
        </w:numPr>
        <w:ind w:left="720"/>
      </w:pPr>
    </w:p>
    <w:p w14:paraId="32CA7144" w14:textId="3A99ABF0" w:rsidR="00C757C9" w:rsidRPr="001C3654" w:rsidRDefault="00C757C9" w:rsidP="00AB0684">
      <w:pPr>
        <w:pBdr>
          <w:top w:val="single" w:sz="4" w:space="1" w:color="auto"/>
          <w:left w:val="single" w:sz="4" w:space="4" w:color="auto"/>
          <w:bottom w:val="single" w:sz="4" w:space="1" w:color="auto"/>
          <w:right w:val="single" w:sz="4" w:space="4" w:color="auto"/>
        </w:pBdr>
        <w:shd w:val="clear" w:color="auto" w:fill="B8CCE4" w:themeFill="accent1" w:themeFillTint="66"/>
        <w:spacing w:before="120" w:line="259" w:lineRule="auto"/>
        <w:rPr>
          <w:rFonts w:eastAsia="Calibri" w:cstheme="minorHAnsi"/>
          <w:b/>
        </w:rPr>
      </w:pPr>
      <w:r w:rsidRPr="001C3654">
        <w:rPr>
          <w:rFonts w:eastAsia="Calibri" w:cstheme="minorHAnsi"/>
          <w:b/>
          <w:i/>
        </w:rPr>
        <w:t xml:space="preserve">Recommendation </w:t>
      </w:r>
      <w:r w:rsidR="00401A35">
        <w:rPr>
          <w:rFonts w:eastAsia="Calibri" w:cstheme="minorHAnsi"/>
          <w:b/>
          <w:i/>
        </w:rPr>
        <w:t>6</w:t>
      </w:r>
      <w:r w:rsidRPr="001C3654">
        <w:rPr>
          <w:rFonts w:eastAsia="Calibri" w:cstheme="minorHAnsi"/>
          <w:b/>
        </w:rPr>
        <w:t>: DFAT to determine t</w:t>
      </w:r>
      <w:r w:rsidR="00746FE5">
        <w:rPr>
          <w:rFonts w:eastAsia="Calibri" w:cstheme="minorHAnsi"/>
          <w:b/>
        </w:rPr>
        <w:t>he future of PLP as a priority</w:t>
      </w:r>
    </w:p>
    <w:p w14:paraId="1B6811DA" w14:textId="77777777" w:rsidR="00C757C9" w:rsidRPr="001C3654" w:rsidRDefault="00C757C9" w:rsidP="00C757C9">
      <w:pPr>
        <w:spacing w:before="120" w:line="259" w:lineRule="auto"/>
        <w:rPr>
          <w:rFonts w:eastAsia="Calibri" w:cstheme="minorHAnsi"/>
        </w:rPr>
      </w:pPr>
      <w:r w:rsidRPr="001C3654">
        <w:rPr>
          <w:rFonts w:eastAsia="Calibri" w:cstheme="minorHAnsi"/>
        </w:rPr>
        <w:t xml:space="preserve">With PLP3 currently due to conclude in December 2017, there is not a lot of time to decide, support and plan for whatever future scenario DFAT decides on: be it a smooth conclusion to PLP3, a further extension, a re-design or a transition to another arrangement.  The PLP3 team leader will be re-locating back to Melbourne at the end of June 2017. There is a risk that other staff will also depart given on-going uncertainty about the future. </w:t>
      </w:r>
    </w:p>
    <w:p w14:paraId="02818B00" w14:textId="77777777" w:rsidR="00C757C9" w:rsidRPr="001C3654" w:rsidRDefault="00C757C9" w:rsidP="00C757C9">
      <w:pPr>
        <w:spacing w:before="120" w:line="259" w:lineRule="auto"/>
        <w:rPr>
          <w:rFonts w:eastAsia="Calibri" w:cstheme="minorHAnsi"/>
        </w:rPr>
      </w:pPr>
      <w:r w:rsidRPr="001C3654">
        <w:rPr>
          <w:rFonts w:eastAsia="Calibri" w:cstheme="minorHAnsi"/>
        </w:rPr>
        <w:t>In planning actions for the next six months, great care should be taken to maintain the integrity of key relationships achieved through PLP.  Once a decision is made on PLP3’s future, DFAT, the PLP team and the managing contractor should start planning actions that need to occur: this might involve elements of the program continuing under different arrangements or a reshaping of PLP and its transition to a future phase of support. Informed discussions and careful planning between DFAT’s Pacific regional program and its four bilateral programs (and possibly other DFAT-funded programs too) will be important whatever decision is made.</w:t>
      </w:r>
    </w:p>
    <w:p w14:paraId="3EBE3852" w14:textId="0F4FAC27" w:rsidR="00C757C9" w:rsidRDefault="00C757C9" w:rsidP="00C757C9">
      <w:pPr>
        <w:spacing w:before="120"/>
        <w:rPr>
          <w:rFonts w:eastAsia="Calibri" w:cstheme="minorHAnsi"/>
          <w:b/>
        </w:rPr>
      </w:pPr>
      <w:r w:rsidRPr="001C3654">
        <w:rPr>
          <w:rFonts w:eastAsia="Calibri" w:cstheme="minorHAnsi"/>
        </w:rPr>
        <w:t>In making these decisions, DFAT should closely consider the findings of two research studies to be published in the next month. One will draw together lessons learned over the last eight years on what makes some coalitions more successful than others and how an external actor can effectively support development leadership and coalitions.</w:t>
      </w:r>
      <w:r w:rsidRPr="001C3654">
        <w:rPr>
          <w:rStyle w:val="FootnoteReference"/>
          <w:rFonts w:eastAsia="Calibri" w:cstheme="minorHAnsi"/>
        </w:rPr>
        <w:footnoteReference w:id="111"/>
      </w:r>
      <w:r w:rsidRPr="001C3654">
        <w:rPr>
          <w:rFonts w:eastAsia="Calibri" w:cstheme="minorHAnsi"/>
        </w:rPr>
        <w:t xml:space="preserve">  The other will focus on the effectiveness of PLP’s approach to the GGLC.</w:t>
      </w:r>
      <w:r w:rsidRPr="001C3654">
        <w:rPr>
          <w:rStyle w:val="FootnoteReference"/>
          <w:rFonts w:eastAsia="Calibri" w:cstheme="minorHAnsi"/>
        </w:rPr>
        <w:footnoteReference w:id="112"/>
      </w:r>
      <w:r w:rsidRPr="001C3654">
        <w:rPr>
          <w:rFonts w:eastAsia="Calibri" w:cstheme="minorHAnsi"/>
        </w:rPr>
        <w:t xml:space="preserve"> These papers build on two other recently published pieces of relevance to DFAT, which include a comparative analysis of the effectiveness of PLP’s support to four coalitions.</w:t>
      </w:r>
      <w:r w:rsidRPr="001C3654">
        <w:rPr>
          <w:rStyle w:val="FootnoteReference"/>
          <w:rFonts w:eastAsia="Calibri" w:cstheme="minorHAnsi"/>
        </w:rPr>
        <w:footnoteReference w:id="113"/>
      </w:r>
      <w:r w:rsidRPr="001C3654">
        <w:rPr>
          <w:rFonts w:eastAsia="Calibri" w:cstheme="minorHAnsi"/>
        </w:rPr>
        <w:t xml:space="preserve">   More broadly, it will be important that the successes and lessons learned through PLP are captured and used to inform the direction of any future programming.</w:t>
      </w:r>
      <w:r w:rsidRPr="001C3654">
        <w:rPr>
          <w:rFonts w:eastAsia="Calibri" w:cstheme="minorHAnsi"/>
          <w:b/>
        </w:rPr>
        <w:t xml:space="preserve"> </w:t>
      </w:r>
    </w:p>
    <w:p w14:paraId="7E8C0CF6" w14:textId="77777777" w:rsidR="00A9092C" w:rsidRPr="001C3654" w:rsidRDefault="00A9092C" w:rsidP="00C757C9">
      <w:pPr>
        <w:spacing w:before="120"/>
        <w:rPr>
          <w:rFonts w:eastAsia="Calibri" w:cstheme="minorHAnsi"/>
          <w:b/>
        </w:rPr>
      </w:pPr>
    </w:p>
    <w:p w14:paraId="228379E9" w14:textId="77777777" w:rsidR="00757F06" w:rsidRDefault="002934EB" w:rsidP="00AB0684">
      <w:pPr>
        <w:pBdr>
          <w:top w:val="single" w:sz="4" w:space="1" w:color="auto"/>
          <w:left w:val="single" w:sz="4" w:space="4" w:color="auto"/>
          <w:bottom w:val="single" w:sz="4" w:space="1" w:color="auto"/>
          <w:right w:val="single" w:sz="4" w:space="4" w:color="auto"/>
        </w:pBdr>
        <w:shd w:val="clear" w:color="auto" w:fill="B8CCE4" w:themeFill="accent1" w:themeFillTint="66"/>
        <w:spacing w:before="120"/>
        <w:rPr>
          <w:rFonts w:eastAsia="Calibri" w:cstheme="minorHAnsi"/>
          <w:b/>
        </w:rPr>
      </w:pPr>
      <w:r w:rsidRPr="001C3654">
        <w:rPr>
          <w:rFonts w:eastAsia="Calibri" w:cstheme="minorHAnsi"/>
          <w:b/>
          <w:i/>
        </w:rPr>
        <w:t xml:space="preserve">Recommendation </w:t>
      </w:r>
      <w:r w:rsidR="00401A35">
        <w:rPr>
          <w:rFonts w:eastAsia="Calibri" w:cstheme="minorHAnsi"/>
          <w:b/>
          <w:i/>
        </w:rPr>
        <w:t>7</w:t>
      </w:r>
      <w:r w:rsidRPr="001C3654">
        <w:rPr>
          <w:rFonts w:eastAsia="Calibri" w:cstheme="minorHAnsi"/>
          <w:b/>
        </w:rPr>
        <w:t xml:space="preserve">: </w:t>
      </w:r>
      <w:r w:rsidR="00757F06" w:rsidRPr="001C3654">
        <w:rPr>
          <w:rFonts w:eastAsia="Calibri" w:cstheme="minorHAnsi"/>
          <w:b/>
        </w:rPr>
        <w:t xml:space="preserve">If DFAT discontinues PLP, seek opportunities to incorporate </w:t>
      </w:r>
      <w:r w:rsidR="00AB0684">
        <w:rPr>
          <w:rFonts w:eastAsia="Calibri" w:cstheme="minorHAnsi"/>
          <w:b/>
        </w:rPr>
        <w:t xml:space="preserve">valuable </w:t>
      </w:r>
      <w:r w:rsidR="00AB0684" w:rsidRPr="001C3654">
        <w:rPr>
          <w:rFonts w:eastAsia="Calibri" w:cstheme="minorHAnsi"/>
          <w:b/>
        </w:rPr>
        <w:t>elements</w:t>
      </w:r>
      <w:r w:rsidR="003B2E27" w:rsidRPr="001C3654">
        <w:rPr>
          <w:rFonts w:eastAsia="Calibri" w:cstheme="minorHAnsi"/>
          <w:b/>
        </w:rPr>
        <w:t xml:space="preserve"> of PLP into other programming</w:t>
      </w:r>
    </w:p>
    <w:p w14:paraId="28E89B24" w14:textId="77777777" w:rsidR="00AB0684" w:rsidRPr="00AB0684" w:rsidRDefault="00AB0684" w:rsidP="002934EB">
      <w:pPr>
        <w:spacing w:before="120"/>
        <w:rPr>
          <w:rFonts w:eastAsia="Calibri" w:cstheme="minorHAnsi"/>
        </w:rPr>
      </w:pPr>
      <w:r w:rsidRPr="00AB0684">
        <w:rPr>
          <w:rFonts w:eastAsia="Calibri" w:cstheme="minorHAnsi"/>
        </w:rPr>
        <w:t>These elements could include:</w:t>
      </w:r>
    </w:p>
    <w:p w14:paraId="7E947018" w14:textId="77777777" w:rsidR="00757F06" w:rsidRPr="001C3654" w:rsidRDefault="00757F06" w:rsidP="00826984">
      <w:pPr>
        <w:pStyle w:val="ListParagraph"/>
        <w:numPr>
          <w:ilvl w:val="0"/>
          <w:numId w:val="48"/>
        </w:numPr>
        <w:spacing w:before="120"/>
        <w:rPr>
          <w:rFonts w:eastAsia="Calibri" w:cstheme="minorHAnsi"/>
        </w:rPr>
      </w:pPr>
      <w:r w:rsidRPr="001C3654">
        <w:rPr>
          <w:rFonts w:eastAsia="Calibri" w:cstheme="minorHAnsi"/>
        </w:rPr>
        <w:t>Partnerships with several of the most compelling partner organisations and coalitions</w:t>
      </w:r>
    </w:p>
    <w:p w14:paraId="1F9D3584" w14:textId="77777777" w:rsidR="00757F06" w:rsidRPr="001C3654" w:rsidRDefault="00757F06" w:rsidP="00826984">
      <w:pPr>
        <w:pStyle w:val="ListParagraph"/>
        <w:numPr>
          <w:ilvl w:val="0"/>
          <w:numId w:val="48"/>
        </w:numPr>
        <w:spacing w:before="120"/>
        <w:rPr>
          <w:rFonts w:eastAsia="Calibri" w:cstheme="minorHAnsi"/>
        </w:rPr>
      </w:pPr>
      <w:r w:rsidRPr="001C3654">
        <w:rPr>
          <w:rFonts w:eastAsia="Calibri" w:cstheme="minorHAnsi"/>
        </w:rPr>
        <w:t>Adaptive leadership training, with some refinements, which brings a unique approach to leadership to the Pacific and builds capacity among people and coalitions leading change</w:t>
      </w:r>
    </w:p>
    <w:p w14:paraId="6D1AD8E6" w14:textId="77777777" w:rsidR="00757F06" w:rsidRPr="001C3654" w:rsidRDefault="00757F06" w:rsidP="00826984">
      <w:pPr>
        <w:pStyle w:val="ListParagraph"/>
        <w:numPr>
          <w:ilvl w:val="0"/>
          <w:numId w:val="48"/>
        </w:numPr>
        <w:spacing w:before="120"/>
        <w:rPr>
          <w:rFonts w:eastAsia="Calibri" w:cstheme="minorHAnsi"/>
        </w:rPr>
      </w:pPr>
      <w:r w:rsidRPr="001C3654">
        <w:rPr>
          <w:rFonts w:eastAsia="Calibri" w:cstheme="minorHAnsi"/>
        </w:rPr>
        <w:t>The local staff of PLP, who have built up valuable insights and networks to facilitate engagement in promoting developmental leadership</w:t>
      </w:r>
    </w:p>
    <w:p w14:paraId="39FFE87D" w14:textId="77777777" w:rsidR="00757F06" w:rsidRPr="001C3654" w:rsidRDefault="00757F06" w:rsidP="00826984">
      <w:pPr>
        <w:pStyle w:val="ListParagraph"/>
        <w:numPr>
          <w:ilvl w:val="0"/>
          <w:numId w:val="48"/>
        </w:numPr>
        <w:spacing w:before="120"/>
        <w:rPr>
          <w:rFonts w:eastAsia="Calibri" w:cstheme="minorHAnsi"/>
        </w:rPr>
      </w:pPr>
      <w:r w:rsidRPr="001C3654">
        <w:rPr>
          <w:rFonts w:eastAsia="Calibri" w:cstheme="minorHAnsi"/>
        </w:rPr>
        <w:t>The Greg Urwin Awards, with an increased focus on placements in Australia</w:t>
      </w:r>
    </w:p>
    <w:p w14:paraId="2986E3D8" w14:textId="77777777" w:rsidR="00757F06" w:rsidRPr="001C3654" w:rsidRDefault="00757F06" w:rsidP="00826984">
      <w:pPr>
        <w:pStyle w:val="ListParagraph"/>
        <w:numPr>
          <w:ilvl w:val="0"/>
          <w:numId w:val="48"/>
        </w:numPr>
        <w:spacing w:before="120"/>
        <w:rPr>
          <w:rFonts w:eastAsia="Calibri" w:cstheme="minorHAnsi"/>
        </w:rPr>
      </w:pPr>
      <w:r w:rsidRPr="001C3654">
        <w:rPr>
          <w:rFonts w:eastAsia="Calibri" w:cstheme="minorHAnsi"/>
        </w:rPr>
        <w:t>Action research on developmental leadership and supporting locally-led change.</w:t>
      </w:r>
    </w:p>
    <w:p w14:paraId="36DFA68B" w14:textId="77777777" w:rsidR="00EF59F4" w:rsidRDefault="00EF59F4">
      <w:pPr>
        <w:rPr>
          <w:b/>
        </w:rPr>
      </w:pPr>
    </w:p>
    <w:p w14:paraId="3D04EA81" w14:textId="77777777" w:rsidR="00255C32" w:rsidRDefault="00255C32">
      <w:pPr>
        <w:rPr>
          <w:b/>
        </w:rPr>
      </w:pPr>
    </w:p>
    <w:p w14:paraId="00A51FB3" w14:textId="77777777" w:rsidR="00255C32" w:rsidRDefault="00255C32">
      <w:pPr>
        <w:rPr>
          <w:b/>
        </w:rPr>
      </w:pPr>
    </w:p>
    <w:p w14:paraId="59BDB86B" w14:textId="77777777" w:rsidR="00255C32" w:rsidRDefault="00255C32">
      <w:pPr>
        <w:rPr>
          <w:b/>
        </w:rPr>
      </w:pPr>
    </w:p>
    <w:p w14:paraId="5E58C905" w14:textId="77777777" w:rsidR="00757F06" w:rsidRPr="00615E40" w:rsidRDefault="00EF59F4">
      <w:pPr>
        <w:rPr>
          <w:rFonts w:ascii="Calibri" w:eastAsiaTheme="majorEastAsia" w:hAnsi="Calibri" w:cstheme="majorBidi"/>
          <w:b/>
          <w:bCs/>
          <w:color w:val="757575"/>
          <w:sz w:val="50"/>
          <w:szCs w:val="26"/>
        </w:rPr>
      </w:pPr>
      <w:r>
        <w:rPr>
          <w:b/>
        </w:rPr>
        <w:t>END</w:t>
      </w:r>
    </w:p>
    <w:p w14:paraId="0F24BC8E" w14:textId="77777777" w:rsidR="00EF59F4" w:rsidRDefault="00EF59F4">
      <w:pPr>
        <w:rPr>
          <w:rFonts w:ascii="Calibri" w:eastAsiaTheme="majorEastAsia" w:hAnsi="Calibri" w:cstheme="majorBidi"/>
          <w:b/>
          <w:bCs/>
          <w:color w:val="757575"/>
          <w:sz w:val="50"/>
          <w:szCs w:val="26"/>
        </w:rPr>
      </w:pPr>
      <w:r>
        <w:br w:type="page"/>
      </w:r>
    </w:p>
    <w:p w14:paraId="0F62511B" w14:textId="77777777" w:rsidR="003B2E27" w:rsidRDefault="001C4E36" w:rsidP="00255C32">
      <w:pPr>
        <w:pStyle w:val="Heading2"/>
        <w:numPr>
          <w:ilvl w:val="0"/>
          <w:numId w:val="0"/>
        </w:numPr>
        <w:spacing w:before="240" w:after="120"/>
        <w:ind w:left="431" w:hanging="431"/>
      </w:pPr>
      <w:bookmarkStart w:id="56" w:name="_Toc486247218"/>
      <w:r>
        <w:t xml:space="preserve">Annex </w:t>
      </w:r>
      <w:r w:rsidR="00F12B4C">
        <w:t>1</w:t>
      </w:r>
      <w:r>
        <w:t xml:space="preserve">: </w:t>
      </w:r>
      <w:r w:rsidR="003B2E27">
        <w:t xml:space="preserve">Summary </w:t>
      </w:r>
      <w:r>
        <w:t>Terms of Reference</w:t>
      </w:r>
      <w:bookmarkEnd w:id="56"/>
      <w:r>
        <w:t xml:space="preserve"> </w:t>
      </w:r>
    </w:p>
    <w:p w14:paraId="49CE3128" w14:textId="77777777" w:rsidR="003B2E27" w:rsidRPr="003B2E27" w:rsidRDefault="003B2E27" w:rsidP="003B2E27">
      <w:pPr>
        <w:pStyle w:val="SDAbodytext"/>
      </w:pPr>
      <w:r w:rsidRPr="003B2E27">
        <w:t xml:space="preserve">The overarching objective of this Evaluation will be to assess the relevance of the PLP Phase 3 program and whether the program achieved its expected results with the best use of resources, identify lessons learned to make improvements and inform decisions about the scope and focus of future DFAT assistance. </w:t>
      </w:r>
    </w:p>
    <w:p w14:paraId="064095CA" w14:textId="77777777" w:rsidR="003B2E27" w:rsidRPr="005C788D" w:rsidRDefault="003B2E27" w:rsidP="003B2E27">
      <w:pPr>
        <w:pStyle w:val="SDAbodytext"/>
      </w:pPr>
      <w:r w:rsidRPr="005C788D">
        <w:t xml:space="preserve">This TOR establishes the parameters against which the success of the Evaluation can be assessed, outlining the rationale, scope, objectives, proposed methodology and approach, roles and responsibilities, expected delivery timelines and the intended audience of this Evaluation. </w:t>
      </w:r>
    </w:p>
    <w:p w14:paraId="76BF1A15" w14:textId="77777777" w:rsidR="003B2E27" w:rsidRPr="003B2E27" w:rsidRDefault="003B2E27" w:rsidP="003B2E27">
      <w:pPr>
        <w:pStyle w:val="SDAbodytext"/>
        <w:rPr>
          <w:b/>
        </w:rPr>
      </w:pPr>
      <w:r w:rsidRPr="003B2E27">
        <w:rPr>
          <w:b/>
        </w:rPr>
        <w:t xml:space="preserve">BACKGROUND </w:t>
      </w:r>
    </w:p>
    <w:p w14:paraId="1C587E35" w14:textId="77777777" w:rsidR="003B2E27" w:rsidRPr="003B2E27" w:rsidRDefault="003B2E27" w:rsidP="003B2E27">
      <w:pPr>
        <w:pStyle w:val="SDAbodytext"/>
      </w:pPr>
      <w:r w:rsidRPr="003B2E27">
        <w:t xml:space="preserve">Leadership support in the Pacific </w:t>
      </w:r>
    </w:p>
    <w:p w14:paraId="09EE845C" w14:textId="77777777" w:rsidR="003B2E27" w:rsidRPr="005C788D" w:rsidRDefault="003B2E27" w:rsidP="003B2E27">
      <w:pPr>
        <w:pStyle w:val="SDAbodytext"/>
      </w:pPr>
      <w:r w:rsidRPr="005C788D">
        <w:t xml:space="preserve">Australia’s long-term commitment to strengthen leadership in Pacific Island Countries (PICs) through a program such as PLP that is based on the recognition that there is a critical link between the importance of leadership and the achievement of sustainable development outcomes, including reduced poverty and the of the Millennium Development Goals (MDGs). Relevant research supported by DFAT through Development Leadership Program (DLP), Office of Development Effectiveness (ODE) and other key achievement DFAT partners including the World Bank, Overseas Development Institute (ODI) and The Asia Foundation, show links between leadership and development. </w:t>
      </w:r>
    </w:p>
    <w:p w14:paraId="1E586D61" w14:textId="77777777" w:rsidR="003B2E27" w:rsidRPr="005C788D" w:rsidRDefault="003B2E27" w:rsidP="003B2E27">
      <w:pPr>
        <w:pStyle w:val="SDAbodytext"/>
      </w:pPr>
      <w:r w:rsidRPr="005C788D">
        <w:t xml:space="preserve">The Biketawa Declaration (2000) outlines principles for good governance in the Pacific. Leadership is a central component of ‘good governance’. Improving leadership in the Pacific is an objective of the Framework for Pacific Regionalism. Pacific States differ in terms of governance, leadership and economic, social and environmental development processes. Government representatives hold various views as to how external efforts could address various and complex challenges they face. In summary, leadership and development literature confirms that in diverse political and social </w:t>
      </w:r>
      <w:r w:rsidRPr="005C788D">
        <w:rPr>
          <w:spacing w:val="-2"/>
        </w:rPr>
        <w:t>contexts, leaders must determine their own policy and institutional solutions to priority</w:t>
      </w:r>
      <w:r w:rsidRPr="005C788D">
        <w:t xml:space="preserve"> development issues to make durable and legitimate changes in Pacific countries (Wheeler, June 2011).</w:t>
      </w:r>
    </w:p>
    <w:p w14:paraId="4168DF4E" w14:textId="77777777" w:rsidR="003B2E27" w:rsidRPr="005C788D" w:rsidRDefault="003B2E27" w:rsidP="003B2E27">
      <w:pPr>
        <w:pStyle w:val="SDAbodytext"/>
        <w:rPr>
          <w:b/>
        </w:rPr>
      </w:pPr>
      <w:r w:rsidRPr="005C788D">
        <w:rPr>
          <w:b/>
        </w:rPr>
        <w:t xml:space="preserve">Australia’s support for Governance </w:t>
      </w:r>
    </w:p>
    <w:p w14:paraId="6F4B8E99" w14:textId="77777777" w:rsidR="003B2E27" w:rsidRPr="005C788D" w:rsidRDefault="003B2E27" w:rsidP="003B2E27">
      <w:pPr>
        <w:pStyle w:val="SDAbodytext"/>
      </w:pPr>
      <w:r w:rsidRPr="005C788D">
        <w:t xml:space="preserve">Australia’s Department of Foreign Affairs and Trade (DFAT) promotes effective governance at national and regional levels through a range of initiatives including technical assistance, professional development, social protection and inclusion, media, and leadership skills training. The Aid Investment Plan for the Pacific Regional Program (published in September 2015) sets out four objectives: economic growth; stronger regional institutions; healthy and resilient communities; and the empowerment of women and girls, underpinned by good governance and leadership. </w:t>
      </w:r>
    </w:p>
    <w:p w14:paraId="40AA6690" w14:textId="77777777" w:rsidR="003B2E27" w:rsidRPr="005C788D" w:rsidRDefault="003B2E27" w:rsidP="003B2E27">
      <w:pPr>
        <w:pStyle w:val="SDAbodytext"/>
        <w:rPr>
          <w:b/>
        </w:rPr>
      </w:pPr>
      <w:r w:rsidRPr="005C788D">
        <w:rPr>
          <w:b/>
        </w:rPr>
        <w:t xml:space="preserve">Pacific Leadership Program </w:t>
      </w:r>
    </w:p>
    <w:p w14:paraId="642D7A34" w14:textId="77777777" w:rsidR="003B2E27" w:rsidRPr="005C788D" w:rsidRDefault="003B2E27" w:rsidP="003B2E27">
      <w:pPr>
        <w:pStyle w:val="SDAbodytext"/>
      </w:pPr>
      <w:r w:rsidRPr="005C788D">
        <w:t xml:space="preserve">The Australian government has been supporting leadership in the Pacific through the Pacific Leadership Program - a Pacific regional governance initiative - since 2008. The Pacific Leadership Program Phase 3 (2014-2017) is a $16 million investment that supports developmental leadership to achieve transformational changes to promote stability, effective governance and economic growth. The program is managed by Cardno Emerging Markets (Australia) Pty Ltd and operates in four countries: Samoa, Solomon Islands, Tonga and Vanuatu. PLP3 has a regional office in Suva and four country representatives in Port Vila, Nuku’alofa, Apia and Honiara. PLP3’s Team Leader oversees strategic programming and operations, reports to DFAT, and is guided by an Advisory Panel of eminent Pacific leaders. </w:t>
      </w:r>
    </w:p>
    <w:p w14:paraId="3FB5F934" w14:textId="77777777" w:rsidR="003B2E27" w:rsidRPr="005C788D" w:rsidRDefault="003B2E27" w:rsidP="003B2E27">
      <w:pPr>
        <w:pStyle w:val="SDAbodytext"/>
      </w:pPr>
      <w:r w:rsidRPr="005C788D">
        <w:t xml:space="preserve">PLP Phase 1 (2008) recognised that leadership was an important part of governance and sought to support the practice of leadership by Pacific Islanders. Phase 2 commenced in June 2009, and shifted attention to identifying leadership challenges and issues by use of adaptive approaches. Phase 3 (PLP3) began in July 2014 with the aim to generate ‘knowledge’ about leadership practice in the Pacific context. The current contract for PLP3 extends to June 2017 (with the option for a two-year extension) however an extension of 6 months has been agreed which will see the program ending in December 2017. </w:t>
      </w:r>
    </w:p>
    <w:p w14:paraId="43261156" w14:textId="77777777" w:rsidR="003B2E27" w:rsidRPr="005C788D" w:rsidRDefault="003B2E27" w:rsidP="003B2E27">
      <w:pPr>
        <w:pStyle w:val="SDAbodytext"/>
        <w:rPr>
          <w:b/>
        </w:rPr>
      </w:pPr>
      <w:r w:rsidRPr="005C788D">
        <w:rPr>
          <w:b/>
        </w:rPr>
        <w:t xml:space="preserve">Underlying PLP3 objective are four results streams: </w:t>
      </w:r>
    </w:p>
    <w:p w14:paraId="2673FB18" w14:textId="77777777" w:rsidR="003B2E27" w:rsidRPr="005C788D" w:rsidRDefault="003B2E27" w:rsidP="003B2E27">
      <w:pPr>
        <w:pStyle w:val="SDAbodytext"/>
        <w:numPr>
          <w:ilvl w:val="0"/>
          <w:numId w:val="31"/>
        </w:numPr>
      </w:pPr>
      <w:r w:rsidRPr="005C788D">
        <w:t xml:space="preserve">High quality and ongoing knowledge of developmental leadership across the Pacific. </w:t>
      </w:r>
    </w:p>
    <w:p w14:paraId="4A747BF2" w14:textId="77777777" w:rsidR="003B2E27" w:rsidRPr="005C788D" w:rsidRDefault="003B2E27" w:rsidP="003B2E27">
      <w:pPr>
        <w:pStyle w:val="SDAbodytext"/>
        <w:numPr>
          <w:ilvl w:val="0"/>
          <w:numId w:val="31"/>
        </w:numPr>
      </w:pPr>
      <w:r w:rsidRPr="005C788D">
        <w:t xml:space="preserve">Collective action by Pacific Island leaders in pursuit of policy and institutional changes and reforms to promote stability, effective governance and economic growth at the regional, national and sub-national level. </w:t>
      </w:r>
    </w:p>
    <w:p w14:paraId="71C3BD8A" w14:textId="77777777" w:rsidR="003B2E27" w:rsidRPr="005C788D" w:rsidRDefault="003B2E27" w:rsidP="003B2E27">
      <w:pPr>
        <w:pStyle w:val="SDAbodytext"/>
        <w:numPr>
          <w:ilvl w:val="0"/>
          <w:numId w:val="31"/>
        </w:numPr>
      </w:pPr>
      <w:r w:rsidRPr="005C788D">
        <w:t xml:space="preserve">Identifiable policy and institutional changes across the Pacific for the public good. </w:t>
      </w:r>
    </w:p>
    <w:p w14:paraId="7D4B5409" w14:textId="77777777" w:rsidR="003B2E27" w:rsidRPr="005C788D" w:rsidRDefault="003B2E27" w:rsidP="003B2E27">
      <w:pPr>
        <w:pStyle w:val="SDAbodytext"/>
        <w:numPr>
          <w:ilvl w:val="0"/>
          <w:numId w:val="31"/>
        </w:numPr>
      </w:pPr>
      <w:r w:rsidRPr="005C788D">
        <w:t xml:space="preserve">High quality and influential communication within DFAT, across the Pacific and internationally on the nature of developmental leadership in addressing development issues and challenges in the Pacific. </w:t>
      </w:r>
    </w:p>
    <w:p w14:paraId="4DE3D5AE" w14:textId="77777777" w:rsidR="003B2E27" w:rsidRPr="005C788D" w:rsidRDefault="003B2E27" w:rsidP="003B2E27">
      <w:pPr>
        <w:pStyle w:val="SDAbodytext"/>
      </w:pPr>
      <w:r w:rsidRPr="005C788D">
        <w:t xml:space="preserve">The program also has six key priority areas: Women’s leadership, future developmental leadership, private sector leadership, political-bureaucratic leadership interface, community leadership and Melanesian leadership. </w:t>
      </w:r>
    </w:p>
    <w:p w14:paraId="38894A28" w14:textId="77777777" w:rsidR="003B2E27" w:rsidRPr="005C788D" w:rsidRDefault="003B2E27" w:rsidP="003B2E27">
      <w:pPr>
        <w:pStyle w:val="SDAbodytext"/>
      </w:pPr>
      <w:r w:rsidRPr="005C788D">
        <w:t xml:space="preserve">PLP3 focusses on transformational leadership that promotes inclusive, legitimate and durable Pacific institutional and policy changes addressing priority developmental issues. The Program supports the collective efforts and actions of influential individuals, organisations and coalitions at the regional, national and sub-national levels. The program builds, applies and shares knowledge on ‘developmental leadership’ – leadership involving collective action to bring about locally owned, inclusive change. </w:t>
      </w:r>
    </w:p>
    <w:p w14:paraId="05EEA120" w14:textId="77777777" w:rsidR="003B2E27" w:rsidRPr="005C788D" w:rsidRDefault="003B2E27" w:rsidP="003B2E27">
      <w:pPr>
        <w:pStyle w:val="SDAbodytext"/>
      </w:pPr>
      <w:r w:rsidRPr="005C788D">
        <w:t xml:space="preserve">PLP3 is not a leadership development or leadership-training program. It brings leaders together to discuss and identify ways to address institutional or policy constraints, and provides training in adaptive leadership concepts and tools. Other elements in PLP’s work distinguish it from traditional leadership development approaches, focusing on the process and exercise of leadership to achieve development priorities (rather than developing generic leadership qualities); a commitment to mutual learning (rather than one-way teaching); a partnership approach where shared priorities are negotiated; and a recognition of the need for informed risk taking, and feedback. </w:t>
      </w:r>
    </w:p>
    <w:p w14:paraId="2EA7EBC5" w14:textId="77777777" w:rsidR="003B2E27" w:rsidRPr="005C788D" w:rsidRDefault="003B2E27" w:rsidP="003B2E27">
      <w:pPr>
        <w:pStyle w:val="SDAbodytext"/>
        <w:rPr>
          <w:b/>
        </w:rPr>
      </w:pPr>
      <w:r w:rsidRPr="005C788D">
        <w:rPr>
          <w:b/>
        </w:rPr>
        <w:t xml:space="preserve">EVALUATION OBJECTIVES AND QUESTIONS </w:t>
      </w:r>
    </w:p>
    <w:p w14:paraId="7B0C9F4F" w14:textId="77777777" w:rsidR="003B2E27" w:rsidRPr="005C788D" w:rsidRDefault="003B2E27" w:rsidP="003B2E27">
      <w:pPr>
        <w:pStyle w:val="SDAbodytext"/>
      </w:pPr>
      <w:r w:rsidRPr="005C788D">
        <w:t xml:space="preserve">This Evaluation will assess performance of PLP Phase 3 (2014-2017). </w:t>
      </w:r>
    </w:p>
    <w:p w14:paraId="2E488320" w14:textId="77777777" w:rsidR="003B2E27" w:rsidRPr="005C788D" w:rsidRDefault="003B2E27" w:rsidP="003B2E27">
      <w:pPr>
        <w:pStyle w:val="SDAbodytext"/>
      </w:pPr>
      <w:r w:rsidRPr="005C788D">
        <w:t xml:space="preserve">The objectives of the evaluation are three-fold: </w:t>
      </w:r>
    </w:p>
    <w:p w14:paraId="2EDB2BFB" w14:textId="77777777" w:rsidR="003B2E27" w:rsidRPr="005C788D" w:rsidRDefault="003B2E27" w:rsidP="003B2E27">
      <w:pPr>
        <w:pStyle w:val="SDAbodytext"/>
        <w:numPr>
          <w:ilvl w:val="0"/>
          <w:numId w:val="32"/>
        </w:numPr>
      </w:pPr>
      <w:r w:rsidRPr="005C788D">
        <w:t xml:space="preserve">Evaluate the relevance of the program to understand whether the program remains meaningful to key stakeholders and to identify ways to keep the program relevant; </w:t>
      </w:r>
    </w:p>
    <w:p w14:paraId="29330F5B" w14:textId="77777777" w:rsidR="003B2E27" w:rsidRPr="005C788D" w:rsidRDefault="003B2E27" w:rsidP="003B2E27">
      <w:pPr>
        <w:pStyle w:val="SDAbodytext"/>
        <w:numPr>
          <w:ilvl w:val="0"/>
          <w:numId w:val="32"/>
        </w:numPr>
      </w:pPr>
      <w:r w:rsidRPr="005C788D">
        <w:t xml:space="preserve">Analyse the effectiveness and efficiency of PLP3 in achieving its objectives to date, how effective the program has been in supporting leadership that achieves transformational changes to promote stability, effective governance and economic growth; including an assessment of the program’s effectiveness of integrating gender and social justice; </w:t>
      </w:r>
    </w:p>
    <w:p w14:paraId="26E0E15D" w14:textId="77777777" w:rsidR="003B2E27" w:rsidRPr="005C788D" w:rsidRDefault="003B2E27" w:rsidP="003B2E27">
      <w:pPr>
        <w:pStyle w:val="SDAbodytext"/>
        <w:numPr>
          <w:ilvl w:val="0"/>
          <w:numId w:val="32"/>
        </w:numPr>
      </w:pPr>
      <w:r w:rsidRPr="005C788D">
        <w:t xml:space="preserve">Assess whether the elements of the program will be sustainable at the end of the program’s life and possible lessons that might be useful to inform future programming decisions. </w:t>
      </w:r>
    </w:p>
    <w:p w14:paraId="6ADC117E" w14:textId="77777777" w:rsidR="00746FE5" w:rsidRDefault="00746FE5" w:rsidP="003B2E27">
      <w:pPr>
        <w:pStyle w:val="SDAbodytext"/>
        <w:rPr>
          <w:b/>
        </w:rPr>
      </w:pPr>
    </w:p>
    <w:p w14:paraId="65D2FD63" w14:textId="77777777" w:rsidR="00746FE5" w:rsidRDefault="00746FE5" w:rsidP="003B2E27">
      <w:pPr>
        <w:pStyle w:val="SDAbodytext"/>
        <w:rPr>
          <w:b/>
        </w:rPr>
      </w:pPr>
    </w:p>
    <w:p w14:paraId="1C327551" w14:textId="0058B2E0" w:rsidR="003B2E27" w:rsidRPr="005C788D" w:rsidRDefault="003B2E27" w:rsidP="003B2E27">
      <w:pPr>
        <w:pStyle w:val="SDAbodytext"/>
        <w:rPr>
          <w:b/>
        </w:rPr>
      </w:pPr>
      <w:r w:rsidRPr="005C788D">
        <w:rPr>
          <w:b/>
        </w:rPr>
        <w:t xml:space="preserve">Primary users of the Evaluation  </w:t>
      </w:r>
    </w:p>
    <w:p w14:paraId="56CB77AC" w14:textId="77777777" w:rsidR="003B2E27" w:rsidRPr="005C788D" w:rsidRDefault="003B2E27" w:rsidP="003B2E27">
      <w:pPr>
        <w:pStyle w:val="SDAbodytext"/>
      </w:pPr>
      <w:r w:rsidRPr="005C788D">
        <w:t xml:space="preserve">The primary users of the Evaluation are DFAT (Pacific Division and Governance and Fragility Section), Cardno Emerging Markets and PLP. The evidence and lessons learned from the evaluation will be used to improve the current phase and inform DFAT’s future programming decisions. The evaluation will be of use to DFAT more broadly (Pacific Posts and relevant Policy Sections in Canberra), and civil society organisations and development partners working on or considering engaging on leadership issues and coalition support across the Pacific may also find the evaluation useful. </w:t>
      </w:r>
    </w:p>
    <w:p w14:paraId="56BAD3C1" w14:textId="77777777" w:rsidR="003B2E27" w:rsidRPr="005C788D" w:rsidRDefault="003B2E27" w:rsidP="003B2E27">
      <w:pPr>
        <w:pStyle w:val="SDAbodytext"/>
        <w:rPr>
          <w:b/>
        </w:rPr>
      </w:pPr>
      <w:r w:rsidRPr="005C788D">
        <w:rPr>
          <w:b/>
        </w:rPr>
        <w:t xml:space="preserve">Management and Governance of the Evaluation </w:t>
      </w:r>
    </w:p>
    <w:p w14:paraId="585A7DE3" w14:textId="77777777" w:rsidR="003B2E27" w:rsidRPr="005C788D" w:rsidRDefault="003B2E27" w:rsidP="003B2E27">
      <w:pPr>
        <w:pStyle w:val="SDAbodytext"/>
      </w:pPr>
      <w:r w:rsidRPr="005C788D">
        <w:t xml:space="preserve">DFAT (Suva Post Regional Governance team) as the Evaluation Manager will provide the day-to-day management and coordination of the evaluation.  The key responsibilities include: </w:t>
      </w:r>
    </w:p>
    <w:p w14:paraId="229C4116" w14:textId="77777777" w:rsidR="003B2E27" w:rsidRPr="005C788D" w:rsidRDefault="003B2E27" w:rsidP="003B2E27">
      <w:pPr>
        <w:pStyle w:val="SDAbodytext"/>
        <w:numPr>
          <w:ilvl w:val="0"/>
          <w:numId w:val="30"/>
        </w:numPr>
      </w:pPr>
      <w:r w:rsidRPr="005C788D">
        <w:t>Draft the ToR and coordinate feedback on the document</w:t>
      </w:r>
    </w:p>
    <w:p w14:paraId="5F79B7BD" w14:textId="77777777" w:rsidR="003B2E27" w:rsidRPr="005C788D" w:rsidRDefault="003B2E27" w:rsidP="003B2E27">
      <w:pPr>
        <w:pStyle w:val="SDAbodytext"/>
        <w:numPr>
          <w:ilvl w:val="0"/>
          <w:numId w:val="30"/>
        </w:numPr>
      </w:pPr>
      <w:r w:rsidRPr="005C788D">
        <w:t>Manage the short-list process and selection of two consultants for the Evaluation within 3 days of receiving the short-list and CVs</w:t>
      </w:r>
    </w:p>
    <w:p w14:paraId="5B8ACA31" w14:textId="77777777" w:rsidR="003B2E27" w:rsidRPr="005C788D" w:rsidRDefault="003B2E27" w:rsidP="003B2E27">
      <w:pPr>
        <w:pStyle w:val="SDAbodytext"/>
        <w:numPr>
          <w:ilvl w:val="0"/>
          <w:numId w:val="30"/>
        </w:numPr>
      </w:pPr>
      <w:r w:rsidRPr="005C788D">
        <w:t>Discuss and provide feedback on the draft evaluation plan within 5 days of receiving the draft document</w:t>
      </w:r>
    </w:p>
    <w:p w14:paraId="767B8F4A" w14:textId="77777777" w:rsidR="003B2E27" w:rsidRPr="005C788D" w:rsidRDefault="003B2E27" w:rsidP="003B2E27">
      <w:pPr>
        <w:pStyle w:val="SDAbodytext"/>
        <w:numPr>
          <w:ilvl w:val="0"/>
          <w:numId w:val="30"/>
        </w:numPr>
      </w:pPr>
      <w:r w:rsidRPr="005C788D">
        <w:t>Discuss and provide feedback on the draft Aid Memoire within 5 days of receiving the draft document</w:t>
      </w:r>
    </w:p>
    <w:p w14:paraId="7D3513BF" w14:textId="77777777" w:rsidR="003B2E27" w:rsidRPr="005C788D" w:rsidRDefault="003B2E27" w:rsidP="003B2E27">
      <w:pPr>
        <w:pStyle w:val="SDAbodytext"/>
        <w:numPr>
          <w:ilvl w:val="0"/>
          <w:numId w:val="30"/>
        </w:numPr>
      </w:pPr>
      <w:r w:rsidRPr="005C788D">
        <w:t>Discuss and provide feedback on the draft country case-studies within 5 days of receiving the draft document</w:t>
      </w:r>
    </w:p>
    <w:p w14:paraId="78438EFA" w14:textId="77777777" w:rsidR="003B2E27" w:rsidRPr="005C788D" w:rsidRDefault="003B2E27" w:rsidP="003B2E27">
      <w:pPr>
        <w:pStyle w:val="SDAbodytext"/>
        <w:numPr>
          <w:ilvl w:val="0"/>
          <w:numId w:val="30"/>
        </w:numPr>
      </w:pPr>
      <w:r w:rsidRPr="005C788D">
        <w:t>Discuss and provide feedback on the draft report of the evaluation within 10 days of receiving the draft document</w:t>
      </w:r>
    </w:p>
    <w:p w14:paraId="52D1121E" w14:textId="77777777" w:rsidR="003B2E27" w:rsidRPr="005C788D" w:rsidRDefault="003B2E27" w:rsidP="003B2E27">
      <w:pPr>
        <w:pStyle w:val="SDAbodytext"/>
        <w:numPr>
          <w:ilvl w:val="0"/>
          <w:numId w:val="33"/>
        </w:numPr>
      </w:pPr>
      <w:r w:rsidRPr="005C788D">
        <w:t xml:space="preserve">As and when required, participate in meetings including field visits and virtual discussions throughout and at the end of the evaluation. </w:t>
      </w:r>
    </w:p>
    <w:p w14:paraId="39B0E822" w14:textId="77777777" w:rsidR="003B2E27" w:rsidRPr="005C788D" w:rsidRDefault="003B2E27" w:rsidP="003B2E27">
      <w:pPr>
        <w:pStyle w:val="SDAbodytext"/>
      </w:pPr>
      <w:r w:rsidRPr="005C788D">
        <w:t xml:space="preserve">DFAT Suva Post (Regional Governance Team) will also provide a virtual preparatory briefing for the evaluation team covering key issues and priority information to the team leader. </w:t>
      </w:r>
    </w:p>
    <w:p w14:paraId="52C63505" w14:textId="77777777" w:rsidR="003B2E27" w:rsidRPr="005C788D" w:rsidRDefault="003B2E27" w:rsidP="003B2E27">
      <w:pPr>
        <w:rPr>
          <w:rFonts w:ascii="Calibri" w:eastAsiaTheme="majorEastAsia" w:hAnsi="Calibri" w:cstheme="majorBidi"/>
          <w:b/>
          <w:bCs/>
          <w:color w:val="757575"/>
          <w:sz w:val="50"/>
          <w:szCs w:val="26"/>
        </w:rPr>
      </w:pPr>
      <w:r w:rsidRPr="005C788D">
        <w:rPr>
          <w:rFonts w:ascii="Calibri" w:eastAsiaTheme="majorEastAsia" w:hAnsi="Calibri" w:cstheme="majorBidi"/>
          <w:b/>
          <w:bCs/>
          <w:color w:val="757575"/>
          <w:sz w:val="50"/>
          <w:szCs w:val="26"/>
        </w:rPr>
        <w:br w:type="page"/>
      </w:r>
    </w:p>
    <w:p w14:paraId="18ECE466" w14:textId="77777777" w:rsidR="001B100D" w:rsidRDefault="001B100D" w:rsidP="00F12B4C">
      <w:pPr>
        <w:pStyle w:val="Heading2"/>
        <w:numPr>
          <w:ilvl w:val="0"/>
          <w:numId w:val="0"/>
        </w:numPr>
        <w:ind w:left="432" w:hanging="432"/>
        <w:sectPr w:rsidR="001B100D" w:rsidSect="00A96483">
          <w:type w:val="continuous"/>
          <w:pgSz w:w="11906" w:h="16838"/>
          <w:pgMar w:top="1440" w:right="1440" w:bottom="1440" w:left="1440" w:header="708" w:footer="708" w:gutter="0"/>
          <w:cols w:space="708"/>
          <w:docGrid w:linePitch="360"/>
        </w:sectPr>
      </w:pPr>
    </w:p>
    <w:p w14:paraId="5302DFE4" w14:textId="77777777" w:rsidR="00F12B4C" w:rsidRDefault="00F12B4C" w:rsidP="00255C32">
      <w:pPr>
        <w:pStyle w:val="Heading2"/>
        <w:numPr>
          <w:ilvl w:val="0"/>
          <w:numId w:val="0"/>
        </w:numPr>
        <w:spacing w:before="240" w:after="120"/>
        <w:ind w:left="431" w:hanging="431"/>
      </w:pPr>
      <w:bookmarkStart w:id="57" w:name="_Toc486247219"/>
      <w:r>
        <w:t>Annex 2: Theory of Change</w:t>
      </w:r>
      <w:bookmarkEnd w:id="57"/>
    </w:p>
    <w:p w14:paraId="30540891" w14:textId="77777777" w:rsidR="00500F71" w:rsidRDefault="003B2E27">
      <w:pPr>
        <w:rPr>
          <w:rFonts w:ascii="Calibri" w:eastAsiaTheme="majorEastAsia" w:hAnsi="Calibri" w:cstheme="majorBidi"/>
          <w:b/>
          <w:bCs/>
          <w:color w:val="757575"/>
          <w:sz w:val="50"/>
          <w:szCs w:val="26"/>
        </w:rPr>
      </w:pPr>
      <w:r w:rsidRPr="005C788D">
        <w:rPr>
          <w:noProof/>
          <w:lang w:eastAsia="en-AU"/>
        </w:rPr>
        <w:drawing>
          <wp:inline distT="0" distB="0" distL="0" distR="0" wp14:anchorId="064F05BE" wp14:editId="209BF63C">
            <wp:extent cx="8573984" cy="5124012"/>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597291" cy="5137941"/>
                    </a:xfrm>
                    <a:prstGeom prst="rect">
                      <a:avLst/>
                    </a:prstGeom>
                    <a:noFill/>
                    <a:ln>
                      <a:noFill/>
                    </a:ln>
                  </pic:spPr>
                </pic:pic>
              </a:graphicData>
            </a:graphic>
          </wp:inline>
        </w:drawing>
      </w:r>
      <w:r w:rsidR="00500F71">
        <w:br w:type="page"/>
      </w:r>
    </w:p>
    <w:p w14:paraId="22D97B3E" w14:textId="77777777" w:rsidR="001B100D" w:rsidRDefault="001B100D" w:rsidP="001C4E36">
      <w:pPr>
        <w:pStyle w:val="Heading2"/>
        <w:numPr>
          <w:ilvl w:val="0"/>
          <w:numId w:val="0"/>
        </w:numPr>
        <w:ind w:left="432" w:hanging="432"/>
        <w:sectPr w:rsidR="001B100D" w:rsidSect="001B100D">
          <w:pgSz w:w="16838" w:h="11906" w:orient="landscape"/>
          <w:pgMar w:top="1440" w:right="1440" w:bottom="1440" w:left="1440" w:header="708" w:footer="708" w:gutter="0"/>
          <w:cols w:space="708"/>
          <w:docGrid w:linePitch="360"/>
        </w:sectPr>
      </w:pPr>
    </w:p>
    <w:p w14:paraId="0C59C7D4" w14:textId="77777777" w:rsidR="00CC3A01" w:rsidRPr="001B100D" w:rsidRDefault="00CC3A01" w:rsidP="00255C32">
      <w:pPr>
        <w:pStyle w:val="Heading2"/>
        <w:numPr>
          <w:ilvl w:val="0"/>
          <w:numId w:val="0"/>
        </w:numPr>
        <w:spacing w:before="240" w:after="120"/>
        <w:ind w:left="431" w:hanging="431"/>
      </w:pPr>
      <w:bookmarkStart w:id="58" w:name="_Toc486247220"/>
      <w:r>
        <w:t>Annex 3</w:t>
      </w:r>
      <w:r w:rsidRPr="008A47DE">
        <w:t xml:space="preserve">: </w:t>
      </w:r>
      <w:r>
        <w:t>Core Evaluation Questions</w:t>
      </w:r>
      <w:bookmarkEnd w:id="58"/>
    </w:p>
    <w:p w14:paraId="6B53BC5F" w14:textId="77777777" w:rsidR="00CC3A01" w:rsidRPr="005C788D" w:rsidRDefault="00CC3A01" w:rsidP="00CC3A01">
      <w:pPr>
        <w:pStyle w:val="ListParagraph"/>
        <w:numPr>
          <w:ilvl w:val="0"/>
          <w:numId w:val="12"/>
        </w:numPr>
        <w:autoSpaceDE w:val="0"/>
        <w:autoSpaceDN w:val="0"/>
        <w:adjustRightInd w:val="0"/>
        <w:spacing w:after="138"/>
        <w:rPr>
          <w:b/>
        </w:rPr>
      </w:pPr>
      <w:r w:rsidRPr="005C788D">
        <w:rPr>
          <w:b/>
        </w:rPr>
        <w:t xml:space="preserve">Are PLP3’s result streams, priority areas, implementation strategies and delivery mechanisms still relevant to DFAT, partner governments and local stakeholders? </w:t>
      </w:r>
    </w:p>
    <w:p w14:paraId="066E76BC" w14:textId="77777777" w:rsidR="00CC3A01" w:rsidRPr="005C788D" w:rsidRDefault="00CC3A01" w:rsidP="00CC3A01">
      <w:pPr>
        <w:numPr>
          <w:ilvl w:val="0"/>
          <w:numId w:val="4"/>
        </w:numPr>
        <w:spacing w:before="120"/>
      </w:pPr>
      <w:r w:rsidRPr="005C788D">
        <w:t xml:space="preserve">To what extent are the activities of PLP3 consistent with and support developmental priorities and strategies as identified by partner governments, local leaders and/or relevant local stakeholders?  Is there local buy-in?  </w:t>
      </w:r>
    </w:p>
    <w:p w14:paraId="56CDC544" w14:textId="77777777" w:rsidR="00CC3A01" w:rsidRPr="005C788D" w:rsidRDefault="00CC3A01" w:rsidP="00CC3A01">
      <w:pPr>
        <w:numPr>
          <w:ilvl w:val="0"/>
          <w:numId w:val="4"/>
        </w:numPr>
        <w:spacing w:before="120"/>
      </w:pPr>
      <w:r w:rsidRPr="005C788D">
        <w:t xml:space="preserve">To what extent is PLP3 relevant to the </w:t>
      </w:r>
      <w:r w:rsidRPr="005C788D">
        <w:rPr>
          <w:i/>
        </w:rPr>
        <w:t>Framework for Pacific Regionalism</w:t>
      </w:r>
      <w:r w:rsidRPr="005C788D">
        <w:t xml:space="preserve">?  </w:t>
      </w:r>
    </w:p>
    <w:p w14:paraId="2F1599AC" w14:textId="77777777" w:rsidR="00CC3A01" w:rsidRPr="005C788D" w:rsidRDefault="00CC3A01" w:rsidP="00CC3A01">
      <w:pPr>
        <w:numPr>
          <w:ilvl w:val="0"/>
          <w:numId w:val="4"/>
        </w:numPr>
        <w:spacing w:before="120"/>
      </w:pPr>
      <w:r w:rsidRPr="005C788D" w:rsidDel="007E1234">
        <w:t>To what exten</w:t>
      </w:r>
      <w:r w:rsidRPr="005C788D">
        <w:t>t does the Program and its various components promote Australia’s national interests?</w:t>
      </w:r>
    </w:p>
    <w:p w14:paraId="6AB51866" w14:textId="77777777" w:rsidR="00CC3A01" w:rsidRPr="005C788D" w:rsidRDefault="00CC3A01" w:rsidP="00CC3A01">
      <w:pPr>
        <w:numPr>
          <w:ilvl w:val="0"/>
          <w:numId w:val="4"/>
        </w:numPr>
        <w:spacing w:before="120"/>
      </w:pPr>
      <w:r w:rsidRPr="005C788D">
        <w:t xml:space="preserve">To what extent is the Program relevant to Australia’s development priorities in the Pacific (as set out in DFAT’s Regional Aid Investment Plan and its bilateral aid investment plans in Samoa, Solomon Islands, Tonga and Vanuatu)? </w:t>
      </w:r>
    </w:p>
    <w:p w14:paraId="4075F4BF" w14:textId="77777777" w:rsidR="00CC3A01" w:rsidRPr="005C788D" w:rsidRDefault="00CC3A01" w:rsidP="00CC3A01">
      <w:pPr>
        <w:pStyle w:val="ListParagraph"/>
        <w:numPr>
          <w:ilvl w:val="0"/>
          <w:numId w:val="12"/>
        </w:numPr>
        <w:autoSpaceDE w:val="0"/>
        <w:autoSpaceDN w:val="0"/>
        <w:adjustRightInd w:val="0"/>
        <w:spacing w:after="138"/>
        <w:rPr>
          <w:b/>
        </w:rPr>
      </w:pPr>
      <w:r w:rsidRPr="005C788D">
        <w:rPr>
          <w:b/>
        </w:rPr>
        <w:t xml:space="preserve">To what extent is PLP3 achieving results? </w:t>
      </w:r>
    </w:p>
    <w:p w14:paraId="083B0840" w14:textId="77777777" w:rsidR="00CC3A01" w:rsidRPr="005C788D" w:rsidRDefault="00CC3A01" w:rsidP="00CC3A01">
      <w:pPr>
        <w:pStyle w:val="SDAbulletpoints"/>
      </w:pPr>
      <w:r w:rsidRPr="005C788D">
        <w:t xml:space="preserve">To what extent has PLP3 played a role in assisting the target Pacific island countries and regional institutions in addressing key developmental leadership issues? </w:t>
      </w:r>
    </w:p>
    <w:p w14:paraId="5BB82FF4" w14:textId="77777777" w:rsidR="00CC3A01" w:rsidRPr="005C788D" w:rsidRDefault="00CC3A01" w:rsidP="00CC3A01">
      <w:pPr>
        <w:pStyle w:val="SDAbulletpoints"/>
      </w:pPr>
      <w:r w:rsidRPr="005C788D">
        <w:t>How has PLP3 supported transformational change to promote stability, effective governance and economic growth? What is going well and why? (i.e. what factors have contributed to achievements).</w:t>
      </w:r>
    </w:p>
    <w:p w14:paraId="44148007" w14:textId="77777777" w:rsidR="00CC3A01" w:rsidRPr="005C788D" w:rsidRDefault="00CC3A01" w:rsidP="00CC3A01">
      <w:pPr>
        <w:pStyle w:val="SDAbulletpoints"/>
      </w:pPr>
      <w:r w:rsidRPr="005C788D">
        <w:t>Is the PLP modality the most appropriate for this investment to achieve its intended outcomes? What are possible alternatives options for achieving the results?</w:t>
      </w:r>
    </w:p>
    <w:p w14:paraId="618064F5" w14:textId="77777777" w:rsidR="00CC3A01" w:rsidRPr="005C788D" w:rsidRDefault="00CC3A01" w:rsidP="00CC3A01">
      <w:pPr>
        <w:pStyle w:val="SDAbulletpoints"/>
      </w:pPr>
      <w:r w:rsidRPr="005C788D">
        <w:t>To what extent are crosscutting issues of gender and disability inclusion being effectively addressed and integrated into PLP3’s interventions?</w:t>
      </w:r>
    </w:p>
    <w:p w14:paraId="15ADF1BC" w14:textId="77777777" w:rsidR="00CC3A01" w:rsidRPr="005C788D" w:rsidRDefault="00CC3A01" w:rsidP="00CC3A01">
      <w:pPr>
        <w:pStyle w:val="SDAbulletpoints"/>
      </w:pPr>
      <w:r w:rsidRPr="005C788D">
        <w:t>How has the PLP3 model demonstrate value-for-money for its stakeholders?</w:t>
      </w:r>
    </w:p>
    <w:p w14:paraId="4D1F6DE5" w14:textId="77777777" w:rsidR="00CC3A01" w:rsidRPr="005C788D" w:rsidRDefault="00CC3A01" w:rsidP="00CC3A01">
      <w:pPr>
        <w:pStyle w:val="ListParagraph"/>
        <w:numPr>
          <w:ilvl w:val="0"/>
          <w:numId w:val="12"/>
        </w:numPr>
        <w:autoSpaceDE w:val="0"/>
        <w:autoSpaceDN w:val="0"/>
        <w:adjustRightInd w:val="0"/>
        <w:spacing w:after="138"/>
        <w:rPr>
          <w:b/>
        </w:rPr>
      </w:pPr>
      <w:r w:rsidRPr="005C788D">
        <w:rPr>
          <w:b/>
        </w:rPr>
        <w:t>To what extent is PLP sustainable</w:t>
      </w:r>
      <w:r w:rsidRPr="005C788D">
        <w:rPr>
          <w:rStyle w:val="FootnoteReference"/>
          <w:b/>
        </w:rPr>
        <w:footnoteReference w:id="114"/>
      </w:r>
      <w:r w:rsidRPr="005C788D">
        <w:rPr>
          <w:b/>
        </w:rPr>
        <w:t>?</w:t>
      </w:r>
    </w:p>
    <w:p w14:paraId="49C7D7A9" w14:textId="77777777" w:rsidR="00CC3A01" w:rsidRPr="005C788D" w:rsidRDefault="00CC3A01" w:rsidP="00CC3A01">
      <w:pPr>
        <w:pStyle w:val="SDAbulletpoints"/>
      </w:pPr>
      <w:r w:rsidRPr="005C788D">
        <w:t xml:space="preserve">To what extent has PLP3 knowledge products informed or influenced DFAT, Pacific people and/or other development partners? </w:t>
      </w:r>
    </w:p>
    <w:p w14:paraId="12A956B3" w14:textId="77777777" w:rsidR="00CC3A01" w:rsidRPr="005C788D" w:rsidRDefault="00CC3A01" w:rsidP="00CC3A01">
      <w:pPr>
        <w:pStyle w:val="SDAbulletpoints"/>
      </w:pPr>
      <w:r w:rsidRPr="005C788D">
        <w:t>Which aspects of PLP are likely to be sustainable? Why? Which elements are unlikely to be sustainable? Why?</w:t>
      </w:r>
    </w:p>
    <w:p w14:paraId="056FBE83" w14:textId="77777777" w:rsidR="00CC3A01" w:rsidRPr="005C788D" w:rsidRDefault="00CC3A01" w:rsidP="00CC3A01">
      <w:pPr>
        <w:pStyle w:val="SDAbulletpoints"/>
      </w:pPr>
      <w:r w:rsidRPr="005C788D">
        <w:t xml:space="preserve">What lessons can be drawn from PLP3 to inform DFAT’s future investments in other regional and bilateral programs which aim to support developmental leadership, coalition building and locally-led reforms? </w:t>
      </w:r>
    </w:p>
    <w:p w14:paraId="2AEC64E2" w14:textId="77777777" w:rsidR="00CC3A01" w:rsidRDefault="00CC3A01">
      <w:pPr>
        <w:rPr>
          <w:rFonts w:ascii="Calibri" w:eastAsiaTheme="majorEastAsia" w:hAnsi="Calibri" w:cstheme="majorBidi"/>
          <w:b/>
          <w:bCs/>
          <w:color w:val="757575"/>
          <w:sz w:val="50"/>
          <w:szCs w:val="26"/>
        </w:rPr>
      </w:pPr>
      <w:r>
        <w:br w:type="page"/>
      </w:r>
    </w:p>
    <w:p w14:paraId="49E6FBE8" w14:textId="77777777" w:rsidR="00D639BE" w:rsidRPr="001B100D" w:rsidRDefault="0098706D" w:rsidP="00255C32">
      <w:pPr>
        <w:pStyle w:val="Heading2"/>
        <w:numPr>
          <w:ilvl w:val="0"/>
          <w:numId w:val="0"/>
        </w:numPr>
        <w:spacing w:before="240" w:after="120"/>
        <w:ind w:left="431" w:hanging="431"/>
      </w:pPr>
      <w:bookmarkStart w:id="59" w:name="_Toc486247221"/>
      <w:r>
        <w:t xml:space="preserve">Annex </w:t>
      </w:r>
      <w:r w:rsidR="00CC3A01">
        <w:t>4</w:t>
      </w:r>
      <w:r w:rsidR="008A47DE" w:rsidRPr="008A47DE">
        <w:t xml:space="preserve">: </w:t>
      </w:r>
      <w:r w:rsidR="00F72043">
        <w:t xml:space="preserve">Timeline of </w:t>
      </w:r>
      <w:r w:rsidR="00F12B4C">
        <w:t>PLP</w:t>
      </w:r>
      <w:bookmarkEnd w:id="59"/>
    </w:p>
    <w:p w14:paraId="3D5AC9E6" w14:textId="77777777" w:rsidR="00F72043" w:rsidRPr="002721D1" w:rsidRDefault="00F72043" w:rsidP="00B511A7">
      <w:r w:rsidRPr="002721D1">
        <w:t>For a history of the Pacific Leadership Program, see Deborah Rhodes paper “History of the Pacific Leadership Program”, March 2017. The table below</w:t>
      </w:r>
      <w:r w:rsidR="00B511A7" w:rsidRPr="002721D1">
        <w:t xml:space="preserve"> is based on a table that appears in Rhodes’</w:t>
      </w:r>
      <w:r w:rsidRPr="002721D1">
        <w:t xml:space="preserve"> </w:t>
      </w:r>
      <w:r w:rsidR="002934EB" w:rsidRPr="002721D1">
        <w:t>p</w:t>
      </w:r>
      <w:r w:rsidRPr="002721D1">
        <w:t>aper.</w:t>
      </w:r>
    </w:p>
    <w:tbl>
      <w:tblPr>
        <w:tblStyle w:val="TableGrid"/>
        <w:tblpPr w:leftFromText="180" w:rightFromText="180" w:vertAnchor="page" w:horzAnchor="margin" w:tblpY="4201"/>
        <w:tblW w:w="9606" w:type="dxa"/>
        <w:tblLook w:val="04A0" w:firstRow="1" w:lastRow="0" w:firstColumn="1" w:lastColumn="0" w:noHBand="0" w:noVBand="1"/>
      </w:tblPr>
      <w:tblGrid>
        <w:gridCol w:w="2660"/>
        <w:gridCol w:w="6946"/>
      </w:tblGrid>
      <w:tr w:rsidR="00F72043" w:rsidRPr="002721D1" w14:paraId="2ADCB3EB" w14:textId="77777777" w:rsidTr="002934EB">
        <w:tc>
          <w:tcPr>
            <w:tcW w:w="9606" w:type="dxa"/>
            <w:gridSpan w:val="2"/>
          </w:tcPr>
          <w:p w14:paraId="5F00557E" w14:textId="77777777" w:rsidR="00F72043" w:rsidRPr="001C3654" w:rsidRDefault="00B511A7" w:rsidP="002934EB">
            <w:pPr>
              <w:spacing w:after="120" w:line="276" w:lineRule="auto"/>
              <w:rPr>
                <w:rFonts w:cstheme="minorHAnsi"/>
                <w:b/>
              </w:rPr>
            </w:pPr>
            <w:r w:rsidRPr="001C3654">
              <w:rPr>
                <w:rFonts w:cstheme="minorHAnsi"/>
                <w:b/>
              </w:rPr>
              <w:t>PACIFIC LEADERSHIP PROGRAM: TIMELINE</w:t>
            </w:r>
          </w:p>
        </w:tc>
      </w:tr>
      <w:tr w:rsidR="00F72043" w:rsidRPr="002721D1" w14:paraId="79F361B9" w14:textId="77777777" w:rsidTr="002934EB">
        <w:tc>
          <w:tcPr>
            <w:tcW w:w="2660" w:type="dxa"/>
          </w:tcPr>
          <w:p w14:paraId="6FEEFC7C" w14:textId="77777777" w:rsidR="00F72043" w:rsidRPr="001C3654" w:rsidRDefault="00F72043" w:rsidP="002934EB">
            <w:pPr>
              <w:spacing w:after="120" w:line="276" w:lineRule="auto"/>
              <w:rPr>
                <w:rFonts w:cstheme="minorHAnsi"/>
                <w:b/>
              </w:rPr>
            </w:pPr>
            <w:r w:rsidRPr="001C3654">
              <w:rPr>
                <w:rFonts w:cstheme="minorHAnsi"/>
                <w:b/>
              </w:rPr>
              <w:t>Year</w:t>
            </w:r>
          </w:p>
        </w:tc>
        <w:tc>
          <w:tcPr>
            <w:tcW w:w="6946" w:type="dxa"/>
          </w:tcPr>
          <w:p w14:paraId="3E591124" w14:textId="77777777" w:rsidR="00F72043" w:rsidRPr="001C3654" w:rsidRDefault="00F72043" w:rsidP="002934EB">
            <w:pPr>
              <w:spacing w:after="120" w:line="276" w:lineRule="auto"/>
              <w:rPr>
                <w:rFonts w:cstheme="minorHAnsi"/>
                <w:b/>
              </w:rPr>
            </w:pPr>
            <w:r w:rsidRPr="001C3654">
              <w:rPr>
                <w:rFonts w:cstheme="minorHAnsi"/>
                <w:b/>
              </w:rPr>
              <w:t>Event</w:t>
            </w:r>
          </w:p>
        </w:tc>
      </w:tr>
      <w:tr w:rsidR="00F72043" w:rsidRPr="002721D1" w14:paraId="1A6A135C" w14:textId="77777777" w:rsidTr="002934EB">
        <w:trPr>
          <w:trHeight w:val="244"/>
        </w:trPr>
        <w:tc>
          <w:tcPr>
            <w:tcW w:w="2660" w:type="dxa"/>
          </w:tcPr>
          <w:p w14:paraId="08F8F9A3" w14:textId="77777777" w:rsidR="00F72043" w:rsidRPr="001C3654" w:rsidRDefault="00B511A7" w:rsidP="002934EB">
            <w:pPr>
              <w:spacing w:after="120" w:line="276" w:lineRule="auto"/>
              <w:rPr>
                <w:rFonts w:cstheme="minorHAnsi"/>
              </w:rPr>
            </w:pPr>
            <w:r w:rsidRPr="001C3654">
              <w:rPr>
                <w:rFonts w:cstheme="minorHAnsi"/>
              </w:rPr>
              <w:t>2006</w:t>
            </w:r>
          </w:p>
        </w:tc>
        <w:tc>
          <w:tcPr>
            <w:tcW w:w="6946" w:type="dxa"/>
          </w:tcPr>
          <w:p w14:paraId="528D8668" w14:textId="77777777" w:rsidR="00F72043" w:rsidRPr="001C3654" w:rsidRDefault="00B511A7" w:rsidP="002934EB">
            <w:pPr>
              <w:pStyle w:val="BodyText"/>
              <w:spacing w:after="120" w:line="276" w:lineRule="auto"/>
              <w:rPr>
                <w:rFonts w:asciiTheme="minorHAnsi" w:hAnsiTheme="minorHAnsi" w:cstheme="minorHAnsi"/>
                <w:sz w:val="22"/>
              </w:rPr>
            </w:pPr>
            <w:r w:rsidRPr="001C3654">
              <w:rPr>
                <w:rFonts w:asciiTheme="minorHAnsi" w:hAnsiTheme="minorHAnsi" w:cstheme="minorHAnsi"/>
                <w:sz w:val="22"/>
              </w:rPr>
              <w:t xml:space="preserve">White Paper: </w:t>
            </w:r>
            <w:r w:rsidRPr="001C3654">
              <w:rPr>
                <w:rFonts w:asciiTheme="minorHAnsi" w:hAnsiTheme="minorHAnsi" w:cstheme="minorHAnsi"/>
                <w:i/>
                <w:sz w:val="22"/>
              </w:rPr>
              <w:t>Australian Aid: Promoting Growth and Stability</w:t>
            </w:r>
          </w:p>
        </w:tc>
      </w:tr>
      <w:tr w:rsidR="00F72043" w:rsidRPr="002721D1" w14:paraId="5B9A1BED" w14:textId="77777777" w:rsidTr="002934EB">
        <w:tc>
          <w:tcPr>
            <w:tcW w:w="2660" w:type="dxa"/>
          </w:tcPr>
          <w:p w14:paraId="72756026" w14:textId="77777777" w:rsidR="00F72043" w:rsidRPr="001C3654" w:rsidRDefault="00B511A7" w:rsidP="002934EB">
            <w:pPr>
              <w:spacing w:after="120" w:line="276" w:lineRule="auto"/>
              <w:rPr>
                <w:rFonts w:cstheme="minorHAnsi"/>
              </w:rPr>
            </w:pPr>
            <w:r w:rsidRPr="001C3654">
              <w:rPr>
                <w:rFonts w:cstheme="minorHAnsi"/>
              </w:rPr>
              <w:t>June to Sept.</w:t>
            </w:r>
            <w:r w:rsidR="00F72043" w:rsidRPr="001C3654">
              <w:rPr>
                <w:rFonts w:cstheme="minorHAnsi"/>
              </w:rPr>
              <w:t xml:space="preserve"> 2007</w:t>
            </w:r>
          </w:p>
        </w:tc>
        <w:tc>
          <w:tcPr>
            <w:tcW w:w="6946" w:type="dxa"/>
          </w:tcPr>
          <w:p w14:paraId="1BF686B2" w14:textId="77777777" w:rsidR="00F72043" w:rsidRPr="001C3654" w:rsidRDefault="00F72043" w:rsidP="002934EB">
            <w:pPr>
              <w:pStyle w:val="BodyText"/>
              <w:spacing w:after="120" w:line="276" w:lineRule="auto"/>
              <w:rPr>
                <w:rFonts w:asciiTheme="minorHAnsi" w:hAnsiTheme="minorHAnsi" w:cstheme="minorHAnsi"/>
                <w:sz w:val="22"/>
              </w:rPr>
            </w:pPr>
            <w:r w:rsidRPr="001C3654">
              <w:rPr>
                <w:rFonts w:asciiTheme="minorHAnsi" w:hAnsiTheme="minorHAnsi" w:cstheme="minorHAnsi"/>
                <w:sz w:val="22"/>
              </w:rPr>
              <w:t>Design process for Phase 1</w:t>
            </w:r>
          </w:p>
        </w:tc>
      </w:tr>
      <w:tr w:rsidR="00F72043" w:rsidRPr="002721D1" w14:paraId="31C1479D" w14:textId="77777777" w:rsidTr="002934EB">
        <w:tc>
          <w:tcPr>
            <w:tcW w:w="2660" w:type="dxa"/>
          </w:tcPr>
          <w:p w14:paraId="422E34F4" w14:textId="77777777" w:rsidR="00F72043" w:rsidRPr="001C3654" w:rsidRDefault="00F72043" w:rsidP="002934EB">
            <w:pPr>
              <w:spacing w:after="120" w:line="276" w:lineRule="auto"/>
              <w:rPr>
                <w:rFonts w:cstheme="minorHAnsi"/>
              </w:rPr>
            </w:pPr>
            <w:r w:rsidRPr="001C3654">
              <w:rPr>
                <w:rFonts w:cstheme="minorHAnsi"/>
              </w:rPr>
              <w:t>Early 2008</w:t>
            </w:r>
          </w:p>
        </w:tc>
        <w:tc>
          <w:tcPr>
            <w:tcW w:w="6946" w:type="dxa"/>
          </w:tcPr>
          <w:p w14:paraId="01B25707" w14:textId="77777777" w:rsidR="00F72043" w:rsidRPr="001C3654" w:rsidRDefault="00F72043" w:rsidP="002934EB">
            <w:pPr>
              <w:pStyle w:val="BodyText"/>
              <w:spacing w:after="120" w:line="276" w:lineRule="auto"/>
              <w:rPr>
                <w:rFonts w:asciiTheme="minorHAnsi" w:hAnsiTheme="minorHAnsi" w:cstheme="minorHAnsi"/>
                <w:sz w:val="22"/>
              </w:rPr>
            </w:pPr>
            <w:r w:rsidRPr="001C3654">
              <w:rPr>
                <w:rFonts w:asciiTheme="minorHAnsi" w:hAnsiTheme="minorHAnsi" w:cstheme="minorHAnsi"/>
                <w:sz w:val="22"/>
              </w:rPr>
              <w:t>Contracting process for support contractor</w:t>
            </w:r>
          </w:p>
        </w:tc>
      </w:tr>
      <w:tr w:rsidR="00F72043" w:rsidRPr="002721D1" w14:paraId="6FA5B8A4" w14:textId="77777777" w:rsidTr="002934EB">
        <w:trPr>
          <w:trHeight w:val="522"/>
        </w:trPr>
        <w:tc>
          <w:tcPr>
            <w:tcW w:w="2660" w:type="dxa"/>
          </w:tcPr>
          <w:p w14:paraId="5EE521FC" w14:textId="77777777" w:rsidR="00F72043" w:rsidRPr="001C3654" w:rsidRDefault="00F72043" w:rsidP="002934EB">
            <w:pPr>
              <w:spacing w:after="120" w:line="276" w:lineRule="auto"/>
              <w:rPr>
                <w:rFonts w:cstheme="minorHAnsi"/>
              </w:rPr>
            </w:pPr>
            <w:r w:rsidRPr="001C3654">
              <w:rPr>
                <w:rFonts w:cstheme="minorHAnsi"/>
              </w:rPr>
              <w:t>1 May 2008</w:t>
            </w:r>
          </w:p>
        </w:tc>
        <w:tc>
          <w:tcPr>
            <w:tcW w:w="6946" w:type="dxa"/>
          </w:tcPr>
          <w:p w14:paraId="1755AA20" w14:textId="77777777" w:rsidR="00F72043" w:rsidRPr="001C3654" w:rsidRDefault="00F72043" w:rsidP="002934EB">
            <w:pPr>
              <w:spacing w:after="120" w:line="276" w:lineRule="auto"/>
              <w:rPr>
                <w:rFonts w:cstheme="minorHAnsi"/>
              </w:rPr>
            </w:pPr>
            <w:r w:rsidRPr="001C3654">
              <w:rPr>
                <w:rFonts w:cstheme="minorHAnsi"/>
              </w:rPr>
              <w:t>Phase 1 began</w:t>
            </w:r>
          </w:p>
          <w:p w14:paraId="4C6C3E7A" w14:textId="77777777" w:rsidR="00F72043" w:rsidRPr="001C3654" w:rsidRDefault="00F72043" w:rsidP="002934EB">
            <w:pPr>
              <w:spacing w:after="120" w:line="276" w:lineRule="auto"/>
              <w:rPr>
                <w:rFonts w:cstheme="minorHAnsi"/>
              </w:rPr>
            </w:pPr>
            <w:r w:rsidRPr="001C3654">
              <w:rPr>
                <w:rFonts w:cstheme="minorHAnsi"/>
              </w:rPr>
              <w:t>Commencement of regional program/partnerships</w:t>
            </w:r>
          </w:p>
        </w:tc>
      </w:tr>
      <w:tr w:rsidR="00F72043" w:rsidRPr="002721D1" w14:paraId="4B2F38C0" w14:textId="77777777" w:rsidTr="002934EB">
        <w:tc>
          <w:tcPr>
            <w:tcW w:w="2660" w:type="dxa"/>
          </w:tcPr>
          <w:p w14:paraId="43A9621D" w14:textId="77777777" w:rsidR="00F72043" w:rsidRPr="001C3654" w:rsidRDefault="00F72043" w:rsidP="002934EB">
            <w:pPr>
              <w:spacing w:after="120" w:line="276" w:lineRule="auto"/>
              <w:rPr>
                <w:rFonts w:cstheme="minorHAnsi"/>
              </w:rPr>
            </w:pPr>
            <w:r w:rsidRPr="001C3654">
              <w:rPr>
                <w:rFonts w:cstheme="minorHAnsi"/>
              </w:rPr>
              <w:t>Early 2009</w:t>
            </w:r>
          </w:p>
        </w:tc>
        <w:tc>
          <w:tcPr>
            <w:tcW w:w="6946" w:type="dxa"/>
          </w:tcPr>
          <w:p w14:paraId="5425DA29" w14:textId="77777777" w:rsidR="00F72043" w:rsidRPr="001C3654" w:rsidRDefault="00F72043" w:rsidP="002934EB">
            <w:pPr>
              <w:spacing w:after="120" w:line="276" w:lineRule="auto"/>
              <w:rPr>
                <w:rFonts w:cstheme="minorHAnsi"/>
              </w:rPr>
            </w:pPr>
            <w:r w:rsidRPr="001C3654">
              <w:rPr>
                <w:rFonts w:cstheme="minorHAnsi"/>
              </w:rPr>
              <w:t>Concept Note for Phase 2</w:t>
            </w:r>
          </w:p>
        </w:tc>
      </w:tr>
      <w:tr w:rsidR="00F72043" w:rsidRPr="002721D1" w14:paraId="080594F9" w14:textId="77777777" w:rsidTr="002934EB">
        <w:tc>
          <w:tcPr>
            <w:tcW w:w="2660" w:type="dxa"/>
          </w:tcPr>
          <w:p w14:paraId="6DA10021" w14:textId="77777777" w:rsidR="00F72043" w:rsidRPr="001C3654" w:rsidRDefault="00F72043" w:rsidP="002934EB">
            <w:pPr>
              <w:spacing w:after="120" w:line="276" w:lineRule="auto"/>
              <w:rPr>
                <w:rFonts w:cstheme="minorHAnsi"/>
              </w:rPr>
            </w:pPr>
            <w:r w:rsidRPr="001C3654">
              <w:rPr>
                <w:rFonts w:cstheme="minorHAnsi"/>
              </w:rPr>
              <w:t>Early – mid 2009</w:t>
            </w:r>
          </w:p>
        </w:tc>
        <w:tc>
          <w:tcPr>
            <w:tcW w:w="6946" w:type="dxa"/>
          </w:tcPr>
          <w:p w14:paraId="548EDEC9" w14:textId="77777777" w:rsidR="00F72043" w:rsidRPr="001C3654" w:rsidRDefault="00F72043" w:rsidP="002934EB">
            <w:pPr>
              <w:spacing w:after="120" w:line="276" w:lineRule="auto"/>
              <w:rPr>
                <w:rFonts w:cstheme="minorHAnsi"/>
              </w:rPr>
            </w:pPr>
            <w:r w:rsidRPr="001C3654">
              <w:rPr>
                <w:rFonts w:cstheme="minorHAnsi"/>
              </w:rPr>
              <w:t>C</w:t>
            </w:r>
            <w:r w:rsidR="00B511A7" w:rsidRPr="001C3654">
              <w:rPr>
                <w:rFonts w:cstheme="minorHAnsi"/>
              </w:rPr>
              <w:t>ommencement of country program/</w:t>
            </w:r>
            <w:r w:rsidRPr="001C3654">
              <w:rPr>
                <w:rFonts w:cstheme="minorHAnsi"/>
              </w:rPr>
              <w:t xml:space="preserve">partnerships in </w:t>
            </w:r>
            <w:r w:rsidR="00B511A7" w:rsidRPr="001C3654">
              <w:rPr>
                <w:rFonts w:cstheme="minorHAnsi"/>
              </w:rPr>
              <w:t xml:space="preserve">the </w:t>
            </w:r>
            <w:r w:rsidRPr="001C3654">
              <w:rPr>
                <w:rFonts w:cstheme="minorHAnsi"/>
              </w:rPr>
              <w:t>Solomon IsIands and Samoa</w:t>
            </w:r>
          </w:p>
        </w:tc>
      </w:tr>
      <w:tr w:rsidR="00F72043" w:rsidRPr="002721D1" w14:paraId="6E5FDB21" w14:textId="77777777" w:rsidTr="002934EB">
        <w:tc>
          <w:tcPr>
            <w:tcW w:w="2660" w:type="dxa"/>
          </w:tcPr>
          <w:p w14:paraId="5930C0AA" w14:textId="77777777" w:rsidR="00F72043" w:rsidRPr="001C3654" w:rsidRDefault="00F72043" w:rsidP="002934EB">
            <w:pPr>
              <w:spacing w:after="120" w:line="276" w:lineRule="auto"/>
              <w:rPr>
                <w:rFonts w:cstheme="minorHAnsi"/>
              </w:rPr>
            </w:pPr>
            <w:r w:rsidRPr="001C3654">
              <w:rPr>
                <w:rFonts w:cstheme="minorHAnsi"/>
              </w:rPr>
              <w:t>30 June 2009</w:t>
            </w:r>
          </w:p>
        </w:tc>
        <w:tc>
          <w:tcPr>
            <w:tcW w:w="6946" w:type="dxa"/>
          </w:tcPr>
          <w:p w14:paraId="3E5C1A0B" w14:textId="77777777" w:rsidR="00F72043" w:rsidRPr="001C3654" w:rsidRDefault="00F72043" w:rsidP="002934EB">
            <w:pPr>
              <w:spacing w:after="120" w:line="276" w:lineRule="auto"/>
              <w:rPr>
                <w:rFonts w:cstheme="minorHAnsi"/>
              </w:rPr>
            </w:pPr>
            <w:r w:rsidRPr="001C3654">
              <w:rPr>
                <w:rFonts w:cstheme="minorHAnsi"/>
              </w:rPr>
              <w:t>Phase 1 finished</w:t>
            </w:r>
          </w:p>
        </w:tc>
      </w:tr>
      <w:tr w:rsidR="00F72043" w:rsidRPr="002721D1" w14:paraId="670E1749" w14:textId="77777777" w:rsidTr="002934EB">
        <w:tc>
          <w:tcPr>
            <w:tcW w:w="2660" w:type="dxa"/>
          </w:tcPr>
          <w:p w14:paraId="6E667799" w14:textId="77777777" w:rsidR="00F72043" w:rsidRPr="001C3654" w:rsidRDefault="00F72043" w:rsidP="002934EB">
            <w:pPr>
              <w:spacing w:after="120" w:line="276" w:lineRule="auto"/>
              <w:rPr>
                <w:rFonts w:cstheme="minorHAnsi"/>
              </w:rPr>
            </w:pPr>
            <w:r w:rsidRPr="001C3654">
              <w:rPr>
                <w:rFonts w:cstheme="minorHAnsi"/>
              </w:rPr>
              <w:t>1 July 2009</w:t>
            </w:r>
          </w:p>
        </w:tc>
        <w:tc>
          <w:tcPr>
            <w:tcW w:w="6946" w:type="dxa"/>
          </w:tcPr>
          <w:p w14:paraId="6C071719" w14:textId="77777777" w:rsidR="00F72043" w:rsidRPr="001C3654" w:rsidRDefault="00F72043" w:rsidP="002934EB">
            <w:pPr>
              <w:spacing w:after="120" w:line="276" w:lineRule="auto"/>
              <w:rPr>
                <w:rFonts w:cstheme="minorHAnsi"/>
              </w:rPr>
            </w:pPr>
            <w:r w:rsidRPr="001C3654">
              <w:rPr>
                <w:rFonts w:cstheme="minorHAnsi"/>
              </w:rPr>
              <w:t>Phase 2 commenced</w:t>
            </w:r>
          </w:p>
        </w:tc>
      </w:tr>
      <w:tr w:rsidR="00F72043" w:rsidRPr="002721D1" w14:paraId="5E81A8CE" w14:textId="77777777" w:rsidTr="002934EB">
        <w:tc>
          <w:tcPr>
            <w:tcW w:w="2660" w:type="dxa"/>
          </w:tcPr>
          <w:p w14:paraId="22A03971" w14:textId="77777777" w:rsidR="00F72043" w:rsidRPr="001C3654" w:rsidRDefault="00F72043" w:rsidP="002934EB">
            <w:pPr>
              <w:spacing w:after="120" w:line="276" w:lineRule="auto"/>
              <w:rPr>
                <w:rFonts w:cstheme="minorHAnsi"/>
              </w:rPr>
            </w:pPr>
            <w:r w:rsidRPr="001C3654">
              <w:rPr>
                <w:rFonts w:cstheme="minorHAnsi"/>
              </w:rPr>
              <w:t>2010</w:t>
            </w:r>
          </w:p>
        </w:tc>
        <w:tc>
          <w:tcPr>
            <w:tcW w:w="6946" w:type="dxa"/>
          </w:tcPr>
          <w:p w14:paraId="77C8696E" w14:textId="77777777" w:rsidR="00F72043" w:rsidRPr="001C3654" w:rsidRDefault="00F72043" w:rsidP="002934EB">
            <w:pPr>
              <w:spacing w:after="120" w:line="276" w:lineRule="auto"/>
              <w:rPr>
                <w:rFonts w:cstheme="minorHAnsi"/>
              </w:rPr>
            </w:pPr>
            <w:r w:rsidRPr="001C3654">
              <w:rPr>
                <w:rFonts w:cstheme="minorHAnsi"/>
              </w:rPr>
              <w:t>6-monthly reflections started</w:t>
            </w:r>
            <w:r w:rsidR="00B511A7" w:rsidRPr="001C3654">
              <w:rPr>
                <w:rFonts w:cstheme="minorHAnsi"/>
              </w:rPr>
              <w:t xml:space="preserve"> as part of MEL</w:t>
            </w:r>
          </w:p>
        </w:tc>
      </w:tr>
      <w:tr w:rsidR="00F72043" w:rsidRPr="002721D1" w14:paraId="00EA8FFF" w14:textId="77777777" w:rsidTr="002934EB">
        <w:tc>
          <w:tcPr>
            <w:tcW w:w="2660" w:type="dxa"/>
          </w:tcPr>
          <w:p w14:paraId="2F35CCD1" w14:textId="77777777" w:rsidR="00F72043" w:rsidRPr="001C3654" w:rsidRDefault="00F72043" w:rsidP="002934EB">
            <w:pPr>
              <w:spacing w:after="120" w:line="276" w:lineRule="auto"/>
              <w:rPr>
                <w:rFonts w:cstheme="minorHAnsi"/>
              </w:rPr>
            </w:pPr>
            <w:r w:rsidRPr="001C3654">
              <w:rPr>
                <w:rFonts w:cstheme="minorHAnsi"/>
              </w:rPr>
              <w:t xml:space="preserve">Early – mid 2010 </w:t>
            </w:r>
          </w:p>
        </w:tc>
        <w:tc>
          <w:tcPr>
            <w:tcW w:w="6946" w:type="dxa"/>
          </w:tcPr>
          <w:p w14:paraId="3DFF2992" w14:textId="77777777" w:rsidR="00F72043" w:rsidRPr="001C3654" w:rsidRDefault="00F72043" w:rsidP="002934EB">
            <w:pPr>
              <w:spacing w:after="120" w:line="276" w:lineRule="auto"/>
              <w:rPr>
                <w:rFonts w:cstheme="minorHAnsi"/>
              </w:rPr>
            </w:pPr>
            <w:r w:rsidRPr="001C3654">
              <w:rPr>
                <w:rFonts w:cstheme="minorHAnsi"/>
              </w:rPr>
              <w:t>Commencement of count</w:t>
            </w:r>
            <w:r w:rsidR="00B511A7" w:rsidRPr="001C3654">
              <w:rPr>
                <w:rFonts w:cstheme="minorHAnsi"/>
              </w:rPr>
              <w:t>ry program/</w:t>
            </w:r>
            <w:r w:rsidRPr="001C3654">
              <w:rPr>
                <w:rFonts w:cstheme="minorHAnsi"/>
              </w:rPr>
              <w:t xml:space="preserve">partnerships in Tonga and </w:t>
            </w:r>
            <w:r w:rsidR="00B511A7" w:rsidRPr="001C3654">
              <w:rPr>
                <w:rFonts w:cstheme="minorHAnsi"/>
              </w:rPr>
              <w:t>Vanuatu</w:t>
            </w:r>
          </w:p>
        </w:tc>
      </w:tr>
      <w:tr w:rsidR="00F72043" w:rsidRPr="002721D1" w14:paraId="3EEAC379" w14:textId="77777777" w:rsidTr="002934EB">
        <w:tc>
          <w:tcPr>
            <w:tcW w:w="2660" w:type="dxa"/>
          </w:tcPr>
          <w:p w14:paraId="41A2E7D4" w14:textId="77777777" w:rsidR="00F72043" w:rsidRPr="001C3654" w:rsidRDefault="00F72043" w:rsidP="002934EB">
            <w:pPr>
              <w:spacing w:after="120" w:line="276" w:lineRule="auto"/>
              <w:rPr>
                <w:rFonts w:cstheme="minorHAnsi"/>
              </w:rPr>
            </w:pPr>
            <w:r w:rsidRPr="001C3654">
              <w:rPr>
                <w:rFonts w:cstheme="minorHAnsi"/>
              </w:rPr>
              <w:t>June 2012</w:t>
            </w:r>
          </w:p>
        </w:tc>
        <w:tc>
          <w:tcPr>
            <w:tcW w:w="6946" w:type="dxa"/>
          </w:tcPr>
          <w:p w14:paraId="21A480B7" w14:textId="77777777" w:rsidR="00F72043" w:rsidRPr="001C3654" w:rsidRDefault="00F72043" w:rsidP="002934EB">
            <w:pPr>
              <w:spacing w:after="120" w:line="276" w:lineRule="auto"/>
              <w:rPr>
                <w:rFonts w:cstheme="minorHAnsi"/>
              </w:rPr>
            </w:pPr>
            <w:r w:rsidRPr="001C3654">
              <w:rPr>
                <w:rFonts w:cstheme="minorHAnsi"/>
              </w:rPr>
              <w:t>Independent Progress Review</w:t>
            </w:r>
          </w:p>
        </w:tc>
      </w:tr>
      <w:tr w:rsidR="00F72043" w:rsidRPr="002721D1" w14:paraId="4BF5437F" w14:textId="77777777" w:rsidTr="002934EB">
        <w:tc>
          <w:tcPr>
            <w:tcW w:w="2660" w:type="dxa"/>
          </w:tcPr>
          <w:p w14:paraId="4F59CE60" w14:textId="77777777" w:rsidR="00F72043" w:rsidRPr="001C3654" w:rsidRDefault="00F72043" w:rsidP="002934EB">
            <w:pPr>
              <w:spacing w:after="120" w:line="276" w:lineRule="auto"/>
              <w:rPr>
                <w:rFonts w:cstheme="minorHAnsi"/>
              </w:rPr>
            </w:pPr>
            <w:r w:rsidRPr="001C3654">
              <w:rPr>
                <w:rFonts w:cstheme="minorHAnsi"/>
              </w:rPr>
              <w:t>September 2012 to early 2013</w:t>
            </w:r>
          </w:p>
        </w:tc>
        <w:tc>
          <w:tcPr>
            <w:tcW w:w="6946" w:type="dxa"/>
          </w:tcPr>
          <w:p w14:paraId="434F1569" w14:textId="77777777" w:rsidR="00F72043" w:rsidRPr="001C3654" w:rsidRDefault="00F72043" w:rsidP="002934EB">
            <w:pPr>
              <w:spacing w:after="120" w:line="276" w:lineRule="auto"/>
              <w:rPr>
                <w:rFonts w:cstheme="minorHAnsi"/>
              </w:rPr>
            </w:pPr>
            <w:r w:rsidRPr="001C3654">
              <w:rPr>
                <w:rFonts w:cstheme="minorHAnsi"/>
              </w:rPr>
              <w:t xml:space="preserve">Initial design process for Phase 3 (with field work, Design Document completed and initial appraisal) </w:t>
            </w:r>
          </w:p>
        </w:tc>
      </w:tr>
      <w:tr w:rsidR="00F72043" w:rsidRPr="002721D1" w14:paraId="1D12150F" w14:textId="77777777" w:rsidTr="002934EB">
        <w:tc>
          <w:tcPr>
            <w:tcW w:w="2660" w:type="dxa"/>
          </w:tcPr>
          <w:p w14:paraId="1B2B3DA0" w14:textId="77777777" w:rsidR="00F72043" w:rsidRPr="001C3654" w:rsidRDefault="00F72043" w:rsidP="002934EB">
            <w:pPr>
              <w:spacing w:after="120" w:line="276" w:lineRule="auto"/>
              <w:rPr>
                <w:rFonts w:cstheme="minorHAnsi"/>
              </w:rPr>
            </w:pPr>
            <w:r w:rsidRPr="001C3654">
              <w:rPr>
                <w:rFonts w:cstheme="minorHAnsi"/>
              </w:rPr>
              <w:t>Late 2013</w:t>
            </w:r>
          </w:p>
        </w:tc>
        <w:tc>
          <w:tcPr>
            <w:tcW w:w="6946" w:type="dxa"/>
          </w:tcPr>
          <w:p w14:paraId="64E7D879" w14:textId="77777777" w:rsidR="00F72043" w:rsidRPr="001C3654" w:rsidRDefault="00F72043" w:rsidP="002934EB">
            <w:pPr>
              <w:spacing w:after="120" w:line="276" w:lineRule="auto"/>
              <w:rPr>
                <w:rFonts w:cstheme="minorHAnsi"/>
              </w:rPr>
            </w:pPr>
            <w:r w:rsidRPr="001C3654">
              <w:rPr>
                <w:rFonts w:cstheme="minorHAnsi"/>
              </w:rPr>
              <w:t>Merger of AusAID and DFAT</w:t>
            </w:r>
          </w:p>
          <w:p w14:paraId="2D688063" w14:textId="77777777" w:rsidR="00F72043" w:rsidRPr="001C3654" w:rsidRDefault="00F72043" w:rsidP="002934EB">
            <w:pPr>
              <w:spacing w:after="120" w:line="276" w:lineRule="auto"/>
              <w:rPr>
                <w:rFonts w:cstheme="minorHAnsi"/>
              </w:rPr>
            </w:pPr>
            <w:r w:rsidRPr="001C3654">
              <w:rPr>
                <w:rFonts w:cstheme="minorHAnsi"/>
              </w:rPr>
              <w:t>Placement of AusAID/DFAT officers in Regional Program Director and Regional Program Manager roles ceased</w:t>
            </w:r>
          </w:p>
        </w:tc>
      </w:tr>
      <w:tr w:rsidR="00F72043" w:rsidRPr="002721D1" w14:paraId="123F423D" w14:textId="77777777" w:rsidTr="002934EB">
        <w:tc>
          <w:tcPr>
            <w:tcW w:w="2660" w:type="dxa"/>
          </w:tcPr>
          <w:p w14:paraId="59BE91AD" w14:textId="77777777" w:rsidR="00F72043" w:rsidRPr="001C3654" w:rsidRDefault="00F72043" w:rsidP="002934EB">
            <w:pPr>
              <w:spacing w:after="120" w:line="276" w:lineRule="auto"/>
              <w:rPr>
                <w:rFonts w:cstheme="minorHAnsi"/>
              </w:rPr>
            </w:pPr>
            <w:r w:rsidRPr="001C3654">
              <w:rPr>
                <w:rFonts w:cstheme="minorHAnsi"/>
              </w:rPr>
              <w:t>Early 2013 to early 2014</w:t>
            </w:r>
          </w:p>
        </w:tc>
        <w:tc>
          <w:tcPr>
            <w:tcW w:w="6946" w:type="dxa"/>
          </w:tcPr>
          <w:p w14:paraId="7EE780A5" w14:textId="77777777" w:rsidR="00F72043" w:rsidRPr="001C3654" w:rsidRDefault="00F72043" w:rsidP="002934EB">
            <w:pPr>
              <w:spacing w:after="120" w:line="276" w:lineRule="auto"/>
              <w:rPr>
                <w:rFonts w:cstheme="minorHAnsi"/>
              </w:rPr>
            </w:pPr>
            <w:r w:rsidRPr="001C3654">
              <w:rPr>
                <w:rFonts w:cstheme="minorHAnsi"/>
              </w:rPr>
              <w:t xml:space="preserve">In-house revision of the Design Document </w:t>
            </w:r>
          </w:p>
        </w:tc>
      </w:tr>
      <w:tr w:rsidR="00F72043" w:rsidRPr="002721D1" w14:paraId="11CD861E" w14:textId="77777777" w:rsidTr="002934EB">
        <w:tc>
          <w:tcPr>
            <w:tcW w:w="2660" w:type="dxa"/>
          </w:tcPr>
          <w:p w14:paraId="1FDCE139" w14:textId="77777777" w:rsidR="00F72043" w:rsidRPr="001C3654" w:rsidRDefault="00F72043" w:rsidP="002934EB">
            <w:pPr>
              <w:spacing w:after="120" w:line="276" w:lineRule="auto"/>
              <w:rPr>
                <w:rFonts w:cstheme="minorHAnsi"/>
              </w:rPr>
            </w:pPr>
            <w:r w:rsidRPr="001C3654">
              <w:rPr>
                <w:rFonts w:cstheme="minorHAnsi"/>
              </w:rPr>
              <w:t>March – April 2014</w:t>
            </w:r>
          </w:p>
        </w:tc>
        <w:tc>
          <w:tcPr>
            <w:tcW w:w="6946" w:type="dxa"/>
          </w:tcPr>
          <w:p w14:paraId="77B910FC" w14:textId="77777777" w:rsidR="00F72043" w:rsidRPr="001C3654" w:rsidRDefault="00F72043" w:rsidP="002934EB">
            <w:pPr>
              <w:spacing w:after="120" w:line="276" w:lineRule="auto"/>
              <w:rPr>
                <w:rFonts w:cstheme="minorHAnsi"/>
              </w:rPr>
            </w:pPr>
            <w:r w:rsidRPr="001C3654">
              <w:rPr>
                <w:rFonts w:cstheme="minorHAnsi"/>
              </w:rPr>
              <w:t>Contracting process for Phase 3</w:t>
            </w:r>
          </w:p>
        </w:tc>
      </w:tr>
      <w:tr w:rsidR="00F72043" w:rsidRPr="002721D1" w14:paraId="27E48357" w14:textId="77777777" w:rsidTr="002934EB">
        <w:tc>
          <w:tcPr>
            <w:tcW w:w="2660" w:type="dxa"/>
          </w:tcPr>
          <w:p w14:paraId="149ED609" w14:textId="77777777" w:rsidR="00F72043" w:rsidRPr="001C3654" w:rsidRDefault="00F72043" w:rsidP="002934EB">
            <w:pPr>
              <w:spacing w:after="120" w:line="276" w:lineRule="auto"/>
              <w:rPr>
                <w:rFonts w:cstheme="minorHAnsi"/>
              </w:rPr>
            </w:pPr>
            <w:r w:rsidRPr="001C3654">
              <w:rPr>
                <w:rFonts w:cstheme="minorHAnsi"/>
              </w:rPr>
              <w:t>30 June 2014</w:t>
            </w:r>
          </w:p>
        </w:tc>
        <w:tc>
          <w:tcPr>
            <w:tcW w:w="6946" w:type="dxa"/>
          </w:tcPr>
          <w:p w14:paraId="2C85E665" w14:textId="77777777" w:rsidR="00F72043" w:rsidRPr="001C3654" w:rsidRDefault="00F72043" w:rsidP="002934EB">
            <w:pPr>
              <w:spacing w:after="120" w:line="276" w:lineRule="auto"/>
              <w:rPr>
                <w:rFonts w:cstheme="minorHAnsi"/>
              </w:rPr>
            </w:pPr>
            <w:r w:rsidRPr="001C3654">
              <w:rPr>
                <w:rFonts w:cstheme="minorHAnsi"/>
              </w:rPr>
              <w:t>Phase 2 finished</w:t>
            </w:r>
          </w:p>
        </w:tc>
      </w:tr>
      <w:tr w:rsidR="00F72043" w:rsidRPr="002721D1" w14:paraId="7B581CCA" w14:textId="77777777" w:rsidTr="002934EB">
        <w:tc>
          <w:tcPr>
            <w:tcW w:w="2660" w:type="dxa"/>
          </w:tcPr>
          <w:p w14:paraId="048F617F" w14:textId="77777777" w:rsidR="00F72043" w:rsidRPr="001C3654" w:rsidRDefault="00F72043" w:rsidP="002934EB">
            <w:pPr>
              <w:spacing w:after="120" w:line="276" w:lineRule="auto"/>
              <w:rPr>
                <w:rFonts w:cstheme="minorHAnsi"/>
              </w:rPr>
            </w:pPr>
            <w:r w:rsidRPr="001C3654">
              <w:rPr>
                <w:rFonts w:cstheme="minorHAnsi"/>
              </w:rPr>
              <w:t>1 July 2014</w:t>
            </w:r>
          </w:p>
        </w:tc>
        <w:tc>
          <w:tcPr>
            <w:tcW w:w="6946" w:type="dxa"/>
          </w:tcPr>
          <w:p w14:paraId="0B9C0428" w14:textId="77777777" w:rsidR="00F72043" w:rsidRPr="001C3654" w:rsidRDefault="00F72043" w:rsidP="002934EB">
            <w:pPr>
              <w:spacing w:after="120" w:line="276" w:lineRule="auto"/>
              <w:rPr>
                <w:rFonts w:cstheme="minorHAnsi"/>
              </w:rPr>
            </w:pPr>
            <w:r w:rsidRPr="001C3654">
              <w:rPr>
                <w:rFonts w:cstheme="minorHAnsi"/>
              </w:rPr>
              <w:t>Phase 3 commenced</w:t>
            </w:r>
          </w:p>
        </w:tc>
      </w:tr>
      <w:tr w:rsidR="00F72043" w:rsidRPr="002721D1" w14:paraId="7295E0A4" w14:textId="77777777" w:rsidTr="002934EB">
        <w:tc>
          <w:tcPr>
            <w:tcW w:w="2660" w:type="dxa"/>
          </w:tcPr>
          <w:p w14:paraId="7E555C4D" w14:textId="77777777" w:rsidR="00F72043" w:rsidRPr="001C3654" w:rsidRDefault="00F72043" w:rsidP="002934EB">
            <w:pPr>
              <w:spacing w:after="120" w:line="276" w:lineRule="auto"/>
              <w:rPr>
                <w:rFonts w:cstheme="minorHAnsi"/>
              </w:rPr>
            </w:pPr>
            <w:r w:rsidRPr="001C3654">
              <w:rPr>
                <w:rFonts w:cstheme="minorHAnsi"/>
              </w:rPr>
              <w:t>31 December 2017</w:t>
            </w:r>
          </w:p>
        </w:tc>
        <w:tc>
          <w:tcPr>
            <w:tcW w:w="6946" w:type="dxa"/>
          </w:tcPr>
          <w:p w14:paraId="2BC2FDF8" w14:textId="77777777" w:rsidR="00F72043" w:rsidRPr="001C3654" w:rsidRDefault="00B511A7" w:rsidP="002934EB">
            <w:pPr>
              <w:spacing w:after="120" w:line="276" w:lineRule="auto"/>
              <w:rPr>
                <w:rFonts w:cstheme="minorHAnsi"/>
              </w:rPr>
            </w:pPr>
            <w:r w:rsidRPr="001C3654">
              <w:rPr>
                <w:rFonts w:cstheme="minorHAnsi"/>
              </w:rPr>
              <w:t>Phase 3 contract extension concludes.</w:t>
            </w:r>
          </w:p>
        </w:tc>
      </w:tr>
    </w:tbl>
    <w:p w14:paraId="7AD7F3B4" w14:textId="77777777" w:rsidR="00EE2664" w:rsidRDefault="00EE2664" w:rsidP="001B100D">
      <w:pPr>
        <w:pStyle w:val="Heading2"/>
        <w:numPr>
          <w:ilvl w:val="0"/>
          <w:numId w:val="0"/>
        </w:numPr>
        <w:ind w:left="432" w:hanging="432"/>
        <w:sectPr w:rsidR="00EE2664" w:rsidSect="001B100D">
          <w:pgSz w:w="11906" w:h="16838"/>
          <w:pgMar w:top="1440" w:right="1440" w:bottom="1440" w:left="1440" w:header="708" w:footer="708" w:gutter="0"/>
          <w:cols w:space="708"/>
          <w:docGrid w:linePitch="360"/>
        </w:sectPr>
      </w:pPr>
    </w:p>
    <w:p w14:paraId="49AD319B" w14:textId="77777777" w:rsidR="001B100D" w:rsidRDefault="001B100D" w:rsidP="00255C32">
      <w:pPr>
        <w:pStyle w:val="Heading2"/>
        <w:numPr>
          <w:ilvl w:val="0"/>
          <w:numId w:val="0"/>
        </w:numPr>
        <w:spacing w:before="240" w:after="120"/>
        <w:ind w:left="431" w:hanging="431"/>
        <w:jc w:val="left"/>
      </w:pPr>
      <w:bookmarkStart w:id="60" w:name="_Toc486247222"/>
      <w:r>
        <w:t xml:space="preserve">Annex </w:t>
      </w:r>
      <w:r w:rsidR="00BC051C">
        <w:t>5</w:t>
      </w:r>
      <w:r>
        <w:t>: List of Greg Urwin Awardees</w:t>
      </w:r>
      <w:bookmarkEnd w:id="60"/>
    </w:p>
    <w:tbl>
      <w:tblPr>
        <w:tblStyle w:val="TableGrid"/>
        <w:tblpPr w:leftFromText="180" w:rightFromText="180" w:vertAnchor="page" w:horzAnchor="margin" w:tblpY="3451"/>
        <w:tblW w:w="0" w:type="auto"/>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single" w:sz="2" w:space="0" w:color="595959" w:themeColor="text1" w:themeTint="A6"/>
        </w:tblBorders>
        <w:tblLook w:val="04A0" w:firstRow="1" w:lastRow="0" w:firstColumn="1" w:lastColumn="0" w:noHBand="0" w:noVBand="1"/>
      </w:tblPr>
      <w:tblGrid>
        <w:gridCol w:w="2854"/>
        <w:gridCol w:w="2599"/>
        <w:gridCol w:w="2411"/>
        <w:gridCol w:w="2686"/>
        <w:gridCol w:w="3624"/>
      </w:tblGrid>
      <w:tr w:rsidR="00EE2664" w:rsidRPr="00F90422" w14:paraId="7161FB2D" w14:textId="77777777" w:rsidTr="009D44E3">
        <w:trPr>
          <w:tblHeader/>
        </w:trPr>
        <w:tc>
          <w:tcPr>
            <w:tcW w:w="2854" w:type="dxa"/>
          </w:tcPr>
          <w:p w14:paraId="1454F2D5" w14:textId="77777777" w:rsidR="00EE2664" w:rsidRPr="00BE5321" w:rsidRDefault="00EE2664" w:rsidP="00255C32">
            <w:pPr>
              <w:pStyle w:val="NormalWeb"/>
              <w:spacing w:before="40" w:afterAutospacing="0" w:line="200" w:lineRule="atLeast"/>
              <w:jc w:val="left"/>
              <w:rPr>
                <w:rStyle w:val="Strong"/>
                <w:rFonts w:asciiTheme="minorHAnsi" w:hAnsiTheme="minorHAnsi"/>
                <w:color w:val="4F81BD" w:themeColor="accent1"/>
              </w:rPr>
            </w:pPr>
            <w:r w:rsidRPr="00BE5321">
              <w:rPr>
                <w:rStyle w:val="Strong"/>
                <w:rFonts w:asciiTheme="minorHAnsi" w:hAnsiTheme="minorHAnsi"/>
                <w:color w:val="4F81BD" w:themeColor="accent1"/>
              </w:rPr>
              <w:t>Recipient/Year</w:t>
            </w:r>
          </w:p>
        </w:tc>
        <w:tc>
          <w:tcPr>
            <w:tcW w:w="2599" w:type="dxa"/>
          </w:tcPr>
          <w:p w14:paraId="19F4A1F5" w14:textId="77777777" w:rsidR="00EE2664" w:rsidRPr="00BE5321" w:rsidRDefault="00EE2664" w:rsidP="00255C32">
            <w:pPr>
              <w:pStyle w:val="NormalWeb"/>
              <w:spacing w:before="40" w:afterAutospacing="0" w:line="200" w:lineRule="atLeast"/>
              <w:jc w:val="left"/>
              <w:rPr>
                <w:rStyle w:val="Strong"/>
                <w:rFonts w:asciiTheme="minorHAnsi" w:hAnsiTheme="minorHAnsi"/>
                <w:color w:val="4F81BD" w:themeColor="accent1"/>
              </w:rPr>
            </w:pPr>
            <w:r w:rsidRPr="00BE5321">
              <w:rPr>
                <w:rStyle w:val="Strong"/>
                <w:rFonts w:asciiTheme="minorHAnsi" w:hAnsiTheme="minorHAnsi"/>
                <w:color w:val="4F81BD" w:themeColor="accent1"/>
              </w:rPr>
              <w:t>Country of Origin</w:t>
            </w:r>
          </w:p>
        </w:tc>
        <w:tc>
          <w:tcPr>
            <w:tcW w:w="2411" w:type="dxa"/>
          </w:tcPr>
          <w:p w14:paraId="58F5FFE8" w14:textId="77777777" w:rsidR="00EE2664" w:rsidRPr="00BE5321" w:rsidRDefault="00EE2664" w:rsidP="00255C32">
            <w:pPr>
              <w:pStyle w:val="NormalWeb"/>
              <w:spacing w:before="40" w:afterAutospacing="0" w:line="200" w:lineRule="atLeast"/>
              <w:jc w:val="left"/>
              <w:rPr>
                <w:rStyle w:val="Strong"/>
                <w:rFonts w:asciiTheme="minorHAnsi" w:hAnsiTheme="minorHAnsi"/>
                <w:color w:val="4F81BD" w:themeColor="accent1"/>
              </w:rPr>
            </w:pPr>
            <w:r w:rsidRPr="00BE5321">
              <w:rPr>
                <w:rStyle w:val="Strong"/>
                <w:rFonts w:asciiTheme="minorHAnsi" w:hAnsiTheme="minorHAnsi"/>
                <w:color w:val="4F81BD" w:themeColor="accent1"/>
              </w:rPr>
              <w:t>Placement</w:t>
            </w:r>
            <w:r>
              <w:rPr>
                <w:rStyle w:val="Strong"/>
                <w:rFonts w:asciiTheme="minorHAnsi" w:hAnsiTheme="minorHAnsi"/>
                <w:color w:val="4F81BD" w:themeColor="accent1"/>
              </w:rPr>
              <w:t xml:space="preserve"> Focus</w:t>
            </w:r>
          </w:p>
        </w:tc>
        <w:tc>
          <w:tcPr>
            <w:tcW w:w="2686" w:type="dxa"/>
          </w:tcPr>
          <w:p w14:paraId="70674131" w14:textId="77777777" w:rsidR="00EE2664" w:rsidRPr="00BE5321" w:rsidRDefault="00EE2664" w:rsidP="00255C32">
            <w:pPr>
              <w:pStyle w:val="NormalWeb"/>
              <w:spacing w:before="40" w:afterAutospacing="0" w:line="200" w:lineRule="atLeast"/>
              <w:jc w:val="left"/>
              <w:rPr>
                <w:rStyle w:val="Strong"/>
                <w:rFonts w:asciiTheme="minorHAnsi" w:hAnsiTheme="minorHAnsi"/>
                <w:color w:val="4F81BD" w:themeColor="accent1"/>
              </w:rPr>
            </w:pPr>
            <w:r>
              <w:rPr>
                <w:rStyle w:val="Strong"/>
                <w:rFonts w:asciiTheme="minorHAnsi" w:hAnsiTheme="minorHAnsi"/>
                <w:color w:val="4F81BD" w:themeColor="accent1"/>
              </w:rPr>
              <w:t>Host Organisation</w:t>
            </w:r>
          </w:p>
        </w:tc>
        <w:tc>
          <w:tcPr>
            <w:tcW w:w="3624" w:type="dxa"/>
          </w:tcPr>
          <w:p w14:paraId="443CF3CE" w14:textId="77777777" w:rsidR="00EE2664" w:rsidRPr="00BE5321" w:rsidRDefault="00EE2664" w:rsidP="00255C32">
            <w:pPr>
              <w:pStyle w:val="NormalWeb"/>
              <w:spacing w:before="40" w:afterAutospacing="0" w:line="200" w:lineRule="atLeast"/>
              <w:jc w:val="left"/>
              <w:rPr>
                <w:rStyle w:val="Strong"/>
                <w:rFonts w:asciiTheme="minorHAnsi" w:hAnsiTheme="minorHAnsi"/>
                <w:color w:val="4F81BD" w:themeColor="accent1"/>
              </w:rPr>
            </w:pPr>
            <w:r w:rsidRPr="00BE5321">
              <w:rPr>
                <w:rStyle w:val="Strong"/>
                <w:rFonts w:asciiTheme="minorHAnsi" w:hAnsiTheme="minorHAnsi"/>
                <w:color w:val="4F81BD" w:themeColor="accent1"/>
              </w:rPr>
              <w:t>Current Location</w:t>
            </w:r>
          </w:p>
        </w:tc>
      </w:tr>
      <w:tr w:rsidR="00EE2664" w:rsidRPr="00F90422" w14:paraId="458F1CC8" w14:textId="77777777" w:rsidTr="009D44E3">
        <w:trPr>
          <w:tblHeader/>
        </w:trPr>
        <w:tc>
          <w:tcPr>
            <w:tcW w:w="2854" w:type="dxa"/>
          </w:tcPr>
          <w:p w14:paraId="56EDE947" w14:textId="77777777" w:rsidR="00EE2664" w:rsidRPr="00F90422" w:rsidRDefault="00EE2664" w:rsidP="00255C32">
            <w:pPr>
              <w:pStyle w:val="NormalWeb"/>
              <w:spacing w:before="0" w:afterAutospacing="0" w:line="200" w:lineRule="atLeast"/>
              <w:jc w:val="left"/>
              <w:rPr>
                <w:rStyle w:val="Strong"/>
                <w:rFonts w:asciiTheme="minorHAnsi" w:hAnsiTheme="minorHAnsi"/>
              </w:rPr>
            </w:pPr>
            <w:r w:rsidRPr="00F90422">
              <w:rPr>
                <w:rStyle w:val="Strong"/>
                <w:rFonts w:asciiTheme="minorHAnsi" w:hAnsiTheme="minorHAnsi"/>
              </w:rPr>
              <w:t>201</w:t>
            </w:r>
            <w:r>
              <w:rPr>
                <w:rStyle w:val="Strong"/>
                <w:rFonts w:asciiTheme="minorHAnsi" w:hAnsiTheme="minorHAnsi"/>
              </w:rPr>
              <w:t>6</w:t>
            </w:r>
            <w:r w:rsidRPr="00F90422">
              <w:rPr>
                <w:rStyle w:val="Strong"/>
                <w:rFonts w:asciiTheme="minorHAnsi" w:hAnsiTheme="minorHAnsi"/>
              </w:rPr>
              <w:t>-201</w:t>
            </w:r>
            <w:r>
              <w:rPr>
                <w:rStyle w:val="Strong"/>
                <w:rFonts w:asciiTheme="minorHAnsi" w:hAnsiTheme="minorHAnsi"/>
              </w:rPr>
              <w:t>7</w:t>
            </w:r>
          </w:p>
        </w:tc>
        <w:tc>
          <w:tcPr>
            <w:tcW w:w="2599" w:type="dxa"/>
          </w:tcPr>
          <w:p w14:paraId="001B336C" w14:textId="77777777" w:rsidR="00EE2664" w:rsidRPr="00F90422" w:rsidRDefault="00EE2664" w:rsidP="00255C32">
            <w:pPr>
              <w:pStyle w:val="NormalWeb"/>
              <w:spacing w:before="0" w:afterAutospacing="0" w:line="200" w:lineRule="atLeast"/>
              <w:jc w:val="left"/>
              <w:rPr>
                <w:rStyle w:val="Strong"/>
                <w:rFonts w:asciiTheme="minorHAnsi" w:hAnsiTheme="minorHAnsi"/>
              </w:rPr>
            </w:pPr>
          </w:p>
        </w:tc>
        <w:tc>
          <w:tcPr>
            <w:tcW w:w="2411" w:type="dxa"/>
          </w:tcPr>
          <w:p w14:paraId="2E90558E" w14:textId="77777777" w:rsidR="00EE2664" w:rsidRPr="00F90422" w:rsidRDefault="00EE2664" w:rsidP="00255C32">
            <w:pPr>
              <w:pStyle w:val="NormalWeb"/>
              <w:spacing w:before="0" w:afterAutospacing="0" w:line="200" w:lineRule="atLeast"/>
              <w:jc w:val="left"/>
              <w:rPr>
                <w:rStyle w:val="Strong"/>
                <w:rFonts w:asciiTheme="minorHAnsi" w:hAnsiTheme="minorHAnsi"/>
              </w:rPr>
            </w:pPr>
          </w:p>
        </w:tc>
        <w:tc>
          <w:tcPr>
            <w:tcW w:w="2686" w:type="dxa"/>
          </w:tcPr>
          <w:p w14:paraId="722EFF94" w14:textId="77777777" w:rsidR="00EE2664" w:rsidRPr="00F90422" w:rsidRDefault="00EE2664" w:rsidP="00255C32">
            <w:pPr>
              <w:pStyle w:val="NormalWeb"/>
              <w:spacing w:before="0" w:afterAutospacing="0" w:line="200" w:lineRule="atLeast"/>
              <w:jc w:val="left"/>
              <w:rPr>
                <w:rStyle w:val="Strong"/>
                <w:rFonts w:asciiTheme="minorHAnsi" w:hAnsiTheme="minorHAnsi"/>
              </w:rPr>
            </w:pPr>
          </w:p>
        </w:tc>
        <w:tc>
          <w:tcPr>
            <w:tcW w:w="3624" w:type="dxa"/>
          </w:tcPr>
          <w:p w14:paraId="100FB493" w14:textId="77777777" w:rsidR="00EE2664" w:rsidRPr="00F90422" w:rsidRDefault="00EE2664" w:rsidP="00255C32">
            <w:pPr>
              <w:pStyle w:val="NormalWeb"/>
              <w:spacing w:before="0" w:afterAutospacing="0" w:line="200" w:lineRule="atLeast"/>
              <w:jc w:val="left"/>
              <w:rPr>
                <w:rStyle w:val="Strong"/>
                <w:rFonts w:asciiTheme="minorHAnsi" w:hAnsiTheme="minorHAnsi"/>
              </w:rPr>
            </w:pPr>
          </w:p>
        </w:tc>
      </w:tr>
      <w:tr w:rsidR="00EE2664" w:rsidRPr="00F90422" w14:paraId="2083D7E5" w14:textId="77777777" w:rsidTr="009D44E3">
        <w:trPr>
          <w:tblHeader/>
        </w:trPr>
        <w:tc>
          <w:tcPr>
            <w:tcW w:w="2854" w:type="dxa"/>
          </w:tcPr>
          <w:p w14:paraId="1E4FF309" w14:textId="77777777" w:rsidR="00EE2664" w:rsidRPr="00255C32" w:rsidRDefault="00EE2664" w:rsidP="00255C32">
            <w:pPr>
              <w:pStyle w:val="NormalWeb"/>
              <w:spacing w:before="0" w:afterAutospacing="0" w:line="200" w:lineRule="atLeast"/>
              <w:jc w:val="left"/>
              <w:rPr>
                <w:rStyle w:val="Strong"/>
                <w:rFonts w:asciiTheme="minorHAnsi" w:hAnsiTheme="minorHAnsi"/>
                <w:b w:val="0"/>
              </w:rPr>
            </w:pPr>
            <w:r w:rsidRPr="00255C32">
              <w:rPr>
                <w:rStyle w:val="Strong"/>
                <w:rFonts w:asciiTheme="minorHAnsi" w:hAnsiTheme="minorHAnsi"/>
                <w:b w:val="0"/>
              </w:rPr>
              <w:t>Ms. Etivina Lovo</w:t>
            </w:r>
          </w:p>
        </w:tc>
        <w:tc>
          <w:tcPr>
            <w:tcW w:w="2599" w:type="dxa"/>
          </w:tcPr>
          <w:p w14:paraId="7C2B5398" w14:textId="77777777" w:rsidR="00EE2664" w:rsidRPr="00337E1A" w:rsidRDefault="00EE2664" w:rsidP="00255C32">
            <w:pPr>
              <w:pStyle w:val="NormalWeb"/>
              <w:spacing w:before="0" w:afterAutospacing="0" w:line="200" w:lineRule="atLeast"/>
              <w:jc w:val="left"/>
              <w:rPr>
                <w:rStyle w:val="Strong"/>
                <w:rFonts w:asciiTheme="minorHAnsi" w:hAnsiTheme="minorHAnsi"/>
                <w:b w:val="0"/>
              </w:rPr>
            </w:pPr>
            <w:r w:rsidRPr="00337E1A">
              <w:rPr>
                <w:rStyle w:val="Strong"/>
                <w:rFonts w:asciiTheme="minorHAnsi" w:hAnsiTheme="minorHAnsi"/>
                <w:b w:val="0"/>
              </w:rPr>
              <w:t>Fiji</w:t>
            </w:r>
          </w:p>
        </w:tc>
        <w:tc>
          <w:tcPr>
            <w:tcW w:w="2411" w:type="dxa"/>
          </w:tcPr>
          <w:p w14:paraId="2532D852" w14:textId="77777777" w:rsidR="00EE2664" w:rsidRPr="00337E1A" w:rsidRDefault="00EE2664" w:rsidP="00255C32">
            <w:pPr>
              <w:pStyle w:val="NormalWeb"/>
              <w:spacing w:before="0" w:afterAutospacing="0" w:line="200" w:lineRule="atLeast"/>
              <w:jc w:val="left"/>
              <w:rPr>
                <w:rStyle w:val="Strong"/>
                <w:rFonts w:asciiTheme="minorHAnsi" w:hAnsiTheme="minorHAnsi"/>
                <w:b w:val="0"/>
              </w:rPr>
            </w:pPr>
            <w:r w:rsidRPr="00337E1A">
              <w:rPr>
                <w:rStyle w:val="Strong"/>
                <w:rFonts w:asciiTheme="minorHAnsi" w:hAnsiTheme="minorHAnsi"/>
                <w:b w:val="0"/>
              </w:rPr>
              <w:t>Bioethics and Ethics in Scientific Research &amp; Practice- Curriculum Development.</w:t>
            </w:r>
          </w:p>
        </w:tc>
        <w:tc>
          <w:tcPr>
            <w:tcW w:w="2686" w:type="dxa"/>
          </w:tcPr>
          <w:p w14:paraId="2AA17D0F" w14:textId="77777777" w:rsidR="00EE2664" w:rsidRPr="00337E1A" w:rsidRDefault="00EE2664" w:rsidP="00255C32">
            <w:pPr>
              <w:pStyle w:val="NormalWeb"/>
              <w:spacing w:before="0" w:afterAutospacing="0" w:line="200" w:lineRule="atLeast"/>
              <w:jc w:val="left"/>
              <w:rPr>
                <w:rStyle w:val="Strong"/>
                <w:rFonts w:asciiTheme="minorHAnsi" w:hAnsiTheme="minorHAnsi"/>
                <w:b w:val="0"/>
              </w:rPr>
            </w:pPr>
            <w:r w:rsidRPr="00337E1A">
              <w:rPr>
                <w:rStyle w:val="Strong"/>
                <w:rFonts w:asciiTheme="minorHAnsi" w:hAnsiTheme="minorHAnsi"/>
                <w:b w:val="0"/>
              </w:rPr>
              <w:t>Anton Breinin Research Centre for Health Systems Strengthening, James Cook University, Townsville, QLD., Australia</w:t>
            </w:r>
          </w:p>
        </w:tc>
        <w:tc>
          <w:tcPr>
            <w:tcW w:w="3624" w:type="dxa"/>
          </w:tcPr>
          <w:p w14:paraId="104775EE" w14:textId="77777777" w:rsidR="00EE2664" w:rsidRPr="00337E1A" w:rsidRDefault="00EE2664" w:rsidP="00255C32">
            <w:pPr>
              <w:pStyle w:val="NormalWeb"/>
              <w:spacing w:before="0" w:afterAutospacing="0" w:line="200" w:lineRule="atLeast"/>
              <w:jc w:val="left"/>
              <w:rPr>
                <w:rStyle w:val="Strong"/>
                <w:rFonts w:asciiTheme="minorHAnsi" w:hAnsiTheme="minorHAnsi"/>
                <w:b w:val="0"/>
              </w:rPr>
            </w:pPr>
            <w:r w:rsidRPr="00337E1A">
              <w:rPr>
                <w:rStyle w:val="Strong"/>
                <w:rFonts w:asciiTheme="minorHAnsi" w:hAnsiTheme="minorHAnsi"/>
                <w:b w:val="0"/>
              </w:rPr>
              <w:t>Return to Lecturer, Fiji National University</w:t>
            </w:r>
          </w:p>
        </w:tc>
      </w:tr>
      <w:tr w:rsidR="00EE2664" w:rsidRPr="00F90422" w14:paraId="62348F5D" w14:textId="77777777" w:rsidTr="009D44E3">
        <w:trPr>
          <w:tblHeader/>
        </w:trPr>
        <w:tc>
          <w:tcPr>
            <w:tcW w:w="2854" w:type="dxa"/>
          </w:tcPr>
          <w:p w14:paraId="7CFE3B03" w14:textId="77777777" w:rsidR="00EE2664" w:rsidRPr="00255C32" w:rsidRDefault="00EE2664" w:rsidP="00255C32">
            <w:pPr>
              <w:pStyle w:val="NormalWeb"/>
              <w:spacing w:before="0" w:afterAutospacing="0" w:line="200" w:lineRule="atLeast"/>
              <w:jc w:val="left"/>
              <w:rPr>
                <w:rStyle w:val="Strong"/>
                <w:rFonts w:asciiTheme="minorHAnsi" w:hAnsiTheme="minorHAnsi"/>
                <w:b w:val="0"/>
              </w:rPr>
            </w:pPr>
            <w:r w:rsidRPr="00255C32">
              <w:rPr>
                <w:rStyle w:val="Strong"/>
                <w:rFonts w:asciiTheme="minorHAnsi" w:hAnsiTheme="minorHAnsi"/>
                <w:b w:val="0"/>
              </w:rPr>
              <w:t>Dr. Lalotoa Mulitalo</w:t>
            </w:r>
          </w:p>
        </w:tc>
        <w:tc>
          <w:tcPr>
            <w:tcW w:w="2599" w:type="dxa"/>
          </w:tcPr>
          <w:p w14:paraId="402AE597" w14:textId="77777777" w:rsidR="00EE2664" w:rsidRPr="00337E1A" w:rsidRDefault="00EE2664" w:rsidP="00255C32">
            <w:pPr>
              <w:pStyle w:val="NormalWeb"/>
              <w:spacing w:before="0" w:afterAutospacing="0" w:line="200" w:lineRule="atLeast"/>
              <w:jc w:val="left"/>
              <w:rPr>
                <w:rStyle w:val="Strong"/>
                <w:rFonts w:asciiTheme="minorHAnsi" w:hAnsiTheme="minorHAnsi"/>
                <w:b w:val="0"/>
              </w:rPr>
            </w:pPr>
            <w:r w:rsidRPr="00337E1A">
              <w:rPr>
                <w:rStyle w:val="Strong"/>
                <w:rFonts w:asciiTheme="minorHAnsi" w:hAnsiTheme="minorHAnsi"/>
                <w:b w:val="0"/>
              </w:rPr>
              <w:t>Samoa</w:t>
            </w:r>
          </w:p>
        </w:tc>
        <w:tc>
          <w:tcPr>
            <w:tcW w:w="2411" w:type="dxa"/>
          </w:tcPr>
          <w:p w14:paraId="48B6A34D" w14:textId="77777777" w:rsidR="00EE2664" w:rsidRPr="00337E1A" w:rsidRDefault="00EE2664" w:rsidP="00255C32">
            <w:pPr>
              <w:pStyle w:val="NormalWeb"/>
              <w:spacing w:before="0" w:afterAutospacing="0" w:line="200" w:lineRule="atLeast"/>
              <w:jc w:val="left"/>
              <w:rPr>
                <w:rStyle w:val="Strong"/>
                <w:rFonts w:asciiTheme="minorHAnsi" w:hAnsiTheme="minorHAnsi"/>
                <w:b w:val="0"/>
              </w:rPr>
            </w:pPr>
            <w:r w:rsidRPr="00337E1A">
              <w:rPr>
                <w:rStyle w:val="Strong"/>
                <w:rFonts w:asciiTheme="minorHAnsi" w:hAnsiTheme="minorHAnsi"/>
                <w:b w:val="0"/>
              </w:rPr>
              <w:t>Legislative Drafting in the Pacific Islands</w:t>
            </w:r>
          </w:p>
        </w:tc>
        <w:tc>
          <w:tcPr>
            <w:tcW w:w="2686" w:type="dxa"/>
          </w:tcPr>
          <w:p w14:paraId="21A3ABD3" w14:textId="77777777" w:rsidR="00EE2664" w:rsidRPr="00337E1A" w:rsidRDefault="00EE2664" w:rsidP="00255C32">
            <w:pPr>
              <w:pStyle w:val="NormalWeb"/>
              <w:spacing w:before="0" w:afterAutospacing="0" w:line="200" w:lineRule="atLeast"/>
              <w:jc w:val="left"/>
              <w:rPr>
                <w:rStyle w:val="Strong"/>
                <w:rFonts w:asciiTheme="minorHAnsi" w:hAnsiTheme="minorHAnsi"/>
                <w:b w:val="0"/>
              </w:rPr>
            </w:pPr>
            <w:r w:rsidRPr="00337E1A">
              <w:rPr>
                <w:rStyle w:val="Strong"/>
                <w:rFonts w:asciiTheme="minorHAnsi" w:hAnsiTheme="minorHAnsi"/>
                <w:b w:val="0"/>
              </w:rPr>
              <w:t>TC Beirne School of Law, University of Queensland, Brisbane, QLD. Australia</w:t>
            </w:r>
          </w:p>
        </w:tc>
        <w:tc>
          <w:tcPr>
            <w:tcW w:w="3624" w:type="dxa"/>
          </w:tcPr>
          <w:p w14:paraId="1F0371E1" w14:textId="77777777" w:rsidR="00EE2664" w:rsidRPr="00337E1A" w:rsidRDefault="00EE2664" w:rsidP="00255C32">
            <w:pPr>
              <w:pStyle w:val="NormalWeb"/>
              <w:spacing w:before="0" w:afterAutospacing="0" w:line="200" w:lineRule="atLeast"/>
              <w:jc w:val="left"/>
              <w:rPr>
                <w:rStyle w:val="Strong"/>
                <w:rFonts w:asciiTheme="minorHAnsi" w:hAnsiTheme="minorHAnsi"/>
                <w:b w:val="0"/>
              </w:rPr>
            </w:pPr>
            <w:r w:rsidRPr="00337E1A">
              <w:rPr>
                <w:rStyle w:val="Strong"/>
                <w:rFonts w:asciiTheme="minorHAnsi" w:hAnsiTheme="minorHAnsi"/>
                <w:b w:val="0"/>
              </w:rPr>
              <w:t xml:space="preserve">Return to Legislative Office, Samoa </w:t>
            </w:r>
          </w:p>
        </w:tc>
      </w:tr>
      <w:tr w:rsidR="00EE2664" w:rsidRPr="00F90422" w14:paraId="3D3E6558" w14:textId="77777777" w:rsidTr="009D44E3">
        <w:trPr>
          <w:tblHeader/>
        </w:trPr>
        <w:tc>
          <w:tcPr>
            <w:tcW w:w="2854" w:type="dxa"/>
          </w:tcPr>
          <w:p w14:paraId="156CDFB2" w14:textId="77777777" w:rsidR="00EE2664" w:rsidRPr="00255C32" w:rsidRDefault="00EE2664" w:rsidP="00255C32">
            <w:pPr>
              <w:pStyle w:val="NormalWeb"/>
              <w:spacing w:before="0" w:afterAutospacing="0" w:line="200" w:lineRule="atLeast"/>
              <w:jc w:val="left"/>
              <w:rPr>
                <w:rStyle w:val="Strong"/>
                <w:rFonts w:asciiTheme="minorHAnsi" w:hAnsiTheme="minorHAnsi"/>
                <w:b w:val="0"/>
              </w:rPr>
            </w:pPr>
            <w:r w:rsidRPr="00255C32">
              <w:rPr>
                <w:rStyle w:val="Strong"/>
                <w:rFonts w:asciiTheme="minorHAnsi" w:hAnsiTheme="minorHAnsi"/>
                <w:b w:val="0"/>
              </w:rPr>
              <w:t>Mr. Vincent Lal</w:t>
            </w:r>
          </w:p>
        </w:tc>
        <w:tc>
          <w:tcPr>
            <w:tcW w:w="2599" w:type="dxa"/>
          </w:tcPr>
          <w:p w14:paraId="0CCE5B47" w14:textId="77777777" w:rsidR="00EE2664" w:rsidRPr="00337E1A" w:rsidRDefault="00EE2664" w:rsidP="00255C32">
            <w:pPr>
              <w:pStyle w:val="NormalWeb"/>
              <w:spacing w:before="0" w:afterAutospacing="0" w:line="200" w:lineRule="atLeast"/>
              <w:jc w:val="left"/>
              <w:rPr>
                <w:rStyle w:val="Strong"/>
                <w:rFonts w:asciiTheme="minorHAnsi" w:hAnsiTheme="minorHAnsi"/>
                <w:b w:val="0"/>
              </w:rPr>
            </w:pPr>
            <w:r w:rsidRPr="00337E1A">
              <w:rPr>
                <w:rStyle w:val="Strong"/>
                <w:rFonts w:asciiTheme="minorHAnsi" w:hAnsiTheme="minorHAnsi"/>
                <w:b w:val="0"/>
              </w:rPr>
              <w:t>Fiji</w:t>
            </w:r>
          </w:p>
        </w:tc>
        <w:tc>
          <w:tcPr>
            <w:tcW w:w="2411" w:type="dxa"/>
          </w:tcPr>
          <w:p w14:paraId="63905B54" w14:textId="77777777" w:rsidR="00EE2664" w:rsidRPr="00337E1A" w:rsidRDefault="00EE2664" w:rsidP="00255C32">
            <w:pPr>
              <w:pStyle w:val="NormalWeb"/>
              <w:spacing w:before="0" w:afterAutospacing="0" w:line="200" w:lineRule="atLeast"/>
              <w:jc w:val="left"/>
              <w:rPr>
                <w:rStyle w:val="Strong"/>
                <w:rFonts w:asciiTheme="minorHAnsi" w:hAnsiTheme="minorHAnsi"/>
                <w:b w:val="0"/>
              </w:rPr>
            </w:pPr>
            <w:r w:rsidRPr="00337E1A">
              <w:rPr>
                <w:rStyle w:val="Strong"/>
                <w:rFonts w:asciiTheme="minorHAnsi" w:hAnsiTheme="minorHAnsi"/>
                <w:b w:val="0"/>
              </w:rPr>
              <w:t>Human Health Risk Assessment &amp; research in environmental toxicology.</w:t>
            </w:r>
          </w:p>
        </w:tc>
        <w:tc>
          <w:tcPr>
            <w:tcW w:w="2686" w:type="dxa"/>
          </w:tcPr>
          <w:p w14:paraId="340C899F" w14:textId="77777777" w:rsidR="00EE2664" w:rsidRPr="00337E1A" w:rsidRDefault="00EE2664" w:rsidP="00255C32">
            <w:pPr>
              <w:pStyle w:val="NormalWeb"/>
              <w:spacing w:before="0" w:afterAutospacing="0" w:line="200" w:lineRule="atLeast"/>
              <w:jc w:val="left"/>
              <w:rPr>
                <w:rStyle w:val="Strong"/>
                <w:rFonts w:asciiTheme="minorHAnsi" w:hAnsiTheme="minorHAnsi"/>
                <w:b w:val="0"/>
              </w:rPr>
            </w:pPr>
            <w:r w:rsidRPr="00337E1A">
              <w:rPr>
                <w:rStyle w:val="Strong"/>
                <w:rFonts w:asciiTheme="minorHAnsi" w:hAnsiTheme="minorHAnsi"/>
                <w:b w:val="0"/>
              </w:rPr>
              <w:t>Queensland Alliance for Environmental Health Sciences, University of Queensland, Brisbane, QLD. Australia</w:t>
            </w:r>
          </w:p>
        </w:tc>
        <w:tc>
          <w:tcPr>
            <w:tcW w:w="3624" w:type="dxa"/>
          </w:tcPr>
          <w:p w14:paraId="60086603" w14:textId="77777777" w:rsidR="00EE2664" w:rsidRPr="00337E1A" w:rsidRDefault="00EE2664" w:rsidP="00255C32">
            <w:pPr>
              <w:pStyle w:val="NormalWeb"/>
              <w:spacing w:before="0" w:afterAutospacing="0" w:line="200" w:lineRule="atLeast"/>
              <w:jc w:val="left"/>
              <w:rPr>
                <w:rStyle w:val="Strong"/>
                <w:rFonts w:asciiTheme="minorHAnsi" w:hAnsiTheme="minorHAnsi"/>
                <w:b w:val="0"/>
              </w:rPr>
            </w:pPr>
            <w:r w:rsidRPr="00337E1A">
              <w:rPr>
                <w:rStyle w:val="Strong"/>
                <w:rFonts w:asciiTheme="minorHAnsi" w:hAnsiTheme="minorHAnsi"/>
                <w:b w:val="0"/>
              </w:rPr>
              <w:t>Completing PhD at University of Queensland, Brisbane, QLD. Australia</w:t>
            </w:r>
          </w:p>
        </w:tc>
      </w:tr>
      <w:tr w:rsidR="00EE2664" w:rsidRPr="00F90422" w14:paraId="0AB59F09" w14:textId="77777777" w:rsidTr="009D44E3">
        <w:trPr>
          <w:tblHeader/>
        </w:trPr>
        <w:tc>
          <w:tcPr>
            <w:tcW w:w="2854" w:type="dxa"/>
          </w:tcPr>
          <w:p w14:paraId="1DC2BC29" w14:textId="77777777" w:rsidR="00EE2664" w:rsidRPr="00255C32" w:rsidRDefault="00EE2664" w:rsidP="00255C32">
            <w:pPr>
              <w:pStyle w:val="NormalWeb"/>
              <w:spacing w:before="0" w:afterAutospacing="0" w:line="200" w:lineRule="atLeast"/>
              <w:jc w:val="left"/>
              <w:rPr>
                <w:rStyle w:val="Strong"/>
                <w:rFonts w:asciiTheme="minorHAnsi" w:hAnsiTheme="minorHAnsi"/>
              </w:rPr>
            </w:pPr>
            <w:r w:rsidRPr="00255C32">
              <w:rPr>
                <w:rStyle w:val="Strong"/>
                <w:rFonts w:asciiTheme="minorHAnsi" w:hAnsiTheme="minorHAnsi"/>
              </w:rPr>
              <w:t>2015-2016</w:t>
            </w:r>
          </w:p>
        </w:tc>
        <w:tc>
          <w:tcPr>
            <w:tcW w:w="2599" w:type="dxa"/>
          </w:tcPr>
          <w:p w14:paraId="52B9268B" w14:textId="77777777" w:rsidR="00EE2664" w:rsidRPr="00273724" w:rsidRDefault="00EE2664" w:rsidP="00255C32">
            <w:pPr>
              <w:pStyle w:val="NormalWeb"/>
              <w:spacing w:before="0" w:afterAutospacing="0" w:line="200" w:lineRule="atLeast"/>
              <w:jc w:val="left"/>
              <w:rPr>
                <w:rStyle w:val="Strong"/>
                <w:rFonts w:asciiTheme="minorHAnsi" w:hAnsiTheme="minorHAnsi"/>
                <w:b w:val="0"/>
              </w:rPr>
            </w:pPr>
          </w:p>
        </w:tc>
        <w:tc>
          <w:tcPr>
            <w:tcW w:w="2411" w:type="dxa"/>
          </w:tcPr>
          <w:p w14:paraId="24087E6F" w14:textId="77777777" w:rsidR="00EE2664" w:rsidRPr="00273724" w:rsidRDefault="00EE2664" w:rsidP="00255C32">
            <w:pPr>
              <w:pStyle w:val="NormalWeb"/>
              <w:spacing w:before="0" w:afterAutospacing="0" w:line="200" w:lineRule="atLeast"/>
              <w:jc w:val="left"/>
              <w:rPr>
                <w:rStyle w:val="Strong"/>
                <w:rFonts w:asciiTheme="minorHAnsi" w:hAnsiTheme="minorHAnsi"/>
                <w:b w:val="0"/>
              </w:rPr>
            </w:pPr>
          </w:p>
        </w:tc>
        <w:tc>
          <w:tcPr>
            <w:tcW w:w="2686" w:type="dxa"/>
          </w:tcPr>
          <w:p w14:paraId="74E73D4A" w14:textId="77777777" w:rsidR="00EE2664" w:rsidRPr="00273724" w:rsidRDefault="00EE2664" w:rsidP="00255C32">
            <w:pPr>
              <w:pStyle w:val="NormalWeb"/>
              <w:spacing w:before="0" w:afterAutospacing="0" w:line="200" w:lineRule="atLeast"/>
              <w:jc w:val="left"/>
              <w:rPr>
                <w:rStyle w:val="Strong"/>
                <w:rFonts w:asciiTheme="minorHAnsi" w:hAnsiTheme="minorHAnsi"/>
                <w:b w:val="0"/>
              </w:rPr>
            </w:pPr>
          </w:p>
        </w:tc>
        <w:tc>
          <w:tcPr>
            <w:tcW w:w="3624" w:type="dxa"/>
          </w:tcPr>
          <w:p w14:paraId="66273F55" w14:textId="77777777" w:rsidR="00EE2664" w:rsidRPr="00273724" w:rsidRDefault="00EE2664" w:rsidP="00255C32">
            <w:pPr>
              <w:pStyle w:val="NormalWeb"/>
              <w:spacing w:before="0" w:afterAutospacing="0" w:line="200" w:lineRule="atLeast"/>
              <w:jc w:val="left"/>
              <w:rPr>
                <w:rStyle w:val="Strong"/>
                <w:rFonts w:asciiTheme="minorHAnsi" w:hAnsiTheme="minorHAnsi"/>
                <w:b w:val="0"/>
              </w:rPr>
            </w:pPr>
          </w:p>
        </w:tc>
      </w:tr>
      <w:tr w:rsidR="00EE2664" w:rsidRPr="00F90422" w14:paraId="78B38855" w14:textId="77777777" w:rsidTr="009D44E3">
        <w:trPr>
          <w:tblHeader/>
        </w:trPr>
        <w:tc>
          <w:tcPr>
            <w:tcW w:w="2854" w:type="dxa"/>
          </w:tcPr>
          <w:p w14:paraId="74A2D91C" w14:textId="77777777" w:rsidR="00EE2664" w:rsidRPr="00255C32" w:rsidRDefault="00EE2664" w:rsidP="00255C32">
            <w:pPr>
              <w:pStyle w:val="NormalWeb"/>
              <w:spacing w:before="0" w:afterAutospacing="0" w:line="200" w:lineRule="atLeast"/>
              <w:jc w:val="left"/>
              <w:rPr>
                <w:rStyle w:val="Strong"/>
                <w:rFonts w:asciiTheme="minorHAnsi" w:hAnsiTheme="minorHAnsi"/>
                <w:b w:val="0"/>
              </w:rPr>
            </w:pPr>
            <w:r w:rsidRPr="00255C32">
              <w:rPr>
                <w:rStyle w:val="Strong"/>
                <w:rFonts w:asciiTheme="minorHAnsi" w:hAnsiTheme="minorHAnsi"/>
                <w:b w:val="0"/>
              </w:rPr>
              <w:t>Ms. Adi Talaivini Mafi</w:t>
            </w:r>
          </w:p>
        </w:tc>
        <w:tc>
          <w:tcPr>
            <w:tcW w:w="2599" w:type="dxa"/>
          </w:tcPr>
          <w:p w14:paraId="266FF3E5" w14:textId="77777777" w:rsidR="00EE2664" w:rsidRPr="00337E1A" w:rsidRDefault="00EE2664" w:rsidP="00255C32">
            <w:pPr>
              <w:pStyle w:val="NormalWeb"/>
              <w:spacing w:before="0" w:afterAutospacing="0" w:line="200" w:lineRule="atLeast"/>
              <w:jc w:val="left"/>
              <w:rPr>
                <w:rStyle w:val="Strong"/>
                <w:rFonts w:asciiTheme="minorHAnsi" w:hAnsiTheme="minorHAnsi"/>
                <w:b w:val="0"/>
              </w:rPr>
            </w:pPr>
            <w:r w:rsidRPr="00337E1A">
              <w:rPr>
                <w:rStyle w:val="Strong"/>
                <w:rFonts w:asciiTheme="minorHAnsi" w:hAnsiTheme="minorHAnsi"/>
                <w:b w:val="0"/>
              </w:rPr>
              <w:t>Tonga</w:t>
            </w:r>
          </w:p>
        </w:tc>
        <w:tc>
          <w:tcPr>
            <w:tcW w:w="2411" w:type="dxa"/>
          </w:tcPr>
          <w:p w14:paraId="2FEC613F" w14:textId="77777777" w:rsidR="00EE2664" w:rsidRPr="00337E1A" w:rsidRDefault="00EE2664" w:rsidP="00255C32">
            <w:pPr>
              <w:pStyle w:val="NormalWeb"/>
              <w:spacing w:before="0" w:afterAutospacing="0" w:line="200" w:lineRule="atLeast"/>
              <w:jc w:val="left"/>
              <w:rPr>
                <w:rStyle w:val="Strong"/>
                <w:rFonts w:asciiTheme="minorHAnsi" w:hAnsiTheme="minorHAnsi"/>
                <w:b w:val="0"/>
              </w:rPr>
            </w:pPr>
            <w:r w:rsidRPr="00337E1A">
              <w:rPr>
                <w:rStyle w:val="Strong"/>
                <w:rFonts w:asciiTheme="minorHAnsi" w:hAnsiTheme="minorHAnsi"/>
                <w:b w:val="0"/>
              </w:rPr>
              <w:t>Advocacy work on the rights of children and identifying policy to protect children.</w:t>
            </w:r>
          </w:p>
        </w:tc>
        <w:tc>
          <w:tcPr>
            <w:tcW w:w="2686" w:type="dxa"/>
          </w:tcPr>
          <w:p w14:paraId="1A5B8B8D" w14:textId="77777777" w:rsidR="00EE2664" w:rsidRPr="00337E1A" w:rsidRDefault="00EE2664" w:rsidP="00255C32">
            <w:pPr>
              <w:pStyle w:val="NormalWeb"/>
              <w:spacing w:before="0" w:afterAutospacing="0" w:line="200" w:lineRule="atLeast"/>
              <w:jc w:val="left"/>
              <w:rPr>
                <w:rStyle w:val="Strong"/>
                <w:rFonts w:asciiTheme="minorHAnsi" w:hAnsiTheme="minorHAnsi"/>
                <w:b w:val="0"/>
              </w:rPr>
            </w:pPr>
            <w:r w:rsidRPr="00337E1A">
              <w:rPr>
                <w:rStyle w:val="Strong"/>
                <w:rFonts w:asciiTheme="minorHAnsi" w:hAnsiTheme="minorHAnsi"/>
                <w:b w:val="0"/>
              </w:rPr>
              <w:t>Regional Rights Resource Team, SPC, Suva, Fiji</w:t>
            </w:r>
          </w:p>
        </w:tc>
        <w:tc>
          <w:tcPr>
            <w:tcW w:w="3624" w:type="dxa"/>
          </w:tcPr>
          <w:p w14:paraId="450555A6" w14:textId="77777777" w:rsidR="00EE2664" w:rsidRPr="00337E1A" w:rsidRDefault="00EE2664" w:rsidP="00255C32">
            <w:pPr>
              <w:pStyle w:val="NormalWeb"/>
              <w:spacing w:before="0" w:afterAutospacing="0" w:line="200" w:lineRule="atLeast"/>
              <w:jc w:val="left"/>
              <w:rPr>
                <w:rStyle w:val="Strong"/>
                <w:rFonts w:asciiTheme="minorHAnsi" w:hAnsiTheme="minorHAnsi"/>
                <w:b w:val="0"/>
              </w:rPr>
            </w:pPr>
            <w:r w:rsidRPr="00337E1A">
              <w:rPr>
                <w:rStyle w:val="Strong"/>
                <w:rFonts w:asciiTheme="minorHAnsi" w:hAnsiTheme="minorHAnsi"/>
                <w:b w:val="0"/>
              </w:rPr>
              <w:t>Legal Officer, Ministry of Justice, Nuku’alofa, Tonga</w:t>
            </w:r>
          </w:p>
        </w:tc>
      </w:tr>
      <w:tr w:rsidR="00EE2664" w:rsidRPr="00F90422" w14:paraId="52ECAF75" w14:textId="77777777" w:rsidTr="009D44E3">
        <w:trPr>
          <w:tblHeader/>
        </w:trPr>
        <w:tc>
          <w:tcPr>
            <w:tcW w:w="2854" w:type="dxa"/>
          </w:tcPr>
          <w:p w14:paraId="1A822C94" w14:textId="77777777" w:rsidR="00EE2664" w:rsidRPr="00255C32" w:rsidRDefault="00EE2664" w:rsidP="00255C32">
            <w:pPr>
              <w:pStyle w:val="NormalWeb"/>
              <w:spacing w:before="0" w:afterAutospacing="0" w:line="200" w:lineRule="atLeast"/>
              <w:jc w:val="left"/>
              <w:rPr>
                <w:rStyle w:val="Strong"/>
                <w:rFonts w:asciiTheme="minorHAnsi" w:hAnsiTheme="minorHAnsi"/>
                <w:b w:val="0"/>
              </w:rPr>
            </w:pPr>
            <w:r w:rsidRPr="00255C32">
              <w:rPr>
                <w:rStyle w:val="Strong"/>
                <w:rFonts w:asciiTheme="minorHAnsi" w:hAnsiTheme="minorHAnsi"/>
                <w:b w:val="0"/>
              </w:rPr>
              <w:t>Mr Hillary Toloka</w:t>
            </w:r>
          </w:p>
        </w:tc>
        <w:tc>
          <w:tcPr>
            <w:tcW w:w="2599" w:type="dxa"/>
          </w:tcPr>
          <w:p w14:paraId="0EF4DB72" w14:textId="77777777" w:rsidR="00EE2664" w:rsidRPr="00337E1A" w:rsidRDefault="00EE2664" w:rsidP="00255C32">
            <w:pPr>
              <w:pStyle w:val="NormalWeb"/>
              <w:spacing w:before="0" w:afterAutospacing="0" w:line="200" w:lineRule="atLeast"/>
              <w:jc w:val="left"/>
              <w:rPr>
                <w:rStyle w:val="Strong"/>
                <w:rFonts w:asciiTheme="minorHAnsi" w:hAnsiTheme="minorHAnsi"/>
                <w:b w:val="0"/>
              </w:rPr>
            </w:pPr>
            <w:r w:rsidRPr="00337E1A">
              <w:rPr>
                <w:rStyle w:val="Strong"/>
                <w:rFonts w:asciiTheme="minorHAnsi" w:hAnsiTheme="minorHAnsi"/>
                <w:b w:val="0"/>
              </w:rPr>
              <w:t>Solomon Islands</w:t>
            </w:r>
          </w:p>
        </w:tc>
        <w:tc>
          <w:tcPr>
            <w:tcW w:w="2411" w:type="dxa"/>
          </w:tcPr>
          <w:p w14:paraId="6293684C" w14:textId="77777777" w:rsidR="00EE2664" w:rsidRPr="00337E1A" w:rsidRDefault="00EE2664" w:rsidP="00255C32">
            <w:pPr>
              <w:pStyle w:val="NormalWeb"/>
              <w:spacing w:before="0" w:afterAutospacing="0" w:line="200" w:lineRule="atLeast"/>
              <w:jc w:val="left"/>
              <w:rPr>
                <w:rStyle w:val="Strong"/>
                <w:rFonts w:asciiTheme="minorHAnsi" w:hAnsiTheme="minorHAnsi"/>
                <w:b w:val="0"/>
              </w:rPr>
            </w:pPr>
            <w:r w:rsidRPr="00337E1A">
              <w:rPr>
                <w:rStyle w:val="Strong"/>
                <w:rFonts w:asciiTheme="minorHAnsi" w:hAnsiTheme="minorHAnsi"/>
                <w:b w:val="0"/>
              </w:rPr>
              <w:t>Community health and medical research practices and documenting traditional knowledge.</w:t>
            </w:r>
          </w:p>
        </w:tc>
        <w:tc>
          <w:tcPr>
            <w:tcW w:w="2686" w:type="dxa"/>
          </w:tcPr>
          <w:p w14:paraId="4C151B2D" w14:textId="77777777" w:rsidR="00EE2664" w:rsidRPr="00337E1A" w:rsidRDefault="00EE2664" w:rsidP="00255C32">
            <w:pPr>
              <w:pStyle w:val="NormalWeb"/>
              <w:spacing w:before="0" w:afterAutospacing="0" w:line="200" w:lineRule="atLeast"/>
              <w:jc w:val="left"/>
              <w:rPr>
                <w:rStyle w:val="Strong"/>
                <w:rFonts w:asciiTheme="minorHAnsi" w:hAnsiTheme="minorHAnsi"/>
                <w:b w:val="0"/>
              </w:rPr>
            </w:pPr>
            <w:r w:rsidRPr="00337E1A">
              <w:rPr>
                <w:rStyle w:val="Strong"/>
                <w:rFonts w:asciiTheme="minorHAnsi" w:hAnsiTheme="minorHAnsi"/>
                <w:b w:val="0"/>
              </w:rPr>
              <w:t>James Cook University, Cairns, QLD., Australia</w:t>
            </w:r>
          </w:p>
        </w:tc>
        <w:tc>
          <w:tcPr>
            <w:tcW w:w="3624" w:type="dxa"/>
          </w:tcPr>
          <w:p w14:paraId="60C078F1" w14:textId="77777777" w:rsidR="00EE2664" w:rsidRPr="00337E1A" w:rsidRDefault="00EE2664" w:rsidP="00255C32">
            <w:pPr>
              <w:pStyle w:val="NormalWeb"/>
              <w:spacing w:before="0" w:afterAutospacing="0" w:line="200" w:lineRule="atLeast"/>
              <w:jc w:val="left"/>
              <w:rPr>
                <w:rStyle w:val="Strong"/>
                <w:rFonts w:asciiTheme="minorHAnsi" w:hAnsiTheme="minorHAnsi"/>
                <w:b w:val="0"/>
              </w:rPr>
            </w:pPr>
            <w:r w:rsidRPr="00337E1A">
              <w:rPr>
                <w:rStyle w:val="Strong"/>
                <w:rFonts w:asciiTheme="minorHAnsi" w:hAnsiTheme="minorHAnsi"/>
                <w:b w:val="0"/>
              </w:rPr>
              <w:t>Research Nurse, Atoifi Adventist Hospital, East Kwaio, Solomon Islands.</w:t>
            </w:r>
          </w:p>
        </w:tc>
      </w:tr>
      <w:tr w:rsidR="00EE2664" w:rsidRPr="00F90422" w14:paraId="6F138B1E" w14:textId="77777777" w:rsidTr="009D44E3">
        <w:trPr>
          <w:tblHeader/>
        </w:trPr>
        <w:tc>
          <w:tcPr>
            <w:tcW w:w="2854" w:type="dxa"/>
          </w:tcPr>
          <w:p w14:paraId="5D1409A6" w14:textId="77777777" w:rsidR="00EE2664" w:rsidRPr="00255C32" w:rsidRDefault="00EE2664" w:rsidP="00255C32">
            <w:pPr>
              <w:pStyle w:val="NormalWeb"/>
              <w:spacing w:before="0" w:afterAutospacing="0" w:line="200" w:lineRule="atLeast"/>
              <w:jc w:val="left"/>
              <w:rPr>
                <w:rStyle w:val="Strong"/>
                <w:rFonts w:asciiTheme="minorHAnsi" w:hAnsiTheme="minorHAnsi"/>
                <w:b w:val="0"/>
              </w:rPr>
            </w:pPr>
            <w:r w:rsidRPr="00255C32">
              <w:rPr>
                <w:rStyle w:val="Strong"/>
                <w:rFonts w:asciiTheme="minorHAnsi" w:hAnsiTheme="minorHAnsi"/>
                <w:b w:val="0"/>
              </w:rPr>
              <w:t>Dr Laila Sauduadua</w:t>
            </w:r>
          </w:p>
        </w:tc>
        <w:tc>
          <w:tcPr>
            <w:tcW w:w="2599" w:type="dxa"/>
          </w:tcPr>
          <w:p w14:paraId="64C2FF97" w14:textId="77777777" w:rsidR="00EE2664" w:rsidRPr="00337E1A" w:rsidRDefault="00EE2664" w:rsidP="00255C32">
            <w:pPr>
              <w:pStyle w:val="NormalWeb"/>
              <w:spacing w:before="0" w:afterAutospacing="0" w:line="200" w:lineRule="atLeast"/>
              <w:jc w:val="left"/>
              <w:rPr>
                <w:rStyle w:val="Strong"/>
                <w:rFonts w:asciiTheme="minorHAnsi" w:hAnsiTheme="minorHAnsi"/>
                <w:b w:val="0"/>
              </w:rPr>
            </w:pPr>
            <w:r w:rsidRPr="00337E1A">
              <w:rPr>
                <w:rStyle w:val="Strong"/>
                <w:rFonts w:asciiTheme="minorHAnsi" w:hAnsiTheme="minorHAnsi"/>
                <w:b w:val="0"/>
              </w:rPr>
              <w:t>Fiji</w:t>
            </w:r>
          </w:p>
        </w:tc>
        <w:tc>
          <w:tcPr>
            <w:tcW w:w="2411" w:type="dxa"/>
          </w:tcPr>
          <w:p w14:paraId="27D43F57" w14:textId="77777777" w:rsidR="00EE2664" w:rsidRPr="00337E1A" w:rsidRDefault="00EE2664" w:rsidP="00255C32">
            <w:pPr>
              <w:pStyle w:val="NormalWeb"/>
              <w:spacing w:before="0" w:afterAutospacing="0" w:line="200" w:lineRule="atLeast"/>
              <w:jc w:val="left"/>
              <w:rPr>
                <w:rStyle w:val="Strong"/>
                <w:rFonts w:asciiTheme="minorHAnsi" w:hAnsiTheme="minorHAnsi"/>
                <w:b w:val="0"/>
              </w:rPr>
            </w:pPr>
            <w:r w:rsidRPr="00337E1A">
              <w:rPr>
                <w:rStyle w:val="Strong"/>
                <w:rFonts w:asciiTheme="minorHAnsi" w:hAnsiTheme="minorHAnsi"/>
                <w:b w:val="0"/>
              </w:rPr>
              <w:t>Oncology- Child cancer care</w:t>
            </w:r>
          </w:p>
        </w:tc>
        <w:tc>
          <w:tcPr>
            <w:tcW w:w="2686" w:type="dxa"/>
          </w:tcPr>
          <w:p w14:paraId="148EAD46" w14:textId="77777777" w:rsidR="00EE2664" w:rsidRPr="00337E1A" w:rsidRDefault="00EE2664" w:rsidP="00255C32">
            <w:pPr>
              <w:pStyle w:val="NormalWeb"/>
              <w:spacing w:before="0" w:afterAutospacing="0" w:line="200" w:lineRule="atLeast"/>
              <w:jc w:val="left"/>
              <w:rPr>
                <w:rStyle w:val="Strong"/>
                <w:rFonts w:asciiTheme="minorHAnsi" w:hAnsiTheme="minorHAnsi"/>
                <w:b w:val="0"/>
              </w:rPr>
            </w:pPr>
            <w:r w:rsidRPr="00337E1A">
              <w:rPr>
                <w:rStyle w:val="Strong"/>
                <w:rFonts w:asciiTheme="minorHAnsi" w:hAnsiTheme="minorHAnsi"/>
                <w:b w:val="0"/>
              </w:rPr>
              <w:t>**</w:t>
            </w:r>
          </w:p>
        </w:tc>
        <w:tc>
          <w:tcPr>
            <w:tcW w:w="3624" w:type="dxa"/>
          </w:tcPr>
          <w:p w14:paraId="409A008A" w14:textId="77777777" w:rsidR="00EE2664" w:rsidRPr="00337E1A" w:rsidRDefault="00EE2664" w:rsidP="00255C32">
            <w:pPr>
              <w:pStyle w:val="NormalWeb"/>
              <w:spacing w:before="0" w:afterAutospacing="0" w:line="200" w:lineRule="atLeast"/>
              <w:jc w:val="left"/>
              <w:rPr>
                <w:rStyle w:val="Strong"/>
                <w:rFonts w:asciiTheme="minorHAnsi" w:hAnsiTheme="minorHAnsi"/>
                <w:b w:val="0"/>
              </w:rPr>
            </w:pPr>
            <w:r w:rsidRPr="00337E1A">
              <w:rPr>
                <w:rStyle w:val="Strong"/>
                <w:rFonts w:asciiTheme="minorHAnsi" w:hAnsiTheme="minorHAnsi"/>
                <w:b w:val="0"/>
              </w:rPr>
              <w:t>CWM Hospital</w:t>
            </w:r>
          </w:p>
        </w:tc>
      </w:tr>
      <w:tr w:rsidR="00EE2664" w:rsidRPr="00F90422" w14:paraId="24FA260D" w14:textId="77777777" w:rsidTr="009D44E3">
        <w:trPr>
          <w:tblHeader/>
        </w:trPr>
        <w:tc>
          <w:tcPr>
            <w:tcW w:w="2854" w:type="dxa"/>
          </w:tcPr>
          <w:p w14:paraId="5BCCE7B2" w14:textId="77777777" w:rsidR="00EE2664" w:rsidRPr="00255C32" w:rsidRDefault="00EE2664" w:rsidP="00255C32">
            <w:pPr>
              <w:pStyle w:val="NormalWeb"/>
              <w:spacing w:before="0" w:afterAutospacing="0" w:line="200" w:lineRule="atLeast"/>
              <w:jc w:val="left"/>
              <w:rPr>
                <w:rStyle w:val="Strong"/>
                <w:rFonts w:asciiTheme="minorHAnsi" w:hAnsiTheme="minorHAnsi"/>
                <w:b w:val="0"/>
              </w:rPr>
            </w:pPr>
            <w:r w:rsidRPr="00255C32">
              <w:rPr>
                <w:rStyle w:val="Strong"/>
                <w:rFonts w:asciiTheme="minorHAnsi" w:hAnsiTheme="minorHAnsi"/>
                <w:b w:val="0"/>
              </w:rPr>
              <w:t xml:space="preserve">Mr. Melino Bain-Vete </w:t>
            </w:r>
          </w:p>
        </w:tc>
        <w:tc>
          <w:tcPr>
            <w:tcW w:w="2599" w:type="dxa"/>
          </w:tcPr>
          <w:p w14:paraId="5EE183C9" w14:textId="77777777" w:rsidR="00EE2664" w:rsidRPr="00337E1A" w:rsidRDefault="00EE2664" w:rsidP="00255C32">
            <w:pPr>
              <w:pStyle w:val="NormalWeb"/>
              <w:spacing w:before="0" w:afterAutospacing="0" w:line="200" w:lineRule="atLeast"/>
              <w:jc w:val="left"/>
              <w:rPr>
                <w:rStyle w:val="Strong"/>
                <w:rFonts w:asciiTheme="minorHAnsi" w:hAnsiTheme="minorHAnsi"/>
                <w:b w:val="0"/>
              </w:rPr>
            </w:pPr>
            <w:r w:rsidRPr="00337E1A">
              <w:rPr>
                <w:rStyle w:val="Strong"/>
                <w:rFonts w:asciiTheme="minorHAnsi" w:hAnsiTheme="minorHAnsi"/>
                <w:b w:val="0"/>
              </w:rPr>
              <w:t>Fiji/ Tonga</w:t>
            </w:r>
          </w:p>
        </w:tc>
        <w:tc>
          <w:tcPr>
            <w:tcW w:w="2411" w:type="dxa"/>
          </w:tcPr>
          <w:p w14:paraId="0C8993FC" w14:textId="77777777" w:rsidR="00EE2664" w:rsidRPr="00337E1A" w:rsidRDefault="00EE2664" w:rsidP="00255C32">
            <w:pPr>
              <w:pStyle w:val="NormalWeb"/>
              <w:spacing w:before="0" w:afterAutospacing="0" w:line="200" w:lineRule="atLeast"/>
              <w:jc w:val="left"/>
              <w:rPr>
                <w:rStyle w:val="Strong"/>
                <w:rFonts w:asciiTheme="minorHAnsi" w:hAnsiTheme="minorHAnsi"/>
                <w:b w:val="0"/>
              </w:rPr>
            </w:pPr>
            <w:r w:rsidRPr="00337E1A">
              <w:rPr>
                <w:rStyle w:val="Strong"/>
                <w:rFonts w:asciiTheme="minorHAnsi" w:hAnsiTheme="minorHAnsi"/>
                <w:b w:val="0"/>
              </w:rPr>
              <w:t xml:space="preserve">Resource management &amp; Policy Development and Tuna resource/ stock management </w:t>
            </w:r>
          </w:p>
        </w:tc>
        <w:tc>
          <w:tcPr>
            <w:tcW w:w="2686" w:type="dxa"/>
          </w:tcPr>
          <w:p w14:paraId="14FED57C" w14:textId="77777777" w:rsidR="00EE2664" w:rsidRPr="00337E1A" w:rsidRDefault="00EE2664" w:rsidP="00255C32">
            <w:pPr>
              <w:pStyle w:val="NormalWeb"/>
              <w:spacing w:before="0" w:afterAutospacing="0" w:line="200" w:lineRule="atLeast"/>
              <w:jc w:val="left"/>
              <w:rPr>
                <w:rStyle w:val="Strong"/>
                <w:rFonts w:asciiTheme="minorHAnsi" w:hAnsiTheme="minorHAnsi"/>
                <w:b w:val="0"/>
              </w:rPr>
            </w:pPr>
            <w:r w:rsidRPr="00337E1A">
              <w:rPr>
                <w:rStyle w:val="Strong"/>
                <w:rFonts w:asciiTheme="minorHAnsi" w:hAnsiTheme="minorHAnsi"/>
                <w:b w:val="0"/>
              </w:rPr>
              <w:t>Parties to the Nauru Agreement, Majuro, Marshall Islands</w:t>
            </w:r>
          </w:p>
        </w:tc>
        <w:tc>
          <w:tcPr>
            <w:tcW w:w="3624" w:type="dxa"/>
          </w:tcPr>
          <w:p w14:paraId="0F50AC99" w14:textId="77777777" w:rsidR="00EE2664" w:rsidRPr="00337E1A" w:rsidRDefault="00EE2664" w:rsidP="00255C32">
            <w:pPr>
              <w:pStyle w:val="NormalWeb"/>
              <w:spacing w:before="0" w:afterAutospacing="0" w:line="200" w:lineRule="atLeast"/>
              <w:jc w:val="left"/>
              <w:rPr>
                <w:rStyle w:val="Strong"/>
                <w:rFonts w:asciiTheme="minorHAnsi" w:hAnsiTheme="minorHAnsi"/>
                <w:b w:val="0"/>
              </w:rPr>
            </w:pPr>
            <w:r w:rsidRPr="00337E1A">
              <w:rPr>
                <w:rStyle w:val="Strong"/>
                <w:rFonts w:asciiTheme="minorHAnsi" w:hAnsiTheme="minorHAnsi"/>
                <w:b w:val="0"/>
              </w:rPr>
              <w:t>Marine Stewardship Council (MSC) &amp; Policy Researcher, Parties to the Nauru Agreement, Majuro, Marshall Islands</w:t>
            </w:r>
          </w:p>
        </w:tc>
      </w:tr>
      <w:tr w:rsidR="00EE2664" w:rsidRPr="00F90422" w14:paraId="2F453F69" w14:textId="77777777" w:rsidTr="009D44E3">
        <w:trPr>
          <w:tblHeader/>
        </w:trPr>
        <w:tc>
          <w:tcPr>
            <w:tcW w:w="2854" w:type="dxa"/>
          </w:tcPr>
          <w:p w14:paraId="2B928A9B" w14:textId="77777777" w:rsidR="00EE2664" w:rsidRPr="00255C32" w:rsidRDefault="00EE2664" w:rsidP="00255C32">
            <w:pPr>
              <w:pStyle w:val="NormalWeb"/>
              <w:spacing w:before="0" w:afterAutospacing="0" w:line="200" w:lineRule="atLeast"/>
              <w:jc w:val="left"/>
              <w:rPr>
                <w:rStyle w:val="Strong"/>
                <w:rFonts w:asciiTheme="minorHAnsi" w:hAnsiTheme="minorHAnsi"/>
                <w:b w:val="0"/>
              </w:rPr>
            </w:pPr>
            <w:r w:rsidRPr="00255C32">
              <w:rPr>
                <w:rStyle w:val="Strong"/>
                <w:rFonts w:asciiTheme="minorHAnsi" w:hAnsiTheme="minorHAnsi"/>
                <w:b w:val="0"/>
              </w:rPr>
              <w:t>Ms. Zuabe Tinning</w:t>
            </w:r>
          </w:p>
        </w:tc>
        <w:tc>
          <w:tcPr>
            <w:tcW w:w="2599" w:type="dxa"/>
          </w:tcPr>
          <w:p w14:paraId="2FDC1388" w14:textId="77777777" w:rsidR="00EE2664" w:rsidRPr="00337E1A" w:rsidRDefault="00EE2664" w:rsidP="00255C32">
            <w:pPr>
              <w:pStyle w:val="NormalWeb"/>
              <w:spacing w:before="0" w:afterAutospacing="0" w:line="200" w:lineRule="atLeast"/>
              <w:jc w:val="left"/>
              <w:rPr>
                <w:rStyle w:val="Strong"/>
                <w:rFonts w:asciiTheme="minorHAnsi" w:hAnsiTheme="minorHAnsi"/>
                <w:b w:val="0"/>
              </w:rPr>
            </w:pPr>
            <w:r w:rsidRPr="00337E1A">
              <w:rPr>
                <w:rStyle w:val="Strong"/>
                <w:rFonts w:asciiTheme="minorHAnsi" w:hAnsiTheme="minorHAnsi"/>
                <w:b w:val="0"/>
              </w:rPr>
              <w:t>PNG</w:t>
            </w:r>
          </w:p>
        </w:tc>
        <w:tc>
          <w:tcPr>
            <w:tcW w:w="2411" w:type="dxa"/>
          </w:tcPr>
          <w:p w14:paraId="28E61D3A" w14:textId="77777777" w:rsidR="00EE2664" w:rsidRPr="00337E1A" w:rsidRDefault="00EE2664" w:rsidP="00255C32">
            <w:pPr>
              <w:pStyle w:val="NormalWeb"/>
              <w:spacing w:before="0" w:afterAutospacing="0" w:line="200" w:lineRule="atLeast"/>
              <w:jc w:val="left"/>
              <w:rPr>
                <w:rStyle w:val="Strong"/>
                <w:rFonts w:asciiTheme="minorHAnsi" w:hAnsiTheme="minorHAnsi"/>
                <w:b w:val="0"/>
              </w:rPr>
            </w:pPr>
            <w:r w:rsidRPr="00337E1A">
              <w:rPr>
                <w:rStyle w:val="Strong"/>
                <w:rFonts w:asciiTheme="minorHAnsi" w:hAnsiTheme="minorHAnsi"/>
                <w:b w:val="0"/>
              </w:rPr>
              <w:t>Rural women’s reproductive health care advocacy and community development.</w:t>
            </w:r>
          </w:p>
          <w:p w14:paraId="1EFC053A" w14:textId="77777777" w:rsidR="00EE2664" w:rsidRPr="00337E1A" w:rsidRDefault="00EE2664" w:rsidP="00255C32">
            <w:pPr>
              <w:pStyle w:val="NormalWeb"/>
              <w:spacing w:before="0" w:afterAutospacing="0" w:line="200" w:lineRule="atLeast"/>
              <w:jc w:val="left"/>
              <w:rPr>
                <w:rStyle w:val="Strong"/>
                <w:rFonts w:asciiTheme="minorHAnsi" w:hAnsiTheme="minorHAnsi"/>
                <w:b w:val="0"/>
              </w:rPr>
            </w:pPr>
          </w:p>
        </w:tc>
        <w:tc>
          <w:tcPr>
            <w:tcW w:w="2686" w:type="dxa"/>
          </w:tcPr>
          <w:p w14:paraId="45613CAA" w14:textId="77777777" w:rsidR="00EE2664" w:rsidRPr="00337E1A" w:rsidRDefault="00EE2664" w:rsidP="00255C32">
            <w:pPr>
              <w:pStyle w:val="NormalWeb"/>
              <w:spacing w:before="0" w:afterAutospacing="0" w:line="200" w:lineRule="atLeast"/>
              <w:jc w:val="left"/>
              <w:rPr>
                <w:rStyle w:val="Strong"/>
                <w:rFonts w:asciiTheme="minorHAnsi" w:hAnsiTheme="minorHAnsi" w:cstheme="minorHAnsi"/>
                <w:b w:val="0"/>
              </w:rPr>
            </w:pPr>
            <w:r w:rsidRPr="00337E1A">
              <w:rPr>
                <w:rFonts w:asciiTheme="minorHAnsi" w:hAnsiTheme="minorHAnsi" w:cstheme="minorHAnsi"/>
                <w:color w:val="1D2129"/>
              </w:rPr>
              <w:t>Morobe Division of Community Development in Lae, Morobe Province, Papua New Guinea</w:t>
            </w:r>
          </w:p>
        </w:tc>
        <w:tc>
          <w:tcPr>
            <w:tcW w:w="3624" w:type="dxa"/>
          </w:tcPr>
          <w:p w14:paraId="3E61213F" w14:textId="77777777" w:rsidR="00EE2664" w:rsidRPr="00337E1A" w:rsidRDefault="00EE2664" w:rsidP="00255C32">
            <w:pPr>
              <w:pStyle w:val="NormalWeb"/>
              <w:spacing w:before="0" w:afterAutospacing="0" w:line="200" w:lineRule="atLeast"/>
              <w:jc w:val="left"/>
              <w:rPr>
                <w:rStyle w:val="Strong"/>
                <w:rFonts w:asciiTheme="minorHAnsi" w:hAnsiTheme="minorHAnsi"/>
                <w:b w:val="0"/>
              </w:rPr>
            </w:pPr>
            <w:r w:rsidRPr="00337E1A">
              <w:rPr>
                <w:rStyle w:val="Strong"/>
                <w:rFonts w:asciiTheme="minorHAnsi" w:hAnsiTheme="minorHAnsi"/>
                <w:b w:val="0"/>
              </w:rPr>
              <w:t>Chairperson</w:t>
            </w:r>
            <w:r w:rsidRPr="00337E1A">
              <w:rPr>
                <w:rStyle w:val="Strong"/>
                <w:rFonts w:asciiTheme="minorHAnsi" w:hAnsiTheme="minorHAnsi" w:cstheme="minorHAnsi"/>
                <w:b w:val="0"/>
              </w:rPr>
              <w:t xml:space="preserve">, </w:t>
            </w:r>
            <w:r w:rsidRPr="00337E1A">
              <w:rPr>
                <w:rFonts w:asciiTheme="minorHAnsi" w:hAnsiTheme="minorHAnsi" w:cstheme="minorHAnsi"/>
                <w:color w:val="232323"/>
              </w:rPr>
              <w:t xml:space="preserve"> Morobe Family Sexual Violence Action Committee, Lae, PNG</w:t>
            </w:r>
          </w:p>
        </w:tc>
      </w:tr>
      <w:tr w:rsidR="00EE2664" w:rsidRPr="00F90422" w14:paraId="1FC74228" w14:textId="77777777" w:rsidTr="009D44E3">
        <w:trPr>
          <w:tblHeader/>
        </w:trPr>
        <w:tc>
          <w:tcPr>
            <w:tcW w:w="2854" w:type="dxa"/>
          </w:tcPr>
          <w:p w14:paraId="0E9E6A9A" w14:textId="77777777" w:rsidR="00EE2664" w:rsidRPr="00255C32" w:rsidRDefault="00EE2664" w:rsidP="00255C32">
            <w:pPr>
              <w:pStyle w:val="NormalWeb"/>
              <w:spacing w:before="0" w:afterAutospacing="0" w:line="200" w:lineRule="atLeast"/>
              <w:jc w:val="left"/>
              <w:rPr>
                <w:rStyle w:val="Strong"/>
                <w:rFonts w:asciiTheme="minorHAnsi" w:hAnsiTheme="minorHAnsi"/>
              </w:rPr>
            </w:pPr>
            <w:r w:rsidRPr="00255C32">
              <w:rPr>
                <w:rStyle w:val="Strong"/>
                <w:rFonts w:asciiTheme="minorHAnsi" w:hAnsiTheme="minorHAnsi"/>
              </w:rPr>
              <w:t>2012-2013</w:t>
            </w:r>
          </w:p>
        </w:tc>
        <w:tc>
          <w:tcPr>
            <w:tcW w:w="2599" w:type="dxa"/>
          </w:tcPr>
          <w:p w14:paraId="6E6C460C" w14:textId="77777777" w:rsidR="00EE2664" w:rsidRPr="00F90422" w:rsidRDefault="00EE2664" w:rsidP="00255C32">
            <w:pPr>
              <w:pStyle w:val="NormalWeb"/>
              <w:spacing w:before="0" w:afterAutospacing="0" w:line="200" w:lineRule="atLeast"/>
              <w:jc w:val="left"/>
              <w:rPr>
                <w:rStyle w:val="Strong"/>
                <w:rFonts w:asciiTheme="minorHAnsi" w:hAnsiTheme="minorHAnsi"/>
              </w:rPr>
            </w:pPr>
          </w:p>
        </w:tc>
        <w:tc>
          <w:tcPr>
            <w:tcW w:w="2411" w:type="dxa"/>
          </w:tcPr>
          <w:p w14:paraId="4AC82BBA" w14:textId="77777777" w:rsidR="00EE2664" w:rsidRPr="00F90422" w:rsidRDefault="00EE2664" w:rsidP="00255C32">
            <w:pPr>
              <w:pStyle w:val="NormalWeb"/>
              <w:spacing w:before="0" w:afterAutospacing="0" w:line="200" w:lineRule="atLeast"/>
              <w:jc w:val="left"/>
              <w:rPr>
                <w:rStyle w:val="Strong"/>
                <w:rFonts w:asciiTheme="minorHAnsi" w:hAnsiTheme="minorHAnsi"/>
              </w:rPr>
            </w:pPr>
          </w:p>
        </w:tc>
        <w:tc>
          <w:tcPr>
            <w:tcW w:w="2686" w:type="dxa"/>
          </w:tcPr>
          <w:p w14:paraId="7C4251AA" w14:textId="77777777" w:rsidR="00EE2664" w:rsidRPr="00F90422" w:rsidRDefault="00EE2664" w:rsidP="00255C32">
            <w:pPr>
              <w:pStyle w:val="NormalWeb"/>
              <w:spacing w:before="0" w:afterAutospacing="0" w:line="200" w:lineRule="atLeast"/>
              <w:jc w:val="left"/>
              <w:rPr>
                <w:rStyle w:val="Strong"/>
                <w:rFonts w:asciiTheme="minorHAnsi" w:hAnsiTheme="minorHAnsi"/>
              </w:rPr>
            </w:pPr>
          </w:p>
        </w:tc>
        <w:tc>
          <w:tcPr>
            <w:tcW w:w="3624" w:type="dxa"/>
          </w:tcPr>
          <w:p w14:paraId="1743D175" w14:textId="77777777" w:rsidR="00EE2664" w:rsidRPr="00F90422" w:rsidRDefault="00EE2664" w:rsidP="00255C32">
            <w:pPr>
              <w:pStyle w:val="NormalWeb"/>
              <w:spacing w:before="0" w:afterAutospacing="0" w:line="200" w:lineRule="atLeast"/>
              <w:jc w:val="left"/>
              <w:rPr>
                <w:rStyle w:val="Strong"/>
                <w:rFonts w:asciiTheme="minorHAnsi" w:hAnsiTheme="minorHAnsi"/>
              </w:rPr>
            </w:pPr>
          </w:p>
        </w:tc>
      </w:tr>
      <w:tr w:rsidR="00EE2664" w:rsidRPr="00F90422" w14:paraId="71380C86" w14:textId="77777777" w:rsidTr="009D44E3">
        <w:trPr>
          <w:tblHeader/>
        </w:trPr>
        <w:tc>
          <w:tcPr>
            <w:tcW w:w="2854" w:type="dxa"/>
          </w:tcPr>
          <w:p w14:paraId="3A41CB67" w14:textId="77777777" w:rsidR="00EE2664" w:rsidRPr="00255C32" w:rsidRDefault="0052195D" w:rsidP="00255C32">
            <w:pPr>
              <w:pStyle w:val="NormalWeb"/>
              <w:spacing w:before="0" w:afterAutospacing="0" w:line="200" w:lineRule="atLeast"/>
              <w:jc w:val="left"/>
              <w:rPr>
                <w:rStyle w:val="Strong"/>
                <w:rFonts w:asciiTheme="minorHAnsi" w:hAnsiTheme="minorHAnsi"/>
              </w:rPr>
            </w:pPr>
            <w:hyperlink r:id="rId19" w:tgtFrame="_blank" w:history="1">
              <w:r w:rsidR="00EE2664" w:rsidRPr="00255C32">
                <w:rPr>
                  <w:rStyle w:val="Hyperlink"/>
                  <w:rFonts w:asciiTheme="minorHAnsi" w:hAnsiTheme="minorHAnsi" w:cs="Arial"/>
                  <w:color w:val="auto"/>
                  <w:u w:val="none"/>
                </w:rPr>
                <w:t xml:space="preserve">Dr. Kolini Vaea </w:t>
              </w:r>
            </w:hyperlink>
            <w:r w:rsidR="00EE2664" w:rsidRPr="00255C32">
              <w:rPr>
                <w:rFonts w:asciiTheme="minorHAnsi" w:hAnsiTheme="minorHAnsi" w:cs="Arial"/>
              </w:rPr>
              <w:tab/>
            </w:r>
          </w:p>
        </w:tc>
        <w:tc>
          <w:tcPr>
            <w:tcW w:w="2599" w:type="dxa"/>
          </w:tcPr>
          <w:p w14:paraId="09250437" w14:textId="77777777" w:rsidR="00EE2664" w:rsidRPr="00F90422" w:rsidRDefault="00EE2664" w:rsidP="00255C32">
            <w:pPr>
              <w:pStyle w:val="NormalWeb"/>
              <w:spacing w:before="0" w:afterAutospacing="0" w:line="200" w:lineRule="atLeast"/>
              <w:jc w:val="left"/>
              <w:rPr>
                <w:rFonts w:asciiTheme="minorHAnsi" w:hAnsiTheme="minorHAnsi" w:cs="Arial"/>
              </w:rPr>
            </w:pPr>
            <w:r>
              <w:rPr>
                <w:rFonts w:asciiTheme="minorHAnsi" w:hAnsiTheme="minorHAnsi" w:cs="Arial"/>
              </w:rPr>
              <w:t xml:space="preserve">Tonga </w:t>
            </w:r>
          </w:p>
        </w:tc>
        <w:tc>
          <w:tcPr>
            <w:tcW w:w="2411" w:type="dxa"/>
          </w:tcPr>
          <w:p w14:paraId="6C1F64A1" w14:textId="77777777" w:rsidR="00EE2664" w:rsidRPr="00F90422" w:rsidRDefault="00EE2664" w:rsidP="00255C32">
            <w:pPr>
              <w:pStyle w:val="NormalWeb"/>
              <w:spacing w:before="0" w:afterAutospacing="0" w:line="200" w:lineRule="atLeast"/>
              <w:jc w:val="left"/>
              <w:rPr>
                <w:rFonts w:asciiTheme="minorHAnsi" w:hAnsiTheme="minorHAnsi" w:cs="Arial"/>
              </w:rPr>
            </w:pPr>
            <w:r>
              <w:rPr>
                <w:rFonts w:asciiTheme="minorHAnsi" w:hAnsiTheme="minorHAnsi" w:cs="Arial"/>
              </w:rPr>
              <w:t>Breast cancer screening</w:t>
            </w:r>
          </w:p>
        </w:tc>
        <w:tc>
          <w:tcPr>
            <w:tcW w:w="2686" w:type="dxa"/>
          </w:tcPr>
          <w:p w14:paraId="0B646C9A" w14:textId="77777777" w:rsidR="00EE2664" w:rsidRPr="00F90422" w:rsidRDefault="00EE2664" w:rsidP="00255C32">
            <w:pPr>
              <w:pStyle w:val="NormalWeb"/>
              <w:spacing w:before="0" w:afterAutospacing="0" w:line="200" w:lineRule="atLeast"/>
              <w:jc w:val="left"/>
              <w:rPr>
                <w:rStyle w:val="Strong"/>
                <w:rFonts w:asciiTheme="minorHAnsi" w:hAnsiTheme="minorHAnsi"/>
              </w:rPr>
            </w:pPr>
            <w:r w:rsidRPr="00F90422">
              <w:rPr>
                <w:rFonts w:asciiTheme="minorHAnsi" w:hAnsiTheme="minorHAnsi" w:cs="Arial"/>
              </w:rPr>
              <w:t>CWM Hospital</w:t>
            </w:r>
            <w:r w:rsidRPr="00F90422">
              <w:rPr>
                <w:rFonts w:asciiTheme="minorHAnsi" w:hAnsiTheme="minorHAnsi" w:cs="Arial"/>
              </w:rPr>
              <w:tab/>
              <w:t>, Suva</w:t>
            </w:r>
          </w:p>
        </w:tc>
        <w:tc>
          <w:tcPr>
            <w:tcW w:w="3624" w:type="dxa"/>
          </w:tcPr>
          <w:p w14:paraId="26A70A04" w14:textId="77777777" w:rsidR="00EE2664" w:rsidRPr="00F90422" w:rsidRDefault="00EE2664" w:rsidP="00255C32">
            <w:pPr>
              <w:pStyle w:val="NormalWeb"/>
              <w:spacing w:before="0" w:afterAutospacing="0" w:line="200" w:lineRule="atLeast"/>
              <w:jc w:val="left"/>
              <w:rPr>
                <w:rStyle w:val="Strong"/>
                <w:rFonts w:asciiTheme="minorHAnsi" w:hAnsiTheme="minorHAnsi"/>
              </w:rPr>
            </w:pPr>
            <w:r w:rsidRPr="00F90422">
              <w:rPr>
                <w:rFonts w:asciiTheme="minorHAnsi" w:hAnsiTheme="minorHAnsi" w:cs="Arial"/>
              </w:rPr>
              <w:t>Ministry of Health, Nuku'alofa, Tonga</w:t>
            </w:r>
          </w:p>
        </w:tc>
      </w:tr>
      <w:tr w:rsidR="00EE2664" w:rsidRPr="00F90422" w14:paraId="65B8F1BC" w14:textId="77777777" w:rsidTr="009D44E3">
        <w:trPr>
          <w:tblHeader/>
        </w:trPr>
        <w:tc>
          <w:tcPr>
            <w:tcW w:w="2854" w:type="dxa"/>
          </w:tcPr>
          <w:p w14:paraId="0E455F0D" w14:textId="77777777" w:rsidR="00EE2664" w:rsidRPr="00255C32" w:rsidRDefault="0052195D" w:rsidP="00255C32">
            <w:pPr>
              <w:pStyle w:val="NormalWeb"/>
              <w:spacing w:before="0" w:afterAutospacing="0" w:line="200" w:lineRule="atLeast"/>
              <w:jc w:val="left"/>
              <w:rPr>
                <w:rFonts w:asciiTheme="minorHAnsi" w:hAnsiTheme="minorHAnsi" w:cs="Arial"/>
              </w:rPr>
            </w:pPr>
            <w:hyperlink r:id="rId20" w:tgtFrame="_blank" w:history="1">
              <w:r w:rsidR="00EE2664" w:rsidRPr="00255C32">
                <w:rPr>
                  <w:rStyle w:val="Hyperlink"/>
                  <w:rFonts w:asciiTheme="minorHAnsi" w:hAnsiTheme="minorHAnsi" w:cs="Arial"/>
                  <w:color w:val="auto"/>
                  <w:u w:val="none"/>
                </w:rPr>
                <w:t xml:space="preserve">Mr. Kilifi O’Brien </w:t>
              </w:r>
            </w:hyperlink>
          </w:p>
        </w:tc>
        <w:tc>
          <w:tcPr>
            <w:tcW w:w="2599" w:type="dxa"/>
          </w:tcPr>
          <w:p w14:paraId="165C3EA1" w14:textId="77777777" w:rsidR="00EE2664" w:rsidRPr="00F90422" w:rsidRDefault="00EE2664" w:rsidP="00255C32">
            <w:pPr>
              <w:pStyle w:val="NormalWeb"/>
              <w:spacing w:before="0" w:afterAutospacing="0" w:line="200" w:lineRule="atLeast"/>
              <w:jc w:val="left"/>
              <w:rPr>
                <w:rFonts w:asciiTheme="minorHAnsi" w:hAnsiTheme="minorHAnsi" w:cs="Arial"/>
              </w:rPr>
            </w:pPr>
            <w:r>
              <w:rPr>
                <w:rFonts w:asciiTheme="minorHAnsi" w:hAnsiTheme="minorHAnsi" w:cs="Arial"/>
              </w:rPr>
              <w:t>Tuvalu</w:t>
            </w:r>
          </w:p>
        </w:tc>
        <w:tc>
          <w:tcPr>
            <w:tcW w:w="2411" w:type="dxa"/>
          </w:tcPr>
          <w:p w14:paraId="6BDB7636" w14:textId="77777777" w:rsidR="00EE2664" w:rsidRPr="00F90422" w:rsidRDefault="00EE2664" w:rsidP="00255C32">
            <w:pPr>
              <w:pStyle w:val="NormalWeb"/>
              <w:spacing w:before="0" w:afterAutospacing="0" w:line="200" w:lineRule="atLeast"/>
              <w:jc w:val="left"/>
              <w:rPr>
                <w:rFonts w:asciiTheme="minorHAnsi" w:hAnsiTheme="minorHAnsi" w:cs="Arial"/>
              </w:rPr>
            </w:pPr>
            <w:r>
              <w:rPr>
                <w:rFonts w:asciiTheme="minorHAnsi" w:hAnsiTheme="minorHAnsi" w:cs="Arial"/>
              </w:rPr>
              <w:t>Climate change advocacy</w:t>
            </w:r>
          </w:p>
        </w:tc>
        <w:tc>
          <w:tcPr>
            <w:tcW w:w="2686" w:type="dxa"/>
          </w:tcPr>
          <w:p w14:paraId="5D52D9A5" w14:textId="77777777" w:rsidR="00EE2664" w:rsidRPr="00F90422" w:rsidRDefault="00EE2664" w:rsidP="00255C32">
            <w:pPr>
              <w:pStyle w:val="NormalWeb"/>
              <w:spacing w:before="0" w:afterAutospacing="0" w:line="200" w:lineRule="atLeast"/>
              <w:jc w:val="left"/>
              <w:rPr>
                <w:rFonts w:asciiTheme="minorHAnsi" w:hAnsiTheme="minorHAnsi" w:cs="Arial"/>
              </w:rPr>
            </w:pPr>
            <w:r w:rsidRPr="00F90422">
              <w:rPr>
                <w:rFonts w:asciiTheme="minorHAnsi" w:hAnsiTheme="minorHAnsi" w:cs="Arial"/>
              </w:rPr>
              <w:t>Secretariat of the Pacific Community, Suva &amp; Noumea</w:t>
            </w:r>
          </w:p>
        </w:tc>
        <w:tc>
          <w:tcPr>
            <w:tcW w:w="3624" w:type="dxa"/>
          </w:tcPr>
          <w:p w14:paraId="4E747BA9" w14:textId="77777777" w:rsidR="00EE2664" w:rsidRPr="00F90422" w:rsidRDefault="00EE2664" w:rsidP="00255C32">
            <w:pPr>
              <w:pStyle w:val="NormalWeb"/>
              <w:spacing w:before="0" w:afterAutospacing="0" w:line="200" w:lineRule="atLeast"/>
              <w:jc w:val="left"/>
              <w:rPr>
                <w:rFonts w:asciiTheme="minorHAnsi" w:hAnsiTheme="minorHAnsi" w:cs="Arial"/>
              </w:rPr>
            </w:pPr>
            <w:r w:rsidRPr="00F90422">
              <w:rPr>
                <w:rFonts w:asciiTheme="minorHAnsi" w:hAnsiTheme="minorHAnsi" w:cs="Arial"/>
              </w:rPr>
              <w:t>Assistant Secretary, Ministry of Home Affairs, Funafuti, Tuvalu.</w:t>
            </w:r>
          </w:p>
        </w:tc>
      </w:tr>
      <w:tr w:rsidR="00EE2664" w:rsidRPr="00F90422" w14:paraId="43B1B2DE" w14:textId="77777777" w:rsidTr="009D44E3">
        <w:trPr>
          <w:tblHeader/>
        </w:trPr>
        <w:tc>
          <w:tcPr>
            <w:tcW w:w="2854" w:type="dxa"/>
          </w:tcPr>
          <w:p w14:paraId="031EB65B" w14:textId="77777777" w:rsidR="00EE2664" w:rsidRPr="00255C32" w:rsidRDefault="0052195D" w:rsidP="00255C32">
            <w:pPr>
              <w:pStyle w:val="NormalWeb"/>
              <w:spacing w:before="0" w:afterAutospacing="0" w:line="200" w:lineRule="atLeast"/>
              <w:jc w:val="left"/>
              <w:rPr>
                <w:rFonts w:asciiTheme="minorHAnsi" w:hAnsiTheme="minorHAnsi" w:cs="Arial"/>
              </w:rPr>
            </w:pPr>
            <w:hyperlink r:id="rId21" w:tgtFrame="_blank" w:history="1">
              <w:r w:rsidR="00EE2664" w:rsidRPr="00255C32">
                <w:rPr>
                  <w:rStyle w:val="Hyperlink"/>
                  <w:rFonts w:asciiTheme="minorHAnsi" w:hAnsiTheme="minorHAnsi" w:cs="Arial"/>
                  <w:color w:val="auto"/>
                  <w:u w:val="none"/>
                </w:rPr>
                <w:t xml:space="preserve">Ms. Merriam Seth </w:t>
              </w:r>
            </w:hyperlink>
            <w:r w:rsidR="00EE2664" w:rsidRPr="00255C32">
              <w:rPr>
                <w:rFonts w:asciiTheme="minorHAnsi" w:hAnsiTheme="minorHAnsi" w:cs="Arial"/>
              </w:rPr>
              <w:tab/>
            </w:r>
          </w:p>
        </w:tc>
        <w:tc>
          <w:tcPr>
            <w:tcW w:w="2599" w:type="dxa"/>
          </w:tcPr>
          <w:p w14:paraId="4C467A9A" w14:textId="77777777" w:rsidR="00EE2664" w:rsidRPr="00F90422" w:rsidRDefault="00EE2664" w:rsidP="00255C32">
            <w:pPr>
              <w:pStyle w:val="NormalWeb"/>
              <w:spacing w:before="0" w:afterAutospacing="0" w:line="200" w:lineRule="atLeast"/>
              <w:jc w:val="left"/>
              <w:rPr>
                <w:rFonts w:asciiTheme="minorHAnsi" w:hAnsiTheme="minorHAnsi" w:cs="Arial"/>
              </w:rPr>
            </w:pPr>
            <w:r>
              <w:rPr>
                <w:rFonts w:asciiTheme="minorHAnsi" w:hAnsiTheme="minorHAnsi" w:cs="Arial"/>
              </w:rPr>
              <w:t>Vanuatu</w:t>
            </w:r>
          </w:p>
        </w:tc>
        <w:tc>
          <w:tcPr>
            <w:tcW w:w="2411" w:type="dxa"/>
          </w:tcPr>
          <w:p w14:paraId="46DA52F8" w14:textId="77777777" w:rsidR="00EE2664" w:rsidRPr="00F90422" w:rsidRDefault="00EE2664" w:rsidP="00255C32">
            <w:pPr>
              <w:pStyle w:val="NormalWeb"/>
              <w:spacing w:before="0" w:afterAutospacing="0" w:line="200" w:lineRule="atLeast"/>
              <w:jc w:val="left"/>
              <w:rPr>
                <w:rFonts w:asciiTheme="minorHAnsi" w:hAnsiTheme="minorHAnsi" w:cs="Arial"/>
              </w:rPr>
            </w:pPr>
            <w:r>
              <w:rPr>
                <w:rFonts w:asciiTheme="minorHAnsi" w:hAnsiTheme="minorHAnsi" w:cs="Arial"/>
              </w:rPr>
              <w:t>Biosecurity and pest/ disease control</w:t>
            </w:r>
          </w:p>
        </w:tc>
        <w:tc>
          <w:tcPr>
            <w:tcW w:w="2686" w:type="dxa"/>
          </w:tcPr>
          <w:p w14:paraId="40ADC996" w14:textId="77777777" w:rsidR="00EE2664" w:rsidRPr="00F90422" w:rsidRDefault="00EE2664" w:rsidP="00255C32">
            <w:pPr>
              <w:pStyle w:val="NormalWeb"/>
              <w:spacing w:before="0" w:afterAutospacing="0" w:line="200" w:lineRule="atLeast"/>
              <w:jc w:val="left"/>
              <w:rPr>
                <w:rFonts w:asciiTheme="minorHAnsi" w:hAnsiTheme="minorHAnsi" w:cs="Arial"/>
              </w:rPr>
            </w:pPr>
            <w:r w:rsidRPr="00F90422">
              <w:rPr>
                <w:rFonts w:asciiTheme="minorHAnsi" w:hAnsiTheme="minorHAnsi" w:cs="Arial"/>
              </w:rPr>
              <w:t>Secretariat of the Pacific Community, Suva</w:t>
            </w:r>
          </w:p>
        </w:tc>
        <w:tc>
          <w:tcPr>
            <w:tcW w:w="3624" w:type="dxa"/>
          </w:tcPr>
          <w:p w14:paraId="661B62FF" w14:textId="77777777" w:rsidR="00EE2664" w:rsidRPr="00F90422" w:rsidRDefault="00EE2664" w:rsidP="00255C32">
            <w:pPr>
              <w:pStyle w:val="NormalWeb"/>
              <w:spacing w:before="0" w:afterAutospacing="0" w:line="200" w:lineRule="atLeast"/>
              <w:jc w:val="left"/>
              <w:rPr>
                <w:rFonts w:asciiTheme="minorHAnsi" w:hAnsiTheme="minorHAnsi" w:cs="Arial"/>
              </w:rPr>
            </w:pPr>
            <w:r>
              <w:rPr>
                <w:rFonts w:asciiTheme="minorHAnsi" w:hAnsiTheme="minorHAnsi" w:cs="Arial"/>
              </w:rPr>
              <w:t>Vanuatu Biosec</w:t>
            </w:r>
            <w:r w:rsidRPr="00F90422">
              <w:rPr>
                <w:rFonts w:asciiTheme="minorHAnsi" w:hAnsiTheme="minorHAnsi" w:cs="Arial"/>
              </w:rPr>
              <w:t>urity, Port Vila</w:t>
            </w:r>
          </w:p>
        </w:tc>
      </w:tr>
      <w:tr w:rsidR="00EE2664" w:rsidRPr="00F90422" w14:paraId="4525DF75" w14:textId="77777777" w:rsidTr="009D44E3">
        <w:trPr>
          <w:tblHeader/>
        </w:trPr>
        <w:tc>
          <w:tcPr>
            <w:tcW w:w="2854" w:type="dxa"/>
          </w:tcPr>
          <w:p w14:paraId="1327CD83" w14:textId="77777777" w:rsidR="00EE2664" w:rsidRPr="00255C32" w:rsidRDefault="0052195D" w:rsidP="00255C32">
            <w:pPr>
              <w:pStyle w:val="NormalWeb"/>
              <w:spacing w:before="0" w:afterAutospacing="0" w:line="200" w:lineRule="atLeast"/>
              <w:jc w:val="left"/>
              <w:rPr>
                <w:rFonts w:asciiTheme="minorHAnsi" w:hAnsiTheme="minorHAnsi" w:cs="Arial"/>
              </w:rPr>
            </w:pPr>
            <w:hyperlink r:id="rId22" w:tgtFrame="_blank" w:history="1">
              <w:r w:rsidR="00EE2664" w:rsidRPr="00255C32">
                <w:rPr>
                  <w:rStyle w:val="Hyperlink"/>
                  <w:rFonts w:asciiTheme="minorHAnsi" w:hAnsiTheme="minorHAnsi" w:cs="Arial"/>
                  <w:color w:val="auto"/>
                  <w:u w:val="none"/>
                </w:rPr>
                <w:t xml:space="preserve">Mr. Rakesh Chandra Raju </w:t>
              </w:r>
            </w:hyperlink>
            <w:r w:rsidR="00EE2664" w:rsidRPr="00255C32">
              <w:t xml:space="preserve"> </w:t>
            </w:r>
          </w:p>
        </w:tc>
        <w:tc>
          <w:tcPr>
            <w:tcW w:w="2599" w:type="dxa"/>
          </w:tcPr>
          <w:p w14:paraId="7903CC6A" w14:textId="77777777" w:rsidR="00EE2664" w:rsidRPr="00F90422" w:rsidRDefault="00EE2664" w:rsidP="00255C32">
            <w:pPr>
              <w:pStyle w:val="NormalWeb"/>
              <w:spacing w:before="0" w:afterAutospacing="0" w:line="200" w:lineRule="atLeast"/>
              <w:jc w:val="left"/>
              <w:rPr>
                <w:rFonts w:asciiTheme="minorHAnsi" w:hAnsiTheme="minorHAnsi" w:cs="Arial"/>
              </w:rPr>
            </w:pPr>
            <w:r>
              <w:rPr>
                <w:rFonts w:asciiTheme="minorHAnsi" w:hAnsiTheme="minorHAnsi" w:cs="Arial"/>
              </w:rPr>
              <w:t>Fiji</w:t>
            </w:r>
          </w:p>
        </w:tc>
        <w:tc>
          <w:tcPr>
            <w:tcW w:w="2411" w:type="dxa"/>
          </w:tcPr>
          <w:p w14:paraId="21C5F6B2" w14:textId="77777777" w:rsidR="00EE2664" w:rsidRPr="00F90422" w:rsidRDefault="00EE2664" w:rsidP="00255C32">
            <w:pPr>
              <w:pStyle w:val="NormalWeb"/>
              <w:spacing w:before="0" w:afterAutospacing="0" w:line="200" w:lineRule="atLeast"/>
              <w:jc w:val="left"/>
              <w:rPr>
                <w:rFonts w:asciiTheme="minorHAnsi" w:hAnsiTheme="minorHAnsi" w:cs="Arial"/>
              </w:rPr>
            </w:pPr>
            <w:r>
              <w:rPr>
                <w:rFonts w:asciiTheme="minorHAnsi" w:hAnsiTheme="minorHAnsi" w:cs="Arial"/>
              </w:rPr>
              <w:t>Money laundering and counter terrorism</w:t>
            </w:r>
          </w:p>
        </w:tc>
        <w:tc>
          <w:tcPr>
            <w:tcW w:w="2686" w:type="dxa"/>
          </w:tcPr>
          <w:p w14:paraId="4295CBA1" w14:textId="77777777" w:rsidR="00EE2664" w:rsidRPr="00F90422" w:rsidRDefault="00EE2664" w:rsidP="00255C32">
            <w:pPr>
              <w:pStyle w:val="NormalWeb"/>
              <w:spacing w:before="0" w:afterAutospacing="0" w:line="200" w:lineRule="atLeast"/>
              <w:jc w:val="left"/>
              <w:rPr>
                <w:rFonts w:asciiTheme="minorHAnsi" w:hAnsiTheme="minorHAnsi" w:cs="Arial"/>
              </w:rPr>
            </w:pPr>
            <w:r w:rsidRPr="00F90422">
              <w:rPr>
                <w:rFonts w:asciiTheme="minorHAnsi" w:hAnsiTheme="minorHAnsi" w:cs="Arial"/>
              </w:rPr>
              <w:t>KPMG, Auckland</w:t>
            </w:r>
          </w:p>
        </w:tc>
        <w:tc>
          <w:tcPr>
            <w:tcW w:w="3624" w:type="dxa"/>
          </w:tcPr>
          <w:p w14:paraId="07B1A57A" w14:textId="77777777" w:rsidR="00EE2664" w:rsidRPr="00F90422" w:rsidRDefault="00EE2664" w:rsidP="00255C32">
            <w:pPr>
              <w:pStyle w:val="NormalWeb"/>
              <w:spacing w:before="0" w:afterAutospacing="0" w:line="200" w:lineRule="atLeast"/>
              <w:jc w:val="left"/>
              <w:rPr>
                <w:rFonts w:asciiTheme="minorHAnsi" w:hAnsiTheme="minorHAnsi" w:cs="Arial"/>
              </w:rPr>
            </w:pPr>
            <w:r w:rsidRPr="00F90422">
              <w:rPr>
                <w:rFonts w:asciiTheme="minorHAnsi" w:hAnsiTheme="minorHAnsi" w:cs="Arial"/>
              </w:rPr>
              <w:t>Fiji National University</w:t>
            </w:r>
            <w:r>
              <w:rPr>
                <w:rFonts w:asciiTheme="minorHAnsi" w:hAnsiTheme="minorHAnsi" w:cs="Arial"/>
              </w:rPr>
              <w:t>, Suva</w:t>
            </w:r>
          </w:p>
        </w:tc>
      </w:tr>
      <w:tr w:rsidR="00EE2664" w:rsidRPr="00F90422" w14:paraId="3E7B4CAD" w14:textId="77777777" w:rsidTr="009D44E3">
        <w:trPr>
          <w:tblHeader/>
        </w:trPr>
        <w:tc>
          <w:tcPr>
            <w:tcW w:w="2854" w:type="dxa"/>
          </w:tcPr>
          <w:p w14:paraId="58FA76CD" w14:textId="77777777" w:rsidR="00EE2664" w:rsidRPr="00255C32" w:rsidRDefault="0052195D" w:rsidP="00255C32">
            <w:pPr>
              <w:pStyle w:val="NormalWeb"/>
              <w:spacing w:before="0" w:afterAutospacing="0" w:line="200" w:lineRule="atLeast"/>
              <w:jc w:val="left"/>
              <w:rPr>
                <w:rFonts w:asciiTheme="minorHAnsi" w:hAnsiTheme="minorHAnsi" w:cs="Arial"/>
              </w:rPr>
            </w:pPr>
            <w:hyperlink r:id="rId23" w:tgtFrame="_blank" w:history="1">
              <w:r w:rsidR="00EE2664" w:rsidRPr="00255C32">
                <w:rPr>
                  <w:rStyle w:val="Hyperlink"/>
                  <w:rFonts w:asciiTheme="minorHAnsi" w:hAnsiTheme="minorHAnsi" w:cs="Arial"/>
                  <w:color w:val="auto"/>
                  <w:u w:val="none"/>
                </w:rPr>
                <w:t xml:space="preserve">Toleafoa Dr. Viali Lameko </w:t>
              </w:r>
            </w:hyperlink>
          </w:p>
        </w:tc>
        <w:tc>
          <w:tcPr>
            <w:tcW w:w="2599" w:type="dxa"/>
          </w:tcPr>
          <w:p w14:paraId="1BAC7483" w14:textId="77777777" w:rsidR="00EE2664" w:rsidRPr="00F90422" w:rsidRDefault="00EE2664" w:rsidP="00255C32">
            <w:pPr>
              <w:pStyle w:val="NormalWeb"/>
              <w:spacing w:before="0" w:afterAutospacing="0" w:line="200" w:lineRule="atLeast"/>
              <w:jc w:val="left"/>
              <w:rPr>
                <w:rFonts w:asciiTheme="minorHAnsi" w:hAnsiTheme="minorHAnsi" w:cs="Arial"/>
              </w:rPr>
            </w:pPr>
            <w:r>
              <w:rPr>
                <w:rFonts w:asciiTheme="minorHAnsi" w:hAnsiTheme="minorHAnsi" w:cs="Arial"/>
              </w:rPr>
              <w:t>Samoa</w:t>
            </w:r>
          </w:p>
        </w:tc>
        <w:tc>
          <w:tcPr>
            <w:tcW w:w="2411" w:type="dxa"/>
          </w:tcPr>
          <w:p w14:paraId="41FE777E" w14:textId="77777777" w:rsidR="00EE2664" w:rsidRPr="00F90422" w:rsidRDefault="00EE2664" w:rsidP="00255C32">
            <w:pPr>
              <w:pStyle w:val="NormalWeb"/>
              <w:spacing w:before="0" w:afterAutospacing="0" w:line="200" w:lineRule="atLeast"/>
              <w:jc w:val="left"/>
              <w:rPr>
                <w:rFonts w:asciiTheme="minorHAnsi" w:hAnsiTheme="minorHAnsi" w:cs="Arial"/>
              </w:rPr>
            </w:pPr>
            <w:r>
              <w:rPr>
                <w:rFonts w:asciiTheme="minorHAnsi" w:hAnsiTheme="minorHAnsi" w:cs="Arial"/>
              </w:rPr>
              <w:t>Palliative care services</w:t>
            </w:r>
          </w:p>
        </w:tc>
        <w:tc>
          <w:tcPr>
            <w:tcW w:w="2686" w:type="dxa"/>
          </w:tcPr>
          <w:p w14:paraId="5A3AF590" w14:textId="77777777" w:rsidR="00EE2664" w:rsidRPr="00F90422" w:rsidRDefault="00EE2664" w:rsidP="00255C32">
            <w:pPr>
              <w:pStyle w:val="NormalWeb"/>
              <w:spacing w:before="0" w:afterAutospacing="0" w:line="200" w:lineRule="atLeast"/>
              <w:jc w:val="left"/>
              <w:rPr>
                <w:rFonts w:asciiTheme="minorHAnsi" w:hAnsiTheme="minorHAnsi" w:cs="Arial"/>
              </w:rPr>
            </w:pPr>
            <w:r w:rsidRPr="00F90422">
              <w:rPr>
                <w:rFonts w:asciiTheme="minorHAnsi" w:hAnsiTheme="minorHAnsi" w:cs="Arial"/>
              </w:rPr>
              <w:t xml:space="preserve">County Manukau Hospital, </w:t>
            </w:r>
            <w:r>
              <w:rPr>
                <w:rFonts w:asciiTheme="minorHAnsi" w:hAnsiTheme="minorHAnsi" w:cs="Arial"/>
              </w:rPr>
              <w:t>Auckland</w:t>
            </w:r>
          </w:p>
        </w:tc>
        <w:tc>
          <w:tcPr>
            <w:tcW w:w="3624" w:type="dxa"/>
          </w:tcPr>
          <w:p w14:paraId="22EB7885" w14:textId="77777777" w:rsidR="00EE2664" w:rsidRPr="00F90422" w:rsidRDefault="00EE2664" w:rsidP="00255C32">
            <w:pPr>
              <w:pStyle w:val="NormalWeb"/>
              <w:spacing w:before="0" w:afterAutospacing="0" w:line="200" w:lineRule="atLeast"/>
              <w:jc w:val="left"/>
              <w:rPr>
                <w:rFonts w:asciiTheme="minorHAnsi" w:hAnsiTheme="minorHAnsi" w:cs="Arial"/>
              </w:rPr>
            </w:pPr>
            <w:r w:rsidRPr="00F90422">
              <w:rPr>
                <w:rFonts w:asciiTheme="minorHAnsi" w:hAnsiTheme="minorHAnsi" w:cs="Arial"/>
                <w:shd w:val="clear" w:color="auto" w:fill="FFFFFF"/>
              </w:rPr>
              <w:t>Faculty of Medicine, University of Samoa</w:t>
            </w:r>
            <w:r w:rsidRPr="00F90422">
              <w:rPr>
                <w:rStyle w:val="apple-converted-space"/>
                <w:rFonts w:asciiTheme="minorHAnsi" w:hAnsiTheme="minorHAnsi" w:cs="Arial"/>
                <w:shd w:val="clear" w:color="auto" w:fill="FFFFFF"/>
              </w:rPr>
              <w:t> </w:t>
            </w:r>
          </w:p>
        </w:tc>
      </w:tr>
      <w:tr w:rsidR="00EE2664" w:rsidRPr="00F90422" w14:paraId="596C9034" w14:textId="77777777" w:rsidTr="009D44E3">
        <w:trPr>
          <w:tblHeader/>
        </w:trPr>
        <w:tc>
          <w:tcPr>
            <w:tcW w:w="2854" w:type="dxa"/>
          </w:tcPr>
          <w:p w14:paraId="1B3951D5" w14:textId="77777777" w:rsidR="00EE2664" w:rsidRPr="00255C32" w:rsidRDefault="00EE2664" w:rsidP="00255C32">
            <w:pPr>
              <w:pStyle w:val="NormalWeb"/>
              <w:spacing w:before="0" w:afterAutospacing="0" w:line="200" w:lineRule="atLeast"/>
              <w:jc w:val="left"/>
              <w:rPr>
                <w:rFonts w:asciiTheme="minorHAnsi" w:hAnsiTheme="minorHAnsi" w:cs="Arial"/>
              </w:rPr>
            </w:pPr>
            <w:r w:rsidRPr="00255C32">
              <w:rPr>
                <w:rFonts w:asciiTheme="minorHAnsi" w:hAnsiTheme="minorHAnsi" w:cs="Arial"/>
              </w:rPr>
              <w:t>Mr. Ravin Lal</w:t>
            </w:r>
          </w:p>
        </w:tc>
        <w:tc>
          <w:tcPr>
            <w:tcW w:w="2599" w:type="dxa"/>
          </w:tcPr>
          <w:p w14:paraId="010508B6" w14:textId="77777777" w:rsidR="00EE2664" w:rsidRPr="00F90422" w:rsidRDefault="00EE2664" w:rsidP="00255C32">
            <w:pPr>
              <w:pStyle w:val="NormalWeb"/>
              <w:spacing w:before="0" w:afterAutospacing="0" w:line="200" w:lineRule="atLeast"/>
              <w:jc w:val="left"/>
              <w:rPr>
                <w:rFonts w:asciiTheme="minorHAnsi" w:hAnsiTheme="minorHAnsi" w:cs="Arial"/>
              </w:rPr>
            </w:pPr>
            <w:r>
              <w:rPr>
                <w:rFonts w:asciiTheme="minorHAnsi" w:hAnsiTheme="minorHAnsi" w:cs="Arial"/>
              </w:rPr>
              <w:t>Fiji</w:t>
            </w:r>
          </w:p>
        </w:tc>
        <w:tc>
          <w:tcPr>
            <w:tcW w:w="2411" w:type="dxa"/>
          </w:tcPr>
          <w:p w14:paraId="392BE7AA" w14:textId="77777777" w:rsidR="00EE2664" w:rsidRPr="00F90422" w:rsidRDefault="00EE2664" w:rsidP="00255C32">
            <w:pPr>
              <w:pStyle w:val="NormalWeb"/>
              <w:spacing w:before="0" w:afterAutospacing="0" w:line="200" w:lineRule="atLeast"/>
              <w:jc w:val="left"/>
              <w:rPr>
                <w:rFonts w:asciiTheme="minorHAnsi" w:hAnsiTheme="minorHAnsi" w:cs="Arial"/>
              </w:rPr>
            </w:pPr>
            <w:r>
              <w:rPr>
                <w:rFonts w:asciiTheme="minorHAnsi" w:hAnsiTheme="minorHAnsi" w:cs="Arial"/>
              </w:rPr>
              <w:t>Breast cancer lymphedema research</w:t>
            </w:r>
          </w:p>
        </w:tc>
        <w:tc>
          <w:tcPr>
            <w:tcW w:w="2686" w:type="dxa"/>
          </w:tcPr>
          <w:p w14:paraId="64632B6A" w14:textId="77777777" w:rsidR="00EE2664" w:rsidRPr="00F90422" w:rsidRDefault="00EE2664" w:rsidP="00255C32">
            <w:pPr>
              <w:pStyle w:val="NormalWeb"/>
              <w:spacing w:before="0" w:afterAutospacing="0" w:line="200" w:lineRule="atLeast"/>
              <w:jc w:val="left"/>
              <w:rPr>
                <w:rFonts w:asciiTheme="minorHAnsi" w:hAnsiTheme="minorHAnsi" w:cs="Arial"/>
              </w:rPr>
            </w:pPr>
            <w:r w:rsidRPr="00F90422">
              <w:rPr>
                <w:rFonts w:asciiTheme="minorHAnsi" w:hAnsiTheme="minorHAnsi" w:cs="Arial"/>
              </w:rPr>
              <w:t>University of Queensland, Brisbane</w:t>
            </w:r>
          </w:p>
        </w:tc>
        <w:tc>
          <w:tcPr>
            <w:tcW w:w="3624" w:type="dxa"/>
          </w:tcPr>
          <w:p w14:paraId="4B8571D3" w14:textId="77777777" w:rsidR="00EE2664" w:rsidRPr="00F90422" w:rsidRDefault="00EE2664" w:rsidP="00255C32">
            <w:pPr>
              <w:pStyle w:val="NormalWeb"/>
              <w:spacing w:before="0" w:afterAutospacing="0" w:line="200" w:lineRule="atLeast"/>
              <w:jc w:val="left"/>
              <w:rPr>
                <w:rFonts w:asciiTheme="minorHAnsi" w:hAnsiTheme="minorHAnsi" w:cs="Arial"/>
              </w:rPr>
            </w:pPr>
            <w:r w:rsidRPr="00F90422">
              <w:rPr>
                <w:rFonts w:asciiTheme="minorHAnsi" w:hAnsiTheme="minorHAnsi" w:cs="Arial"/>
              </w:rPr>
              <w:t>Research Fellow, University of Queensland</w:t>
            </w:r>
          </w:p>
        </w:tc>
      </w:tr>
      <w:tr w:rsidR="00EE2664" w:rsidRPr="00F90422" w14:paraId="16EFC7A4" w14:textId="77777777" w:rsidTr="009D44E3">
        <w:trPr>
          <w:tblHeader/>
        </w:trPr>
        <w:tc>
          <w:tcPr>
            <w:tcW w:w="2854" w:type="dxa"/>
          </w:tcPr>
          <w:p w14:paraId="34E511F4" w14:textId="77777777" w:rsidR="00EE2664" w:rsidRPr="00255C32" w:rsidRDefault="00EE2664" w:rsidP="00255C32">
            <w:pPr>
              <w:pStyle w:val="NormalWeb"/>
              <w:spacing w:before="0" w:afterAutospacing="0" w:line="200" w:lineRule="atLeast"/>
              <w:jc w:val="left"/>
              <w:rPr>
                <w:rFonts w:asciiTheme="minorHAnsi" w:hAnsiTheme="minorHAnsi" w:cs="Arial"/>
              </w:rPr>
            </w:pPr>
            <w:r w:rsidRPr="00255C32">
              <w:rPr>
                <w:rStyle w:val="Strong"/>
                <w:rFonts w:asciiTheme="minorHAnsi" w:hAnsiTheme="minorHAnsi"/>
              </w:rPr>
              <w:t>2011-2012</w:t>
            </w:r>
          </w:p>
        </w:tc>
        <w:tc>
          <w:tcPr>
            <w:tcW w:w="2599" w:type="dxa"/>
          </w:tcPr>
          <w:p w14:paraId="52EE892B" w14:textId="77777777" w:rsidR="00EE2664" w:rsidRPr="00F90422" w:rsidRDefault="00EE2664" w:rsidP="00255C32">
            <w:pPr>
              <w:pStyle w:val="NormalWeb"/>
              <w:spacing w:before="0" w:afterAutospacing="0" w:line="200" w:lineRule="atLeast"/>
              <w:jc w:val="left"/>
              <w:rPr>
                <w:rFonts w:asciiTheme="minorHAnsi" w:hAnsiTheme="minorHAnsi" w:cs="Arial"/>
              </w:rPr>
            </w:pPr>
          </w:p>
        </w:tc>
        <w:tc>
          <w:tcPr>
            <w:tcW w:w="2411" w:type="dxa"/>
          </w:tcPr>
          <w:p w14:paraId="2411140F" w14:textId="77777777" w:rsidR="00EE2664" w:rsidRPr="00F90422" w:rsidRDefault="00EE2664" w:rsidP="00255C32">
            <w:pPr>
              <w:pStyle w:val="NormalWeb"/>
              <w:spacing w:before="0" w:afterAutospacing="0" w:line="200" w:lineRule="atLeast"/>
              <w:jc w:val="left"/>
              <w:rPr>
                <w:rFonts w:asciiTheme="minorHAnsi" w:hAnsiTheme="minorHAnsi" w:cs="Arial"/>
              </w:rPr>
            </w:pPr>
          </w:p>
        </w:tc>
        <w:tc>
          <w:tcPr>
            <w:tcW w:w="2686" w:type="dxa"/>
          </w:tcPr>
          <w:p w14:paraId="3E3B4A55" w14:textId="77777777" w:rsidR="00EE2664" w:rsidRPr="00F90422" w:rsidRDefault="00EE2664" w:rsidP="00255C32">
            <w:pPr>
              <w:pStyle w:val="NormalWeb"/>
              <w:spacing w:before="0" w:afterAutospacing="0" w:line="200" w:lineRule="atLeast"/>
              <w:jc w:val="left"/>
              <w:rPr>
                <w:rFonts w:asciiTheme="minorHAnsi" w:hAnsiTheme="minorHAnsi" w:cs="Arial"/>
              </w:rPr>
            </w:pPr>
          </w:p>
        </w:tc>
        <w:tc>
          <w:tcPr>
            <w:tcW w:w="3624" w:type="dxa"/>
          </w:tcPr>
          <w:p w14:paraId="039F7247" w14:textId="77777777" w:rsidR="00EE2664" w:rsidRPr="00F90422" w:rsidRDefault="00EE2664" w:rsidP="00255C32">
            <w:pPr>
              <w:pStyle w:val="NormalWeb"/>
              <w:spacing w:before="0" w:afterAutospacing="0" w:line="200" w:lineRule="atLeast"/>
              <w:jc w:val="left"/>
              <w:rPr>
                <w:rFonts w:asciiTheme="minorHAnsi" w:hAnsiTheme="minorHAnsi" w:cs="Arial"/>
              </w:rPr>
            </w:pPr>
          </w:p>
        </w:tc>
      </w:tr>
      <w:tr w:rsidR="00EE2664" w:rsidRPr="00F90422" w14:paraId="3D3F03E2" w14:textId="77777777" w:rsidTr="009D44E3">
        <w:trPr>
          <w:tblHeader/>
        </w:trPr>
        <w:tc>
          <w:tcPr>
            <w:tcW w:w="2854" w:type="dxa"/>
          </w:tcPr>
          <w:p w14:paraId="07CA9AC0" w14:textId="77777777" w:rsidR="00EE2664" w:rsidRPr="00255C32" w:rsidRDefault="00EE2664" w:rsidP="00255C32">
            <w:pPr>
              <w:pStyle w:val="NormalWeb"/>
              <w:spacing w:before="0" w:afterAutospacing="0" w:line="200" w:lineRule="atLeast"/>
              <w:jc w:val="left"/>
              <w:rPr>
                <w:rStyle w:val="Strong"/>
                <w:rFonts w:asciiTheme="minorHAnsi" w:hAnsiTheme="minorHAnsi"/>
              </w:rPr>
            </w:pPr>
            <w:r w:rsidRPr="00255C32">
              <w:rPr>
                <w:rFonts w:asciiTheme="minorHAnsi" w:hAnsiTheme="minorHAnsi" w:cs="Arial"/>
              </w:rPr>
              <w:t xml:space="preserve">Ms. Mary Faasau </w:t>
            </w:r>
          </w:p>
        </w:tc>
        <w:tc>
          <w:tcPr>
            <w:tcW w:w="2599" w:type="dxa"/>
          </w:tcPr>
          <w:p w14:paraId="029F65C3" w14:textId="77777777" w:rsidR="00EE2664" w:rsidRPr="00F90422" w:rsidRDefault="00EE2664" w:rsidP="00255C32">
            <w:pPr>
              <w:pStyle w:val="NormalWeb"/>
              <w:spacing w:before="0" w:afterAutospacing="0" w:line="200" w:lineRule="atLeast"/>
              <w:jc w:val="left"/>
              <w:rPr>
                <w:rFonts w:asciiTheme="minorHAnsi" w:hAnsiTheme="minorHAnsi" w:cs="Arial"/>
              </w:rPr>
            </w:pPr>
            <w:r>
              <w:rPr>
                <w:rFonts w:asciiTheme="minorHAnsi" w:hAnsiTheme="minorHAnsi" w:cs="Arial"/>
              </w:rPr>
              <w:t>Tonga</w:t>
            </w:r>
          </w:p>
        </w:tc>
        <w:tc>
          <w:tcPr>
            <w:tcW w:w="2411" w:type="dxa"/>
          </w:tcPr>
          <w:p w14:paraId="380F8B2F" w14:textId="77777777" w:rsidR="00EE2664" w:rsidRPr="00F90422" w:rsidRDefault="00EE2664" w:rsidP="00255C32">
            <w:pPr>
              <w:pStyle w:val="NormalWeb"/>
              <w:spacing w:before="0" w:afterAutospacing="0" w:line="200" w:lineRule="atLeast"/>
              <w:jc w:val="left"/>
              <w:rPr>
                <w:rFonts w:asciiTheme="minorHAnsi" w:hAnsiTheme="minorHAnsi" w:cs="Arial"/>
              </w:rPr>
            </w:pPr>
            <w:r>
              <w:rPr>
                <w:rFonts w:asciiTheme="minorHAnsi" w:hAnsiTheme="minorHAnsi" w:cs="Arial"/>
              </w:rPr>
              <w:t>Legislative drafting</w:t>
            </w:r>
          </w:p>
        </w:tc>
        <w:tc>
          <w:tcPr>
            <w:tcW w:w="2686" w:type="dxa"/>
          </w:tcPr>
          <w:p w14:paraId="475B5D66" w14:textId="77777777" w:rsidR="00EE2664" w:rsidRPr="00F90422" w:rsidRDefault="00EE2664" w:rsidP="00255C32">
            <w:pPr>
              <w:pStyle w:val="NormalWeb"/>
              <w:spacing w:before="0" w:afterAutospacing="0" w:line="200" w:lineRule="atLeast"/>
              <w:jc w:val="left"/>
              <w:rPr>
                <w:rFonts w:asciiTheme="minorHAnsi" w:hAnsiTheme="minorHAnsi" w:cs="Arial"/>
              </w:rPr>
            </w:pPr>
            <w:r w:rsidRPr="00F90422">
              <w:rPr>
                <w:rFonts w:asciiTheme="minorHAnsi" w:hAnsiTheme="minorHAnsi" w:cs="Arial"/>
              </w:rPr>
              <w:t>Pacific Islands Forum Secretariat, Suva</w:t>
            </w:r>
          </w:p>
        </w:tc>
        <w:tc>
          <w:tcPr>
            <w:tcW w:w="3624" w:type="dxa"/>
          </w:tcPr>
          <w:p w14:paraId="171ADBF0" w14:textId="77777777" w:rsidR="00EE2664" w:rsidRDefault="00EE2664" w:rsidP="00255C32">
            <w:pPr>
              <w:pStyle w:val="NormalWeb"/>
              <w:spacing w:before="0" w:afterAutospacing="0" w:line="200" w:lineRule="atLeast"/>
              <w:jc w:val="left"/>
              <w:rPr>
                <w:rFonts w:asciiTheme="minorHAnsi" w:hAnsiTheme="minorHAnsi" w:cs="Arial"/>
              </w:rPr>
            </w:pPr>
            <w:r w:rsidRPr="00F90422">
              <w:rPr>
                <w:rFonts w:asciiTheme="minorHAnsi" w:hAnsiTheme="minorHAnsi" w:cs="Arial"/>
              </w:rPr>
              <w:t>Pacific Islands Forum Secretariat, Suva</w:t>
            </w:r>
          </w:p>
          <w:p w14:paraId="7C743D68" w14:textId="77777777" w:rsidR="00EE2664" w:rsidRDefault="00EE2664" w:rsidP="00255C32">
            <w:pPr>
              <w:pStyle w:val="NormalWeb"/>
              <w:spacing w:before="0" w:afterAutospacing="0" w:line="200" w:lineRule="atLeast"/>
              <w:jc w:val="left"/>
              <w:rPr>
                <w:rFonts w:asciiTheme="minorHAnsi" w:hAnsiTheme="minorHAnsi" w:cs="Arial"/>
              </w:rPr>
            </w:pPr>
          </w:p>
          <w:p w14:paraId="1264B9F7" w14:textId="77777777" w:rsidR="00EE2664" w:rsidRPr="00F90422" w:rsidRDefault="00EE2664" w:rsidP="00255C32">
            <w:pPr>
              <w:pStyle w:val="NormalWeb"/>
              <w:spacing w:before="0" w:afterAutospacing="0" w:line="200" w:lineRule="atLeast"/>
              <w:jc w:val="left"/>
              <w:rPr>
                <w:rFonts w:asciiTheme="minorHAnsi" w:hAnsiTheme="minorHAnsi" w:cs="Arial"/>
              </w:rPr>
            </w:pPr>
          </w:p>
        </w:tc>
      </w:tr>
      <w:tr w:rsidR="00EE2664" w:rsidRPr="00F90422" w14:paraId="280C3A1A" w14:textId="77777777" w:rsidTr="009D44E3">
        <w:trPr>
          <w:tblHeader/>
        </w:trPr>
        <w:tc>
          <w:tcPr>
            <w:tcW w:w="2854" w:type="dxa"/>
          </w:tcPr>
          <w:p w14:paraId="3584D60F" w14:textId="77777777" w:rsidR="00EE2664" w:rsidRPr="00255C32" w:rsidRDefault="0052195D" w:rsidP="00255C32">
            <w:pPr>
              <w:pStyle w:val="NormalWeb"/>
              <w:spacing w:before="0" w:afterAutospacing="0" w:line="200" w:lineRule="atLeast"/>
              <w:jc w:val="left"/>
              <w:rPr>
                <w:rFonts w:asciiTheme="minorHAnsi" w:hAnsiTheme="minorHAnsi" w:cs="Arial"/>
              </w:rPr>
            </w:pPr>
            <w:hyperlink r:id="rId24" w:tgtFrame="_blank" w:history="1">
              <w:r w:rsidR="00EE2664" w:rsidRPr="00255C32">
                <w:rPr>
                  <w:rStyle w:val="Hyperlink"/>
                  <w:rFonts w:asciiTheme="minorHAnsi" w:hAnsiTheme="minorHAnsi" w:cs="Arial"/>
                  <w:color w:val="auto"/>
                  <w:u w:val="none"/>
                </w:rPr>
                <w:t>Mr. Rohitesh Kumar</w:t>
              </w:r>
            </w:hyperlink>
          </w:p>
        </w:tc>
        <w:tc>
          <w:tcPr>
            <w:tcW w:w="2599" w:type="dxa"/>
          </w:tcPr>
          <w:p w14:paraId="4414D8F0" w14:textId="77777777" w:rsidR="00EE2664" w:rsidRPr="00F90422" w:rsidRDefault="00EE2664" w:rsidP="00255C32">
            <w:pPr>
              <w:pStyle w:val="NormalWeb"/>
              <w:spacing w:before="0" w:afterAutospacing="0" w:line="200" w:lineRule="atLeast"/>
              <w:jc w:val="left"/>
              <w:rPr>
                <w:rFonts w:asciiTheme="minorHAnsi" w:hAnsiTheme="minorHAnsi"/>
                <w:shd w:val="clear" w:color="auto" w:fill="F3F3F3"/>
              </w:rPr>
            </w:pPr>
            <w:r>
              <w:rPr>
                <w:rFonts w:asciiTheme="minorHAnsi" w:hAnsiTheme="minorHAnsi"/>
                <w:shd w:val="clear" w:color="auto" w:fill="F3F3F3"/>
              </w:rPr>
              <w:t>Fiji</w:t>
            </w:r>
          </w:p>
        </w:tc>
        <w:tc>
          <w:tcPr>
            <w:tcW w:w="2411" w:type="dxa"/>
          </w:tcPr>
          <w:p w14:paraId="6ED340B5" w14:textId="77777777" w:rsidR="00EE2664" w:rsidRPr="00F90422" w:rsidRDefault="00EE2664" w:rsidP="00255C32">
            <w:pPr>
              <w:pStyle w:val="NormalWeb"/>
              <w:spacing w:before="0" w:afterAutospacing="0" w:line="200" w:lineRule="atLeast"/>
              <w:jc w:val="left"/>
              <w:rPr>
                <w:rFonts w:asciiTheme="minorHAnsi" w:hAnsiTheme="minorHAnsi"/>
                <w:shd w:val="clear" w:color="auto" w:fill="F3F3F3"/>
              </w:rPr>
            </w:pPr>
            <w:r>
              <w:rPr>
                <w:rFonts w:asciiTheme="minorHAnsi" w:hAnsiTheme="minorHAnsi"/>
                <w:shd w:val="clear" w:color="auto" w:fill="F3F3F3"/>
              </w:rPr>
              <w:t xml:space="preserve">Research on cancer fighting </w:t>
            </w:r>
            <w:r w:rsidRPr="00581128">
              <w:rPr>
                <w:rFonts w:asciiTheme="minorHAnsi" w:hAnsiTheme="minorHAnsi"/>
                <w:shd w:val="clear" w:color="auto" w:fill="F3F3F3"/>
              </w:rPr>
              <w:t xml:space="preserve">products </w:t>
            </w:r>
            <w:r>
              <w:rPr>
                <w:rFonts w:asciiTheme="minorHAnsi" w:hAnsiTheme="minorHAnsi"/>
                <w:shd w:val="clear" w:color="auto" w:fill="F3F3F3"/>
              </w:rPr>
              <w:t>derived from</w:t>
            </w:r>
            <w:r w:rsidRPr="00581128">
              <w:rPr>
                <w:rFonts w:asciiTheme="minorHAnsi" w:hAnsiTheme="minorHAnsi"/>
                <w:shd w:val="clear" w:color="auto" w:fill="F3F3F3"/>
              </w:rPr>
              <w:t xml:space="preserve"> rainforest fungi and Great Barrier Reef marine sponges</w:t>
            </w:r>
          </w:p>
        </w:tc>
        <w:tc>
          <w:tcPr>
            <w:tcW w:w="2686" w:type="dxa"/>
          </w:tcPr>
          <w:p w14:paraId="39665192" w14:textId="77777777" w:rsidR="00EE2664" w:rsidRPr="00F90422" w:rsidRDefault="00EE2664" w:rsidP="00255C32">
            <w:pPr>
              <w:pStyle w:val="NormalWeb"/>
              <w:spacing w:before="0" w:afterAutospacing="0" w:line="200" w:lineRule="atLeast"/>
              <w:jc w:val="left"/>
              <w:rPr>
                <w:rFonts w:asciiTheme="minorHAnsi" w:hAnsiTheme="minorHAnsi" w:cs="Arial"/>
              </w:rPr>
            </w:pPr>
            <w:r w:rsidRPr="00F90422">
              <w:rPr>
                <w:rFonts w:asciiTheme="minorHAnsi" w:hAnsiTheme="minorHAnsi"/>
                <w:shd w:val="clear" w:color="auto" w:fill="F3F3F3"/>
              </w:rPr>
              <w:t>Griffith University’s Eskitis Institute, Australia</w:t>
            </w:r>
          </w:p>
        </w:tc>
        <w:tc>
          <w:tcPr>
            <w:tcW w:w="3624" w:type="dxa"/>
          </w:tcPr>
          <w:p w14:paraId="25542495" w14:textId="77777777" w:rsidR="00EE2664" w:rsidRPr="00F90422" w:rsidRDefault="00EE2664" w:rsidP="00255C32">
            <w:pPr>
              <w:pStyle w:val="NormalWeb"/>
              <w:spacing w:before="0" w:afterAutospacing="0" w:line="200" w:lineRule="atLeast"/>
              <w:jc w:val="left"/>
              <w:rPr>
                <w:rFonts w:asciiTheme="minorHAnsi" w:hAnsiTheme="minorHAnsi" w:cs="Arial"/>
              </w:rPr>
            </w:pPr>
            <w:r w:rsidRPr="00F90422">
              <w:rPr>
                <w:rFonts w:asciiTheme="minorHAnsi" w:hAnsiTheme="minorHAnsi" w:cs="Arial"/>
              </w:rPr>
              <w:t>Pursing Ph</w:t>
            </w:r>
            <w:r>
              <w:rPr>
                <w:rFonts w:asciiTheme="minorHAnsi" w:hAnsiTheme="minorHAnsi" w:cs="Arial"/>
              </w:rPr>
              <w:t>D</w:t>
            </w:r>
            <w:r w:rsidRPr="00F90422">
              <w:rPr>
                <w:rFonts w:asciiTheme="minorHAnsi" w:hAnsiTheme="minorHAnsi" w:cs="Arial"/>
              </w:rPr>
              <w:t>. at Griffith</w:t>
            </w:r>
            <w:r>
              <w:rPr>
                <w:rFonts w:asciiTheme="minorHAnsi" w:hAnsiTheme="minorHAnsi" w:cs="Arial"/>
              </w:rPr>
              <w:t xml:space="preserve"> University</w:t>
            </w:r>
          </w:p>
        </w:tc>
      </w:tr>
      <w:tr w:rsidR="00EE2664" w:rsidRPr="00F90422" w14:paraId="74F4293E" w14:textId="77777777" w:rsidTr="009D44E3">
        <w:trPr>
          <w:tblHeader/>
        </w:trPr>
        <w:tc>
          <w:tcPr>
            <w:tcW w:w="2854" w:type="dxa"/>
          </w:tcPr>
          <w:p w14:paraId="781DC657" w14:textId="77777777" w:rsidR="00EE2664" w:rsidRPr="00255C32" w:rsidRDefault="0052195D" w:rsidP="00255C32">
            <w:pPr>
              <w:pStyle w:val="NormalWeb"/>
              <w:spacing w:before="0" w:afterAutospacing="0" w:line="200" w:lineRule="atLeast"/>
              <w:jc w:val="left"/>
              <w:rPr>
                <w:rFonts w:asciiTheme="minorHAnsi" w:hAnsiTheme="minorHAnsi" w:cs="Arial"/>
              </w:rPr>
            </w:pPr>
            <w:hyperlink r:id="rId25" w:tgtFrame="_blank" w:history="1">
              <w:r w:rsidR="00EE2664" w:rsidRPr="00255C32">
                <w:rPr>
                  <w:rStyle w:val="Hyperlink"/>
                  <w:rFonts w:asciiTheme="minorHAnsi" w:hAnsiTheme="minorHAnsi" w:cs="Arial"/>
                  <w:color w:val="auto"/>
                  <w:u w:val="none"/>
                </w:rPr>
                <w:t xml:space="preserve">Ms. Takena Redfern </w:t>
              </w:r>
            </w:hyperlink>
          </w:p>
        </w:tc>
        <w:tc>
          <w:tcPr>
            <w:tcW w:w="2599" w:type="dxa"/>
          </w:tcPr>
          <w:p w14:paraId="294F0213" w14:textId="77777777" w:rsidR="00EE2664" w:rsidRPr="00F90422" w:rsidRDefault="00EE2664" w:rsidP="00255C32">
            <w:pPr>
              <w:pStyle w:val="NormalWeb"/>
              <w:spacing w:before="0" w:afterAutospacing="0" w:line="200" w:lineRule="atLeast"/>
              <w:jc w:val="left"/>
              <w:rPr>
                <w:rFonts w:asciiTheme="minorHAnsi" w:hAnsiTheme="minorHAnsi" w:cs="Arial"/>
              </w:rPr>
            </w:pPr>
            <w:r>
              <w:rPr>
                <w:rFonts w:asciiTheme="minorHAnsi" w:hAnsiTheme="minorHAnsi" w:cs="Arial"/>
              </w:rPr>
              <w:t>Kiribati</w:t>
            </w:r>
          </w:p>
        </w:tc>
        <w:tc>
          <w:tcPr>
            <w:tcW w:w="2411" w:type="dxa"/>
          </w:tcPr>
          <w:p w14:paraId="570F6027" w14:textId="77777777" w:rsidR="00EE2664" w:rsidRPr="00F90422" w:rsidRDefault="00EE2664" w:rsidP="00255C32">
            <w:pPr>
              <w:pStyle w:val="NormalWeb"/>
              <w:spacing w:before="0" w:afterAutospacing="0" w:line="200" w:lineRule="atLeast"/>
              <w:jc w:val="left"/>
              <w:rPr>
                <w:rFonts w:asciiTheme="minorHAnsi" w:hAnsiTheme="minorHAnsi" w:cs="Arial"/>
              </w:rPr>
            </w:pPr>
            <w:r>
              <w:rPr>
                <w:rFonts w:asciiTheme="minorHAnsi" w:hAnsiTheme="minorHAnsi" w:cs="Arial"/>
              </w:rPr>
              <w:t>S</w:t>
            </w:r>
            <w:r w:rsidRPr="00581128">
              <w:rPr>
                <w:rFonts w:asciiTheme="minorHAnsi" w:hAnsiTheme="minorHAnsi" w:cs="Arial"/>
              </w:rPr>
              <w:t>alinity tolerance levels of swamp taro varieties from various Pacific Island countries</w:t>
            </w:r>
          </w:p>
        </w:tc>
        <w:tc>
          <w:tcPr>
            <w:tcW w:w="2686" w:type="dxa"/>
          </w:tcPr>
          <w:p w14:paraId="03E89C6D" w14:textId="77777777" w:rsidR="00EE2664" w:rsidRPr="00F90422" w:rsidRDefault="00EE2664" w:rsidP="00255C32">
            <w:pPr>
              <w:pStyle w:val="NormalWeb"/>
              <w:spacing w:before="0" w:afterAutospacing="0" w:line="200" w:lineRule="atLeast"/>
              <w:jc w:val="left"/>
              <w:rPr>
                <w:rFonts w:asciiTheme="minorHAnsi" w:hAnsiTheme="minorHAnsi" w:cs="Arial"/>
              </w:rPr>
            </w:pPr>
            <w:r w:rsidRPr="00F90422">
              <w:rPr>
                <w:rFonts w:asciiTheme="minorHAnsi" w:hAnsiTheme="minorHAnsi" w:cs="Arial"/>
              </w:rPr>
              <w:t>Secretariat of the Pacific Community, Suva.</w:t>
            </w:r>
          </w:p>
        </w:tc>
        <w:tc>
          <w:tcPr>
            <w:tcW w:w="3624" w:type="dxa"/>
          </w:tcPr>
          <w:p w14:paraId="0DC5B66D" w14:textId="77777777" w:rsidR="00EE2664" w:rsidRPr="00F90422" w:rsidRDefault="00EE2664" w:rsidP="00255C32">
            <w:pPr>
              <w:pStyle w:val="NormalWeb"/>
              <w:spacing w:before="0" w:afterAutospacing="0" w:line="200" w:lineRule="atLeast"/>
              <w:jc w:val="left"/>
              <w:rPr>
                <w:rFonts w:asciiTheme="minorHAnsi" w:hAnsiTheme="minorHAnsi" w:cs="Arial"/>
              </w:rPr>
            </w:pPr>
            <w:r w:rsidRPr="00F90422">
              <w:rPr>
                <w:rFonts w:asciiTheme="minorHAnsi" w:hAnsiTheme="minorHAnsi" w:cs="Arial"/>
              </w:rPr>
              <w:t>Technician MInistry of Agriculture, Kiribati</w:t>
            </w:r>
          </w:p>
        </w:tc>
      </w:tr>
      <w:tr w:rsidR="00EE2664" w:rsidRPr="00F90422" w14:paraId="3CD0B8BB" w14:textId="77777777" w:rsidTr="009D44E3">
        <w:trPr>
          <w:tblHeader/>
        </w:trPr>
        <w:tc>
          <w:tcPr>
            <w:tcW w:w="2854" w:type="dxa"/>
          </w:tcPr>
          <w:p w14:paraId="55DF31D3" w14:textId="77777777" w:rsidR="00EE2664" w:rsidRPr="00255C32" w:rsidRDefault="00EE2664" w:rsidP="00255C32">
            <w:pPr>
              <w:pStyle w:val="NormalWeb"/>
              <w:spacing w:before="0" w:afterAutospacing="0" w:line="200" w:lineRule="atLeast"/>
              <w:jc w:val="left"/>
              <w:rPr>
                <w:rFonts w:asciiTheme="minorHAnsi" w:hAnsiTheme="minorHAnsi" w:cs="Arial"/>
              </w:rPr>
            </w:pPr>
            <w:r w:rsidRPr="00255C32">
              <w:rPr>
                <w:rFonts w:asciiTheme="minorHAnsi" w:hAnsiTheme="minorHAnsi" w:cs="Arial"/>
              </w:rPr>
              <w:t xml:space="preserve">Dr. Cathy Timothy </w:t>
            </w:r>
          </w:p>
        </w:tc>
        <w:tc>
          <w:tcPr>
            <w:tcW w:w="2599" w:type="dxa"/>
          </w:tcPr>
          <w:p w14:paraId="6E8740B2" w14:textId="77777777" w:rsidR="00EE2664" w:rsidRPr="00F90422" w:rsidRDefault="00EE2664" w:rsidP="00255C32">
            <w:pPr>
              <w:pStyle w:val="NormalWeb"/>
              <w:spacing w:before="0" w:afterAutospacing="0" w:line="200" w:lineRule="atLeast"/>
              <w:jc w:val="left"/>
              <w:rPr>
                <w:rFonts w:asciiTheme="minorHAnsi" w:hAnsiTheme="minorHAnsi" w:cs="Arial"/>
              </w:rPr>
            </w:pPr>
            <w:r>
              <w:rPr>
                <w:rFonts w:asciiTheme="minorHAnsi" w:hAnsiTheme="minorHAnsi" w:cs="Arial"/>
              </w:rPr>
              <w:t>Papua New Guinea</w:t>
            </w:r>
          </w:p>
        </w:tc>
        <w:tc>
          <w:tcPr>
            <w:tcW w:w="2411" w:type="dxa"/>
          </w:tcPr>
          <w:p w14:paraId="55C9CCB9" w14:textId="77777777" w:rsidR="00EE2664" w:rsidRPr="00F90422" w:rsidRDefault="00EE2664" w:rsidP="00255C32">
            <w:pPr>
              <w:pStyle w:val="NormalWeb"/>
              <w:spacing w:before="0" w:afterAutospacing="0" w:line="200" w:lineRule="atLeast"/>
              <w:jc w:val="left"/>
              <w:rPr>
                <w:rFonts w:asciiTheme="minorHAnsi" w:hAnsiTheme="minorHAnsi" w:cs="Arial"/>
              </w:rPr>
            </w:pPr>
            <w:r>
              <w:rPr>
                <w:rFonts w:asciiTheme="minorHAnsi" w:hAnsiTheme="minorHAnsi" w:cs="Arial"/>
              </w:rPr>
              <w:t xml:space="preserve">New technology in radiation oncology </w:t>
            </w:r>
          </w:p>
        </w:tc>
        <w:tc>
          <w:tcPr>
            <w:tcW w:w="2686" w:type="dxa"/>
          </w:tcPr>
          <w:p w14:paraId="39BFA9F4" w14:textId="77777777" w:rsidR="00EE2664" w:rsidRPr="00F90422" w:rsidRDefault="00EE2664" w:rsidP="00255C32">
            <w:pPr>
              <w:pStyle w:val="NormalWeb"/>
              <w:spacing w:before="0" w:afterAutospacing="0" w:line="200" w:lineRule="atLeast"/>
              <w:jc w:val="left"/>
              <w:rPr>
                <w:rFonts w:asciiTheme="minorHAnsi" w:hAnsiTheme="minorHAnsi" w:cs="Arial"/>
              </w:rPr>
            </w:pPr>
            <w:r w:rsidRPr="00F90422">
              <w:rPr>
                <w:rFonts w:asciiTheme="minorHAnsi" w:hAnsiTheme="minorHAnsi" w:cs="Arial"/>
              </w:rPr>
              <w:t>Prince of Wales Hospital, Sydney</w:t>
            </w:r>
          </w:p>
        </w:tc>
        <w:tc>
          <w:tcPr>
            <w:tcW w:w="3624" w:type="dxa"/>
          </w:tcPr>
          <w:p w14:paraId="08E7B9D4" w14:textId="77777777" w:rsidR="00EE2664" w:rsidRPr="00F90422" w:rsidRDefault="00EE2664" w:rsidP="00255C32">
            <w:pPr>
              <w:pStyle w:val="NormalWeb"/>
              <w:spacing w:before="0" w:afterAutospacing="0" w:line="200" w:lineRule="atLeast"/>
              <w:jc w:val="left"/>
              <w:rPr>
                <w:rFonts w:asciiTheme="minorHAnsi" w:hAnsiTheme="minorHAnsi" w:cs="Arial"/>
              </w:rPr>
            </w:pPr>
            <w:r w:rsidRPr="00F90422">
              <w:rPr>
                <w:rFonts w:asciiTheme="minorHAnsi" w:hAnsiTheme="minorHAnsi" w:cs="Arial"/>
              </w:rPr>
              <w:t>Health Department, Angau Hospital, PNG</w:t>
            </w:r>
          </w:p>
        </w:tc>
      </w:tr>
      <w:tr w:rsidR="00EE2664" w:rsidRPr="00F90422" w14:paraId="51C8F0B8" w14:textId="77777777" w:rsidTr="009D44E3">
        <w:trPr>
          <w:tblHeader/>
        </w:trPr>
        <w:tc>
          <w:tcPr>
            <w:tcW w:w="2854" w:type="dxa"/>
          </w:tcPr>
          <w:p w14:paraId="2E4BB90C" w14:textId="77777777" w:rsidR="00EE2664" w:rsidRPr="00255C32" w:rsidRDefault="00EE2664" w:rsidP="00255C32">
            <w:pPr>
              <w:pStyle w:val="NormalWeb"/>
              <w:spacing w:before="0" w:afterAutospacing="0" w:line="200" w:lineRule="atLeast"/>
              <w:jc w:val="left"/>
              <w:rPr>
                <w:rFonts w:asciiTheme="minorHAnsi" w:hAnsiTheme="minorHAnsi" w:cs="Arial"/>
              </w:rPr>
            </w:pPr>
            <w:r w:rsidRPr="00255C32">
              <w:rPr>
                <w:rFonts w:asciiTheme="minorHAnsi" w:hAnsiTheme="minorHAnsi" w:cs="Arial"/>
              </w:rPr>
              <w:t xml:space="preserve">Mr. Humpress Harrington </w:t>
            </w:r>
          </w:p>
        </w:tc>
        <w:tc>
          <w:tcPr>
            <w:tcW w:w="2599" w:type="dxa"/>
          </w:tcPr>
          <w:p w14:paraId="2A06D668" w14:textId="77777777" w:rsidR="00EE2664" w:rsidRPr="00F90422" w:rsidRDefault="00EE2664" w:rsidP="00255C32">
            <w:pPr>
              <w:pStyle w:val="NormalWeb"/>
              <w:spacing w:before="0" w:afterAutospacing="0" w:line="200" w:lineRule="atLeast"/>
              <w:jc w:val="left"/>
              <w:rPr>
                <w:rFonts w:asciiTheme="minorHAnsi" w:hAnsiTheme="minorHAnsi" w:cs="Arial"/>
              </w:rPr>
            </w:pPr>
            <w:r>
              <w:rPr>
                <w:rFonts w:asciiTheme="minorHAnsi" w:hAnsiTheme="minorHAnsi" w:cs="Arial"/>
              </w:rPr>
              <w:t>Solomon Islands</w:t>
            </w:r>
          </w:p>
        </w:tc>
        <w:tc>
          <w:tcPr>
            <w:tcW w:w="2411" w:type="dxa"/>
          </w:tcPr>
          <w:p w14:paraId="635C0D79" w14:textId="77777777" w:rsidR="00EE2664" w:rsidRPr="00F90422" w:rsidRDefault="00EE2664" w:rsidP="00255C32">
            <w:pPr>
              <w:pStyle w:val="NormalWeb"/>
              <w:spacing w:before="0" w:afterAutospacing="0" w:line="200" w:lineRule="atLeast"/>
              <w:jc w:val="left"/>
              <w:rPr>
                <w:rFonts w:asciiTheme="minorHAnsi" w:hAnsiTheme="minorHAnsi" w:cs="Arial"/>
              </w:rPr>
            </w:pPr>
            <w:r>
              <w:rPr>
                <w:rFonts w:asciiTheme="minorHAnsi" w:hAnsiTheme="minorHAnsi" w:cs="Arial"/>
              </w:rPr>
              <w:t xml:space="preserve">Exposure to governance and management arrangements </w:t>
            </w:r>
          </w:p>
        </w:tc>
        <w:tc>
          <w:tcPr>
            <w:tcW w:w="2686" w:type="dxa"/>
          </w:tcPr>
          <w:p w14:paraId="5D7DD5EA" w14:textId="77777777" w:rsidR="00EE2664" w:rsidRPr="00F90422" w:rsidRDefault="00EE2664" w:rsidP="00255C32">
            <w:pPr>
              <w:pStyle w:val="NormalWeb"/>
              <w:spacing w:before="0" w:afterAutospacing="0" w:line="200" w:lineRule="atLeast"/>
              <w:jc w:val="left"/>
              <w:rPr>
                <w:rFonts w:asciiTheme="minorHAnsi" w:hAnsiTheme="minorHAnsi" w:cs="Arial"/>
              </w:rPr>
            </w:pPr>
            <w:r>
              <w:rPr>
                <w:rFonts w:asciiTheme="minorHAnsi" w:hAnsiTheme="minorHAnsi" w:cs="Arial"/>
              </w:rPr>
              <w:t>School of Nursing, Midwifery and Nutrition,</w:t>
            </w:r>
            <w:r w:rsidRPr="00F90422">
              <w:rPr>
                <w:rFonts w:asciiTheme="minorHAnsi" w:hAnsiTheme="minorHAnsi" w:cs="Arial"/>
              </w:rPr>
              <w:t xml:space="preserve"> James Cook University, Townsville</w:t>
            </w:r>
          </w:p>
        </w:tc>
        <w:tc>
          <w:tcPr>
            <w:tcW w:w="3624" w:type="dxa"/>
          </w:tcPr>
          <w:p w14:paraId="3F844E9F" w14:textId="77777777" w:rsidR="00EE2664" w:rsidRPr="00F90422" w:rsidRDefault="00EE2664" w:rsidP="00255C32">
            <w:pPr>
              <w:pStyle w:val="NormalWeb"/>
              <w:spacing w:before="0" w:afterAutospacing="0" w:line="200" w:lineRule="atLeast"/>
              <w:jc w:val="left"/>
              <w:rPr>
                <w:rFonts w:asciiTheme="minorHAnsi" w:hAnsiTheme="minorHAnsi" w:cs="Arial"/>
              </w:rPr>
            </w:pPr>
            <w:r w:rsidRPr="00F90422">
              <w:rPr>
                <w:rFonts w:asciiTheme="minorHAnsi" w:hAnsiTheme="minorHAnsi" w:cs="Arial"/>
              </w:rPr>
              <w:t>Director Nursing, Seventh Day Adventist Church, Solomon ISlands</w:t>
            </w:r>
          </w:p>
        </w:tc>
      </w:tr>
      <w:tr w:rsidR="00EE2664" w:rsidRPr="00F90422" w14:paraId="69F65B82" w14:textId="77777777" w:rsidTr="009D44E3">
        <w:trPr>
          <w:tblHeader/>
        </w:trPr>
        <w:tc>
          <w:tcPr>
            <w:tcW w:w="2854" w:type="dxa"/>
          </w:tcPr>
          <w:p w14:paraId="24C79D36" w14:textId="77777777" w:rsidR="00EE2664" w:rsidRPr="00255C32" w:rsidRDefault="00EE2664" w:rsidP="00255C32">
            <w:pPr>
              <w:pStyle w:val="NormalWeb"/>
              <w:spacing w:before="0" w:afterAutospacing="0" w:line="200" w:lineRule="atLeast"/>
              <w:jc w:val="left"/>
              <w:rPr>
                <w:rFonts w:asciiTheme="minorHAnsi" w:hAnsiTheme="minorHAnsi" w:cs="Arial"/>
              </w:rPr>
            </w:pPr>
            <w:r w:rsidRPr="00255C32">
              <w:rPr>
                <w:rFonts w:asciiTheme="minorHAnsi" w:hAnsiTheme="minorHAnsi" w:cs="Arial"/>
              </w:rPr>
              <w:t>Ms. Siatua Lautua</w:t>
            </w:r>
          </w:p>
        </w:tc>
        <w:tc>
          <w:tcPr>
            <w:tcW w:w="2599" w:type="dxa"/>
          </w:tcPr>
          <w:p w14:paraId="18E6D658" w14:textId="77777777" w:rsidR="00EE2664" w:rsidRPr="00F90422" w:rsidRDefault="00EE2664" w:rsidP="00255C32">
            <w:pPr>
              <w:pStyle w:val="NormalWeb"/>
              <w:spacing w:before="0" w:afterAutospacing="0" w:line="200" w:lineRule="atLeast"/>
              <w:jc w:val="left"/>
              <w:rPr>
                <w:rFonts w:asciiTheme="minorHAnsi" w:hAnsiTheme="minorHAnsi" w:cs="Arial"/>
              </w:rPr>
            </w:pPr>
            <w:r>
              <w:rPr>
                <w:rFonts w:asciiTheme="minorHAnsi" w:hAnsiTheme="minorHAnsi" w:cs="Arial"/>
              </w:rPr>
              <w:t>Samoa</w:t>
            </w:r>
          </w:p>
        </w:tc>
        <w:tc>
          <w:tcPr>
            <w:tcW w:w="2411" w:type="dxa"/>
          </w:tcPr>
          <w:p w14:paraId="6AB9AA82" w14:textId="77777777" w:rsidR="00EE2664" w:rsidRPr="00F90422" w:rsidRDefault="00EE2664" w:rsidP="00255C32">
            <w:pPr>
              <w:pStyle w:val="NormalWeb"/>
              <w:spacing w:before="0" w:afterAutospacing="0" w:line="200" w:lineRule="atLeast"/>
              <w:jc w:val="left"/>
              <w:rPr>
                <w:rFonts w:asciiTheme="minorHAnsi" w:hAnsiTheme="minorHAnsi" w:cs="Arial"/>
              </w:rPr>
            </w:pPr>
            <w:r>
              <w:rPr>
                <w:rFonts w:asciiTheme="minorHAnsi" w:hAnsiTheme="minorHAnsi" w:cs="Arial"/>
              </w:rPr>
              <w:t>Effective water supply management</w:t>
            </w:r>
          </w:p>
        </w:tc>
        <w:tc>
          <w:tcPr>
            <w:tcW w:w="2686" w:type="dxa"/>
          </w:tcPr>
          <w:p w14:paraId="6FCF346F" w14:textId="77777777" w:rsidR="00EE2664" w:rsidRPr="00F90422" w:rsidRDefault="00EE2664" w:rsidP="00255C32">
            <w:pPr>
              <w:pStyle w:val="NormalWeb"/>
              <w:spacing w:before="0" w:afterAutospacing="0" w:line="200" w:lineRule="atLeast"/>
              <w:jc w:val="left"/>
              <w:rPr>
                <w:rFonts w:asciiTheme="minorHAnsi" w:hAnsiTheme="minorHAnsi" w:cs="Arial"/>
              </w:rPr>
            </w:pPr>
            <w:r w:rsidRPr="00F90422">
              <w:rPr>
                <w:rFonts w:asciiTheme="minorHAnsi" w:hAnsiTheme="minorHAnsi" w:cs="Arial"/>
              </w:rPr>
              <w:t>CSIRO, Victoria</w:t>
            </w:r>
          </w:p>
        </w:tc>
        <w:tc>
          <w:tcPr>
            <w:tcW w:w="3624" w:type="dxa"/>
          </w:tcPr>
          <w:p w14:paraId="7B1B8626" w14:textId="77777777" w:rsidR="00EE2664" w:rsidRPr="00F90422" w:rsidRDefault="00EE2664" w:rsidP="00255C32">
            <w:pPr>
              <w:pStyle w:val="NormalWeb"/>
              <w:spacing w:before="0" w:afterAutospacing="0" w:line="200" w:lineRule="atLeast"/>
              <w:jc w:val="left"/>
              <w:rPr>
                <w:rFonts w:asciiTheme="minorHAnsi" w:hAnsiTheme="minorHAnsi" w:cs="Arial"/>
              </w:rPr>
            </w:pPr>
            <w:r w:rsidRPr="00F90422">
              <w:rPr>
                <w:rFonts w:asciiTheme="minorHAnsi" w:hAnsiTheme="minorHAnsi" w:cs="Arial"/>
              </w:rPr>
              <w:t>Samoa Water Authority, Apia</w:t>
            </w:r>
          </w:p>
        </w:tc>
      </w:tr>
      <w:tr w:rsidR="00EE2664" w:rsidRPr="00F90422" w14:paraId="1B774215" w14:textId="77777777" w:rsidTr="009D44E3">
        <w:trPr>
          <w:tblHeader/>
        </w:trPr>
        <w:tc>
          <w:tcPr>
            <w:tcW w:w="2854" w:type="dxa"/>
          </w:tcPr>
          <w:p w14:paraId="2B21863C" w14:textId="77777777" w:rsidR="00EE2664" w:rsidRPr="00255C32" w:rsidRDefault="00EE2664" w:rsidP="00255C32">
            <w:pPr>
              <w:pStyle w:val="NormalWeb"/>
              <w:spacing w:before="0" w:afterAutospacing="0" w:line="200" w:lineRule="atLeast"/>
              <w:jc w:val="left"/>
              <w:rPr>
                <w:rFonts w:asciiTheme="minorHAnsi" w:hAnsiTheme="minorHAnsi" w:cs="Arial"/>
                <w:b/>
              </w:rPr>
            </w:pPr>
            <w:r w:rsidRPr="00255C32">
              <w:rPr>
                <w:rFonts w:asciiTheme="minorHAnsi" w:hAnsiTheme="minorHAnsi" w:cs="Arial"/>
                <w:b/>
              </w:rPr>
              <w:t xml:space="preserve">2010- 2011 </w:t>
            </w:r>
          </w:p>
        </w:tc>
        <w:tc>
          <w:tcPr>
            <w:tcW w:w="2599" w:type="dxa"/>
          </w:tcPr>
          <w:p w14:paraId="402776E0" w14:textId="77777777" w:rsidR="00EE2664" w:rsidRDefault="00EE2664" w:rsidP="00255C32">
            <w:pPr>
              <w:pStyle w:val="NormalWeb"/>
              <w:spacing w:before="0" w:afterAutospacing="0" w:line="200" w:lineRule="atLeast"/>
              <w:jc w:val="left"/>
              <w:rPr>
                <w:rFonts w:asciiTheme="minorHAnsi" w:hAnsiTheme="minorHAnsi" w:cs="Arial"/>
              </w:rPr>
            </w:pPr>
          </w:p>
        </w:tc>
        <w:tc>
          <w:tcPr>
            <w:tcW w:w="2411" w:type="dxa"/>
          </w:tcPr>
          <w:p w14:paraId="4508495D" w14:textId="77777777" w:rsidR="00EE2664" w:rsidRDefault="00EE2664" w:rsidP="00255C32">
            <w:pPr>
              <w:pStyle w:val="NormalWeb"/>
              <w:spacing w:before="0" w:afterAutospacing="0" w:line="200" w:lineRule="atLeast"/>
              <w:jc w:val="left"/>
              <w:rPr>
                <w:rFonts w:asciiTheme="minorHAnsi" w:hAnsiTheme="minorHAnsi" w:cs="Arial"/>
              </w:rPr>
            </w:pPr>
          </w:p>
        </w:tc>
        <w:tc>
          <w:tcPr>
            <w:tcW w:w="2686" w:type="dxa"/>
          </w:tcPr>
          <w:p w14:paraId="69F35464" w14:textId="77777777" w:rsidR="00EE2664" w:rsidRDefault="00EE2664" w:rsidP="00255C32">
            <w:pPr>
              <w:pStyle w:val="NormalWeb"/>
              <w:spacing w:before="0" w:afterAutospacing="0" w:line="200" w:lineRule="atLeast"/>
              <w:jc w:val="left"/>
              <w:rPr>
                <w:rFonts w:asciiTheme="minorHAnsi" w:hAnsiTheme="minorHAnsi" w:cs="Arial"/>
              </w:rPr>
            </w:pPr>
          </w:p>
        </w:tc>
        <w:tc>
          <w:tcPr>
            <w:tcW w:w="3624" w:type="dxa"/>
          </w:tcPr>
          <w:p w14:paraId="36F977D7" w14:textId="77777777" w:rsidR="00EE2664" w:rsidRDefault="00EE2664" w:rsidP="00255C32">
            <w:pPr>
              <w:pStyle w:val="NormalWeb"/>
              <w:spacing w:before="0" w:afterAutospacing="0" w:line="200" w:lineRule="atLeast"/>
              <w:jc w:val="left"/>
              <w:rPr>
                <w:rFonts w:asciiTheme="minorHAnsi" w:hAnsiTheme="minorHAnsi" w:cs="Arial"/>
              </w:rPr>
            </w:pPr>
          </w:p>
        </w:tc>
      </w:tr>
      <w:tr w:rsidR="00EE2664" w:rsidRPr="00F90422" w14:paraId="7F240D2F" w14:textId="77777777" w:rsidTr="009D44E3">
        <w:trPr>
          <w:tblHeader/>
        </w:trPr>
        <w:tc>
          <w:tcPr>
            <w:tcW w:w="2854" w:type="dxa"/>
          </w:tcPr>
          <w:p w14:paraId="492EE457" w14:textId="77777777" w:rsidR="00EE2664" w:rsidRPr="00255C32" w:rsidRDefault="0052195D" w:rsidP="00255C32">
            <w:pPr>
              <w:pStyle w:val="NormalWeb"/>
              <w:spacing w:before="0" w:afterAutospacing="0" w:line="200" w:lineRule="atLeast"/>
              <w:jc w:val="left"/>
              <w:rPr>
                <w:rFonts w:asciiTheme="minorHAnsi" w:hAnsiTheme="minorHAnsi" w:cs="Arial"/>
              </w:rPr>
            </w:pPr>
            <w:hyperlink r:id="rId26" w:tgtFrame="_blank" w:history="1">
              <w:r w:rsidR="00EE2664" w:rsidRPr="00255C32">
                <w:rPr>
                  <w:rStyle w:val="Hyperlink"/>
                  <w:rFonts w:asciiTheme="minorHAnsi" w:hAnsiTheme="minorHAnsi" w:cs="Arial"/>
                  <w:color w:val="auto"/>
                  <w:u w:val="none"/>
                </w:rPr>
                <w:t xml:space="preserve">Mr. Stillwest Longden </w:t>
              </w:r>
            </w:hyperlink>
          </w:p>
        </w:tc>
        <w:tc>
          <w:tcPr>
            <w:tcW w:w="2599" w:type="dxa"/>
          </w:tcPr>
          <w:p w14:paraId="26FAA6BD" w14:textId="77777777" w:rsidR="00EE2664" w:rsidRDefault="00EE2664" w:rsidP="00255C32">
            <w:pPr>
              <w:pStyle w:val="NormalWeb"/>
              <w:spacing w:before="0" w:afterAutospacing="0" w:line="200" w:lineRule="atLeast"/>
              <w:jc w:val="left"/>
              <w:rPr>
                <w:rFonts w:asciiTheme="minorHAnsi" w:hAnsiTheme="minorHAnsi" w:cs="Arial"/>
              </w:rPr>
            </w:pPr>
            <w:r>
              <w:rPr>
                <w:rFonts w:asciiTheme="minorHAnsi" w:hAnsiTheme="minorHAnsi" w:cs="Arial"/>
              </w:rPr>
              <w:t>Solomon Islands</w:t>
            </w:r>
          </w:p>
        </w:tc>
        <w:tc>
          <w:tcPr>
            <w:tcW w:w="2411" w:type="dxa"/>
          </w:tcPr>
          <w:p w14:paraId="78DB5EEC" w14:textId="77777777" w:rsidR="00EE2664" w:rsidRDefault="00EE2664" w:rsidP="00255C32">
            <w:pPr>
              <w:pStyle w:val="NormalWeb"/>
              <w:spacing w:before="0" w:afterAutospacing="0" w:line="200" w:lineRule="atLeast"/>
              <w:jc w:val="left"/>
              <w:rPr>
                <w:rFonts w:asciiTheme="minorHAnsi" w:hAnsiTheme="minorHAnsi" w:cs="Arial"/>
              </w:rPr>
            </w:pPr>
            <w:r>
              <w:rPr>
                <w:rFonts w:asciiTheme="minorHAnsi" w:hAnsiTheme="minorHAnsi" w:cs="Arial"/>
              </w:rPr>
              <w:t>Management and governance for improved service delivery</w:t>
            </w:r>
          </w:p>
          <w:p w14:paraId="12D581C4" w14:textId="77777777" w:rsidR="00EE2664" w:rsidRDefault="00EE2664" w:rsidP="00255C32">
            <w:pPr>
              <w:pStyle w:val="NormalWeb"/>
              <w:spacing w:before="0" w:afterAutospacing="0" w:line="200" w:lineRule="atLeast"/>
              <w:jc w:val="left"/>
              <w:rPr>
                <w:rFonts w:asciiTheme="minorHAnsi" w:hAnsiTheme="minorHAnsi" w:cs="Arial"/>
              </w:rPr>
            </w:pPr>
          </w:p>
        </w:tc>
        <w:tc>
          <w:tcPr>
            <w:tcW w:w="2686" w:type="dxa"/>
          </w:tcPr>
          <w:p w14:paraId="23E003C3" w14:textId="77777777" w:rsidR="00EE2664" w:rsidRPr="00F90422" w:rsidRDefault="00EE2664" w:rsidP="00255C32">
            <w:pPr>
              <w:pStyle w:val="NormalWeb"/>
              <w:spacing w:before="0" w:afterAutospacing="0" w:line="200" w:lineRule="atLeast"/>
              <w:jc w:val="left"/>
              <w:rPr>
                <w:rFonts w:asciiTheme="minorHAnsi" w:hAnsiTheme="minorHAnsi" w:cs="Arial"/>
              </w:rPr>
            </w:pPr>
            <w:r>
              <w:rPr>
                <w:rFonts w:asciiTheme="minorHAnsi" w:hAnsiTheme="minorHAnsi" w:cs="Arial"/>
              </w:rPr>
              <w:t>Solomon Islands Ports Authority</w:t>
            </w:r>
          </w:p>
        </w:tc>
        <w:tc>
          <w:tcPr>
            <w:tcW w:w="3624" w:type="dxa"/>
          </w:tcPr>
          <w:p w14:paraId="63FD1539" w14:textId="77777777" w:rsidR="00EE2664" w:rsidRPr="00F90422" w:rsidRDefault="00EE2664" w:rsidP="00255C32">
            <w:pPr>
              <w:pStyle w:val="NormalWeb"/>
              <w:spacing w:before="0" w:afterAutospacing="0" w:line="200" w:lineRule="atLeast"/>
              <w:jc w:val="left"/>
              <w:rPr>
                <w:rFonts w:asciiTheme="minorHAnsi" w:hAnsiTheme="minorHAnsi" w:cs="Arial"/>
              </w:rPr>
            </w:pPr>
            <w:r>
              <w:rPr>
                <w:rFonts w:asciiTheme="minorHAnsi" w:hAnsiTheme="minorHAnsi" w:cs="Arial"/>
              </w:rPr>
              <w:t xml:space="preserve">Unknown </w:t>
            </w:r>
          </w:p>
        </w:tc>
      </w:tr>
      <w:tr w:rsidR="00EE2664" w:rsidRPr="00F90422" w14:paraId="56D9E2AC" w14:textId="77777777" w:rsidTr="009D44E3">
        <w:trPr>
          <w:tblHeader/>
        </w:trPr>
        <w:tc>
          <w:tcPr>
            <w:tcW w:w="2854" w:type="dxa"/>
          </w:tcPr>
          <w:p w14:paraId="251AD058" w14:textId="77777777" w:rsidR="00EE2664" w:rsidRPr="00255C32" w:rsidRDefault="0052195D" w:rsidP="00255C32">
            <w:pPr>
              <w:pStyle w:val="NormalWeb"/>
              <w:spacing w:before="0" w:afterAutospacing="0" w:line="200" w:lineRule="atLeast"/>
              <w:jc w:val="left"/>
              <w:rPr>
                <w:rFonts w:asciiTheme="minorHAnsi" w:hAnsiTheme="minorHAnsi" w:cs="Arial"/>
              </w:rPr>
            </w:pPr>
            <w:hyperlink r:id="rId27" w:tgtFrame="_blank" w:history="1">
              <w:r w:rsidR="00EE2664" w:rsidRPr="00255C32">
                <w:rPr>
                  <w:rStyle w:val="Hyperlink"/>
                  <w:rFonts w:asciiTheme="minorHAnsi" w:hAnsiTheme="minorHAnsi" w:cs="Arial"/>
                  <w:color w:val="auto"/>
                  <w:u w:val="none"/>
                </w:rPr>
                <w:t xml:space="preserve">Mr. Taniela Faletau </w:t>
              </w:r>
            </w:hyperlink>
          </w:p>
        </w:tc>
        <w:tc>
          <w:tcPr>
            <w:tcW w:w="2599" w:type="dxa"/>
          </w:tcPr>
          <w:p w14:paraId="10B774A6" w14:textId="77777777" w:rsidR="00EE2664" w:rsidRPr="00F90422" w:rsidRDefault="00EE2664" w:rsidP="00255C32">
            <w:pPr>
              <w:pStyle w:val="NormalWeb"/>
              <w:spacing w:before="0" w:afterAutospacing="0" w:line="200" w:lineRule="atLeast"/>
              <w:jc w:val="left"/>
              <w:rPr>
                <w:rFonts w:asciiTheme="minorHAnsi" w:hAnsiTheme="minorHAnsi" w:cs="Arial"/>
                <w:shd w:val="clear" w:color="auto" w:fill="FFFFFF"/>
              </w:rPr>
            </w:pPr>
            <w:r>
              <w:rPr>
                <w:rFonts w:asciiTheme="minorHAnsi" w:hAnsiTheme="minorHAnsi" w:cs="Arial"/>
                <w:shd w:val="clear" w:color="auto" w:fill="FFFFFF"/>
              </w:rPr>
              <w:t>Tonga</w:t>
            </w:r>
          </w:p>
        </w:tc>
        <w:tc>
          <w:tcPr>
            <w:tcW w:w="2411" w:type="dxa"/>
          </w:tcPr>
          <w:p w14:paraId="6902AC04" w14:textId="77777777" w:rsidR="00EE2664" w:rsidRPr="00F90422" w:rsidRDefault="00EE2664" w:rsidP="00255C32">
            <w:pPr>
              <w:pStyle w:val="NormalWeb"/>
              <w:spacing w:before="0" w:afterAutospacing="0" w:line="200" w:lineRule="atLeast"/>
              <w:jc w:val="left"/>
              <w:rPr>
                <w:rFonts w:asciiTheme="minorHAnsi" w:hAnsiTheme="minorHAnsi" w:cs="Arial"/>
                <w:shd w:val="clear" w:color="auto" w:fill="FFFFFF"/>
              </w:rPr>
            </w:pPr>
            <w:r>
              <w:rPr>
                <w:rFonts w:asciiTheme="minorHAnsi" w:hAnsiTheme="minorHAnsi" w:cs="Arial"/>
                <w:shd w:val="clear" w:color="auto" w:fill="FFFFFF"/>
              </w:rPr>
              <w:t>Climate change and its impacts on development policy</w:t>
            </w:r>
          </w:p>
        </w:tc>
        <w:tc>
          <w:tcPr>
            <w:tcW w:w="2686" w:type="dxa"/>
          </w:tcPr>
          <w:p w14:paraId="268DF9A2" w14:textId="77777777" w:rsidR="00EE2664" w:rsidRPr="00F90422" w:rsidRDefault="00EE2664" w:rsidP="00255C32">
            <w:pPr>
              <w:pStyle w:val="NormalWeb"/>
              <w:spacing w:before="0" w:afterAutospacing="0" w:line="200" w:lineRule="atLeast"/>
              <w:jc w:val="left"/>
              <w:rPr>
                <w:rFonts w:asciiTheme="minorHAnsi" w:hAnsiTheme="minorHAnsi" w:cs="Arial"/>
              </w:rPr>
            </w:pPr>
            <w:r w:rsidRPr="00F90422">
              <w:rPr>
                <w:rFonts w:asciiTheme="minorHAnsi" w:hAnsiTheme="minorHAnsi" w:cs="Arial"/>
                <w:shd w:val="clear" w:color="auto" w:fill="FFFFFF"/>
              </w:rPr>
              <w:t>Secretariat of the Pacific Regional Environment Programme (SPREP)</w:t>
            </w:r>
          </w:p>
        </w:tc>
        <w:tc>
          <w:tcPr>
            <w:tcW w:w="3624" w:type="dxa"/>
          </w:tcPr>
          <w:p w14:paraId="2FAE9013" w14:textId="77777777" w:rsidR="00EE2664" w:rsidRPr="00F90422" w:rsidRDefault="00EE2664" w:rsidP="00255C32">
            <w:pPr>
              <w:pStyle w:val="NormalWeb"/>
              <w:spacing w:before="0" w:afterAutospacing="0" w:line="200" w:lineRule="atLeast"/>
              <w:jc w:val="left"/>
              <w:rPr>
                <w:rFonts w:asciiTheme="minorHAnsi" w:hAnsiTheme="minorHAnsi" w:cs="Arial"/>
              </w:rPr>
            </w:pPr>
            <w:r w:rsidRPr="00F90422">
              <w:rPr>
                <w:rFonts w:asciiTheme="minorHAnsi" w:hAnsiTheme="minorHAnsi" w:cs="Arial"/>
              </w:rPr>
              <w:t>Asia Development Bank</w:t>
            </w:r>
          </w:p>
        </w:tc>
      </w:tr>
      <w:tr w:rsidR="00EE2664" w:rsidRPr="00F90422" w14:paraId="5AA8C665" w14:textId="77777777" w:rsidTr="009D44E3">
        <w:trPr>
          <w:tblHeader/>
        </w:trPr>
        <w:tc>
          <w:tcPr>
            <w:tcW w:w="2854" w:type="dxa"/>
          </w:tcPr>
          <w:p w14:paraId="7FD9BC0B" w14:textId="77777777" w:rsidR="00EE2664" w:rsidRPr="00255C32" w:rsidRDefault="00EE2664" w:rsidP="00255C32">
            <w:pPr>
              <w:pStyle w:val="NormalWeb"/>
              <w:spacing w:before="0" w:afterAutospacing="0" w:line="200" w:lineRule="atLeast"/>
              <w:jc w:val="left"/>
              <w:rPr>
                <w:rFonts w:asciiTheme="minorHAnsi" w:hAnsiTheme="minorHAnsi" w:cs="Arial"/>
              </w:rPr>
            </w:pPr>
            <w:r w:rsidRPr="00255C32">
              <w:rPr>
                <w:rFonts w:asciiTheme="minorHAnsi" w:hAnsiTheme="minorHAnsi" w:cs="Arial"/>
              </w:rPr>
              <w:t xml:space="preserve">Mr. Morris O. Namoga </w:t>
            </w:r>
          </w:p>
        </w:tc>
        <w:tc>
          <w:tcPr>
            <w:tcW w:w="2599" w:type="dxa"/>
          </w:tcPr>
          <w:p w14:paraId="5F0FF0D9" w14:textId="77777777" w:rsidR="00EE2664" w:rsidRPr="00F90422" w:rsidRDefault="00EE2664" w:rsidP="00255C32">
            <w:pPr>
              <w:pStyle w:val="NormalWeb"/>
              <w:spacing w:before="0" w:afterAutospacing="0" w:line="200" w:lineRule="atLeast"/>
              <w:jc w:val="left"/>
              <w:rPr>
                <w:rFonts w:asciiTheme="minorHAnsi" w:hAnsiTheme="minorHAnsi" w:cs="Arial"/>
              </w:rPr>
            </w:pPr>
            <w:r>
              <w:rPr>
                <w:rFonts w:asciiTheme="minorHAnsi" w:hAnsiTheme="minorHAnsi" w:cs="Arial"/>
              </w:rPr>
              <w:t>Solomon Islands</w:t>
            </w:r>
          </w:p>
        </w:tc>
        <w:tc>
          <w:tcPr>
            <w:tcW w:w="2411" w:type="dxa"/>
          </w:tcPr>
          <w:p w14:paraId="0197A29B" w14:textId="77777777" w:rsidR="00EE2664" w:rsidRPr="00F90422" w:rsidRDefault="00EE2664" w:rsidP="00255C32">
            <w:pPr>
              <w:pStyle w:val="NormalWeb"/>
              <w:spacing w:before="0" w:afterAutospacing="0" w:line="200" w:lineRule="atLeast"/>
              <w:jc w:val="left"/>
              <w:rPr>
                <w:rFonts w:asciiTheme="minorHAnsi" w:hAnsiTheme="minorHAnsi" w:cs="Arial"/>
              </w:rPr>
            </w:pPr>
            <w:r>
              <w:rPr>
                <w:rFonts w:asciiTheme="minorHAnsi" w:hAnsiTheme="minorHAnsi" w:cs="Arial"/>
              </w:rPr>
              <w:t xml:space="preserve">Development lessons from Cape York and their application to remote communities in Solomon Islands </w:t>
            </w:r>
          </w:p>
        </w:tc>
        <w:tc>
          <w:tcPr>
            <w:tcW w:w="2686" w:type="dxa"/>
          </w:tcPr>
          <w:p w14:paraId="3145CBC2" w14:textId="77777777" w:rsidR="00EE2664" w:rsidRPr="00F90422" w:rsidRDefault="00EE2664" w:rsidP="00255C32">
            <w:pPr>
              <w:pStyle w:val="NormalWeb"/>
              <w:spacing w:before="0" w:afterAutospacing="0" w:line="200" w:lineRule="atLeast"/>
              <w:jc w:val="left"/>
              <w:rPr>
                <w:rFonts w:asciiTheme="minorHAnsi" w:hAnsiTheme="minorHAnsi" w:cs="Arial"/>
              </w:rPr>
            </w:pPr>
            <w:r w:rsidRPr="00F90422">
              <w:rPr>
                <w:rFonts w:asciiTheme="minorHAnsi" w:hAnsiTheme="minorHAnsi" w:cs="Arial"/>
              </w:rPr>
              <w:t>Cape York Institute, Cairns</w:t>
            </w:r>
          </w:p>
        </w:tc>
        <w:tc>
          <w:tcPr>
            <w:tcW w:w="3624" w:type="dxa"/>
          </w:tcPr>
          <w:p w14:paraId="5DA694D6" w14:textId="77777777" w:rsidR="00EE2664" w:rsidRPr="00F90422" w:rsidRDefault="00EE2664" w:rsidP="00255C32">
            <w:pPr>
              <w:pStyle w:val="NormalWeb"/>
              <w:spacing w:before="0" w:afterAutospacing="0" w:line="200" w:lineRule="atLeast"/>
              <w:jc w:val="left"/>
              <w:rPr>
                <w:rFonts w:asciiTheme="minorHAnsi" w:hAnsiTheme="minorHAnsi" w:cs="Arial"/>
              </w:rPr>
            </w:pPr>
            <w:r>
              <w:rPr>
                <w:rFonts w:asciiTheme="minorHAnsi" w:hAnsiTheme="minorHAnsi" w:cs="Arial"/>
              </w:rPr>
              <w:t>Secretariat of the Pacific Community, Suva</w:t>
            </w:r>
          </w:p>
        </w:tc>
      </w:tr>
      <w:tr w:rsidR="00EE2664" w:rsidRPr="00F90422" w14:paraId="4B59AB60" w14:textId="77777777" w:rsidTr="009D44E3">
        <w:trPr>
          <w:tblHeader/>
        </w:trPr>
        <w:tc>
          <w:tcPr>
            <w:tcW w:w="2854" w:type="dxa"/>
          </w:tcPr>
          <w:p w14:paraId="17D00163" w14:textId="77777777" w:rsidR="00EE2664" w:rsidRPr="00255C32" w:rsidRDefault="00EE2664" w:rsidP="00255C32">
            <w:pPr>
              <w:pStyle w:val="NormalWeb"/>
              <w:spacing w:before="0" w:afterAutospacing="0" w:line="200" w:lineRule="atLeast"/>
              <w:jc w:val="left"/>
              <w:rPr>
                <w:rFonts w:asciiTheme="minorHAnsi" w:hAnsiTheme="minorHAnsi" w:cs="Arial"/>
              </w:rPr>
            </w:pPr>
            <w:r w:rsidRPr="00255C32">
              <w:rPr>
                <w:rFonts w:asciiTheme="minorHAnsi" w:hAnsiTheme="minorHAnsi" w:cs="Arial"/>
              </w:rPr>
              <w:t xml:space="preserve">Mr. Benjamin Graham </w:t>
            </w:r>
          </w:p>
        </w:tc>
        <w:tc>
          <w:tcPr>
            <w:tcW w:w="2599" w:type="dxa"/>
          </w:tcPr>
          <w:p w14:paraId="21D1EDA3" w14:textId="77777777" w:rsidR="00EE2664" w:rsidRDefault="00EE2664" w:rsidP="00255C32">
            <w:pPr>
              <w:pStyle w:val="NormalWeb"/>
              <w:spacing w:before="0" w:afterAutospacing="0" w:line="200" w:lineRule="atLeast"/>
              <w:jc w:val="left"/>
              <w:rPr>
                <w:rFonts w:asciiTheme="minorHAnsi" w:hAnsiTheme="minorHAnsi" w:cs="Arial"/>
              </w:rPr>
            </w:pPr>
            <w:r>
              <w:rPr>
                <w:rFonts w:asciiTheme="minorHAnsi" w:hAnsiTheme="minorHAnsi" w:cs="Arial"/>
              </w:rPr>
              <w:t>Marshall Islands</w:t>
            </w:r>
          </w:p>
        </w:tc>
        <w:tc>
          <w:tcPr>
            <w:tcW w:w="2411" w:type="dxa"/>
          </w:tcPr>
          <w:p w14:paraId="0D964250" w14:textId="77777777" w:rsidR="00EE2664" w:rsidRDefault="00EE2664" w:rsidP="00255C32">
            <w:pPr>
              <w:pStyle w:val="NormalWeb"/>
              <w:spacing w:before="0" w:afterAutospacing="0" w:line="200" w:lineRule="atLeast"/>
              <w:jc w:val="left"/>
              <w:rPr>
                <w:rFonts w:asciiTheme="minorHAnsi" w:hAnsiTheme="minorHAnsi" w:cs="Arial"/>
              </w:rPr>
            </w:pPr>
            <w:r>
              <w:rPr>
                <w:rFonts w:asciiTheme="minorHAnsi" w:hAnsiTheme="minorHAnsi" w:cs="Arial"/>
              </w:rPr>
              <w:t>Feasibility of Outcomes Based Approach model of development  for application in health and education services in RMI</w:t>
            </w:r>
          </w:p>
        </w:tc>
        <w:tc>
          <w:tcPr>
            <w:tcW w:w="2686" w:type="dxa"/>
          </w:tcPr>
          <w:p w14:paraId="587A9E19" w14:textId="77777777" w:rsidR="00EE2664" w:rsidRPr="00F90422" w:rsidRDefault="00EE2664" w:rsidP="00255C32">
            <w:pPr>
              <w:pStyle w:val="NormalWeb"/>
              <w:spacing w:before="0" w:afterAutospacing="0" w:line="200" w:lineRule="atLeast"/>
              <w:jc w:val="left"/>
              <w:rPr>
                <w:rFonts w:asciiTheme="minorHAnsi" w:hAnsiTheme="minorHAnsi" w:cs="Arial"/>
              </w:rPr>
            </w:pPr>
            <w:r>
              <w:rPr>
                <w:rFonts w:asciiTheme="minorHAnsi" w:hAnsiTheme="minorHAnsi" w:cs="Arial"/>
              </w:rPr>
              <w:t>Government of Republic of Marshall Islands</w:t>
            </w:r>
          </w:p>
        </w:tc>
        <w:tc>
          <w:tcPr>
            <w:tcW w:w="3624" w:type="dxa"/>
          </w:tcPr>
          <w:p w14:paraId="73101745" w14:textId="77777777" w:rsidR="00EE2664" w:rsidRPr="00F90422" w:rsidRDefault="00EE2664" w:rsidP="00255C32">
            <w:pPr>
              <w:pStyle w:val="NormalWeb"/>
              <w:spacing w:before="0" w:afterAutospacing="0" w:line="200" w:lineRule="atLeast"/>
              <w:jc w:val="left"/>
              <w:rPr>
                <w:rFonts w:asciiTheme="minorHAnsi" w:hAnsiTheme="minorHAnsi" w:cs="Arial"/>
              </w:rPr>
            </w:pPr>
            <w:r w:rsidRPr="00F90422">
              <w:rPr>
                <w:rFonts w:asciiTheme="minorHAnsi" w:hAnsiTheme="minorHAnsi" w:cs="Arial"/>
              </w:rPr>
              <w:t>Consultant, RMI</w:t>
            </w:r>
          </w:p>
        </w:tc>
      </w:tr>
      <w:tr w:rsidR="00EE2664" w:rsidRPr="00F90422" w14:paraId="7D7E1F91" w14:textId="77777777" w:rsidTr="009D44E3">
        <w:trPr>
          <w:tblHeader/>
        </w:trPr>
        <w:tc>
          <w:tcPr>
            <w:tcW w:w="2854" w:type="dxa"/>
          </w:tcPr>
          <w:p w14:paraId="4A105EB6" w14:textId="77777777" w:rsidR="00EE2664" w:rsidRPr="00255C32" w:rsidRDefault="00EE2664" w:rsidP="00255C32">
            <w:pPr>
              <w:pStyle w:val="NormalWeb"/>
              <w:spacing w:before="0" w:afterAutospacing="0" w:line="200" w:lineRule="atLeast"/>
              <w:jc w:val="left"/>
              <w:rPr>
                <w:rFonts w:asciiTheme="minorHAnsi" w:hAnsiTheme="minorHAnsi" w:cs="Arial"/>
              </w:rPr>
            </w:pPr>
            <w:r w:rsidRPr="00255C32">
              <w:rPr>
                <w:rFonts w:asciiTheme="minorHAnsi" w:hAnsiTheme="minorHAnsi" w:cs="Arial"/>
              </w:rPr>
              <w:t xml:space="preserve">Ms. Julie Airi </w:t>
            </w:r>
          </w:p>
        </w:tc>
        <w:tc>
          <w:tcPr>
            <w:tcW w:w="2599" w:type="dxa"/>
          </w:tcPr>
          <w:p w14:paraId="710E47FA" w14:textId="77777777" w:rsidR="00EE2664" w:rsidRDefault="00EE2664" w:rsidP="00255C32">
            <w:pPr>
              <w:pStyle w:val="NormalWeb"/>
              <w:spacing w:before="0" w:afterAutospacing="0" w:line="200" w:lineRule="atLeast"/>
              <w:jc w:val="left"/>
              <w:rPr>
                <w:rFonts w:asciiTheme="minorHAnsi" w:hAnsiTheme="minorHAnsi" w:cs="Arial"/>
              </w:rPr>
            </w:pPr>
            <w:r>
              <w:rPr>
                <w:rFonts w:asciiTheme="minorHAnsi" w:hAnsiTheme="minorHAnsi" w:cs="Arial"/>
              </w:rPr>
              <w:t>Papua New Guinea</w:t>
            </w:r>
          </w:p>
        </w:tc>
        <w:tc>
          <w:tcPr>
            <w:tcW w:w="2411" w:type="dxa"/>
          </w:tcPr>
          <w:p w14:paraId="4BEC362F" w14:textId="77777777" w:rsidR="00EE2664" w:rsidRDefault="00EE2664" w:rsidP="00255C32">
            <w:pPr>
              <w:pStyle w:val="NormalWeb"/>
              <w:spacing w:before="0" w:afterAutospacing="0" w:line="200" w:lineRule="atLeast"/>
              <w:jc w:val="left"/>
              <w:rPr>
                <w:rFonts w:asciiTheme="minorHAnsi" w:hAnsiTheme="minorHAnsi" w:cs="Arial"/>
              </w:rPr>
            </w:pPr>
            <w:r>
              <w:rPr>
                <w:rFonts w:asciiTheme="minorHAnsi" w:hAnsiTheme="minorHAnsi" w:cs="Arial"/>
              </w:rPr>
              <w:t>HIV prevention and coordination</w:t>
            </w:r>
          </w:p>
        </w:tc>
        <w:tc>
          <w:tcPr>
            <w:tcW w:w="2686" w:type="dxa"/>
          </w:tcPr>
          <w:p w14:paraId="3FE7865C" w14:textId="77777777" w:rsidR="00EE2664" w:rsidRPr="00F90422" w:rsidRDefault="00EE2664" w:rsidP="00255C32">
            <w:pPr>
              <w:pStyle w:val="NormalWeb"/>
              <w:spacing w:before="0" w:afterAutospacing="0" w:line="200" w:lineRule="atLeast"/>
              <w:jc w:val="left"/>
              <w:rPr>
                <w:rFonts w:asciiTheme="minorHAnsi" w:hAnsiTheme="minorHAnsi" w:cs="Arial"/>
              </w:rPr>
            </w:pPr>
            <w:r>
              <w:rPr>
                <w:rFonts w:asciiTheme="minorHAnsi" w:hAnsiTheme="minorHAnsi" w:cs="Arial"/>
              </w:rPr>
              <w:t>Did not commence proposed placement with National Aids Council Secretariat (PNG) due to failure to reach agreement on terms of placement</w:t>
            </w:r>
          </w:p>
        </w:tc>
        <w:tc>
          <w:tcPr>
            <w:tcW w:w="3624" w:type="dxa"/>
          </w:tcPr>
          <w:p w14:paraId="301A56BB" w14:textId="77777777" w:rsidR="00EE2664" w:rsidRPr="00F90422" w:rsidRDefault="00EE2664" w:rsidP="00255C32">
            <w:pPr>
              <w:pStyle w:val="NormalWeb"/>
              <w:spacing w:before="0" w:afterAutospacing="0" w:line="200" w:lineRule="atLeast"/>
              <w:jc w:val="left"/>
              <w:rPr>
                <w:rFonts w:asciiTheme="minorHAnsi" w:hAnsiTheme="minorHAnsi" w:cs="Arial"/>
              </w:rPr>
            </w:pPr>
            <w:r>
              <w:rPr>
                <w:rFonts w:asciiTheme="minorHAnsi" w:hAnsiTheme="minorHAnsi" w:cs="Arial"/>
              </w:rPr>
              <w:t>Unknown</w:t>
            </w:r>
          </w:p>
        </w:tc>
      </w:tr>
      <w:tr w:rsidR="00EE2664" w:rsidRPr="00F90422" w14:paraId="3C6962F9" w14:textId="77777777" w:rsidTr="009D44E3">
        <w:trPr>
          <w:tblHeader/>
        </w:trPr>
        <w:tc>
          <w:tcPr>
            <w:tcW w:w="2854" w:type="dxa"/>
          </w:tcPr>
          <w:p w14:paraId="6A8E037F" w14:textId="77777777" w:rsidR="00EE2664" w:rsidRPr="00255C32" w:rsidRDefault="00EE2664" w:rsidP="00255C32">
            <w:pPr>
              <w:pStyle w:val="NormalWeb"/>
              <w:shd w:val="clear" w:color="auto" w:fill="FFFFFF"/>
              <w:spacing w:before="0" w:afterAutospacing="0" w:line="200" w:lineRule="atLeast"/>
              <w:jc w:val="left"/>
              <w:rPr>
                <w:rFonts w:asciiTheme="minorHAnsi" w:hAnsiTheme="minorHAnsi" w:cs="Arial"/>
              </w:rPr>
            </w:pPr>
            <w:r w:rsidRPr="00255C32">
              <w:rPr>
                <w:rStyle w:val="Strong"/>
                <w:rFonts w:asciiTheme="minorHAnsi" w:hAnsiTheme="minorHAnsi"/>
              </w:rPr>
              <w:t>2009-2010</w:t>
            </w:r>
          </w:p>
        </w:tc>
        <w:tc>
          <w:tcPr>
            <w:tcW w:w="2599" w:type="dxa"/>
          </w:tcPr>
          <w:p w14:paraId="652908DC" w14:textId="77777777" w:rsidR="00EE2664" w:rsidRPr="00F90422" w:rsidRDefault="00EE2664" w:rsidP="00255C32">
            <w:pPr>
              <w:pStyle w:val="NormalWeb"/>
              <w:spacing w:before="0" w:afterAutospacing="0" w:line="200" w:lineRule="atLeast"/>
              <w:jc w:val="left"/>
              <w:rPr>
                <w:rFonts w:asciiTheme="minorHAnsi" w:hAnsiTheme="minorHAnsi" w:cs="Arial"/>
              </w:rPr>
            </w:pPr>
          </w:p>
        </w:tc>
        <w:tc>
          <w:tcPr>
            <w:tcW w:w="2411" w:type="dxa"/>
          </w:tcPr>
          <w:p w14:paraId="7245C513" w14:textId="77777777" w:rsidR="00EE2664" w:rsidRPr="00F90422" w:rsidRDefault="00EE2664" w:rsidP="00255C32">
            <w:pPr>
              <w:pStyle w:val="NormalWeb"/>
              <w:spacing w:before="0" w:afterAutospacing="0" w:line="200" w:lineRule="atLeast"/>
              <w:jc w:val="left"/>
              <w:rPr>
                <w:rFonts w:asciiTheme="minorHAnsi" w:hAnsiTheme="minorHAnsi" w:cs="Arial"/>
              </w:rPr>
            </w:pPr>
          </w:p>
        </w:tc>
        <w:tc>
          <w:tcPr>
            <w:tcW w:w="2686" w:type="dxa"/>
          </w:tcPr>
          <w:p w14:paraId="79A64BFB" w14:textId="77777777" w:rsidR="00EE2664" w:rsidRPr="00F90422" w:rsidRDefault="00EE2664" w:rsidP="00255C32">
            <w:pPr>
              <w:pStyle w:val="NormalWeb"/>
              <w:spacing w:before="0" w:afterAutospacing="0" w:line="200" w:lineRule="atLeast"/>
              <w:jc w:val="left"/>
              <w:rPr>
                <w:rFonts w:asciiTheme="minorHAnsi" w:hAnsiTheme="minorHAnsi" w:cs="Arial"/>
              </w:rPr>
            </w:pPr>
          </w:p>
        </w:tc>
        <w:tc>
          <w:tcPr>
            <w:tcW w:w="3624" w:type="dxa"/>
          </w:tcPr>
          <w:p w14:paraId="7BBDD38B" w14:textId="77777777" w:rsidR="00EE2664" w:rsidRPr="00F90422" w:rsidRDefault="00EE2664" w:rsidP="00255C32">
            <w:pPr>
              <w:pStyle w:val="NormalWeb"/>
              <w:spacing w:before="0" w:afterAutospacing="0" w:line="200" w:lineRule="atLeast"/>
              <w:jc w:val="left"/>
              <w:rPr>
                <w:rFonts w:asciiTheme="minorHAnsi" w:hAnsiTheme="minorHAnsi" w:cs="Arial"/>
              </w:rPr>
            </w:pPr>
          </w:p>
        </w:tc>
      </w:tr>
      <w:tr w:rsidR="00EE2664" w:rsidRPr="00F90422" w14:paraId="4E4CDC7A" w14:textId="77777777" w:rsidTr="009D44E3">
        <w:trPr>
          <w:tblHeader/>
        </w:trPr>
        <w:tc>
          <w:tcPr>
            <w:tcW w:w="2854" w:type="dxa"/>
          </w:tcPr>
          <w:p w14:paraId="3206BE74" w14:textId="77777777" w:rsidR="00EE2664" w:rsidRPr="00255C32" w:rsidRDefault="00EE2664" w:rsidP="00255C32">
            <w:pPr>
              <w:pStyle w:val="NormalWeb"/>
              <w:shd w:val="clear" w:color="auto" w:fill="FFFFFF"/>
              <w:spacing w:before="0" w:afterAutospacing="0" w:line="200" w:lineRule="atLeast"/>
              <w:jc w:val="left"/>
              <w:rPr>
                <w:rFonts w:asciiTheme="minorHAnsi" w:hAnsiTheme="minorHAnsi" w:cs="Arial"/>
              </w:rPr>
            </w:pPr>
            <w:r w:rsidRPr="00255C32">
              <w:rPr>
                <w:rFonts w:asciiTheme="minorHAnsi" w:hAnsiTheme="minorHAnsi" w:cs="Arial"/>
              </w:rPr>
              <w:t xml:space="preserve">Mr. Tevita Tukunga </w:t>
            </w:r>
          </w:p>
        </w:tc>
        <w:tc>
          <w:tcPr>
            <w:tcW w:w="2599" w:type="dxa"/>
          </w:tcPr>
          <w:p w14:paraId="47C5335E" w14:textId="77777777" w:rsidR="00EE2664" w:rsidRDefault="00EE2664" w:rsidP="00255C32">
            <w:pPr>
              <w:pStyle w:val="NormalWeb"/>
              <w:spacing w:before="0" w:afterAutospacing="0" w:line="200" w:lineRule="atLeast"/>
              <w:jc w:val="left"/>
              <w:rPr>
                <w:rFonts w:asciiTheme="minorHAnsi" w:hAnsiTheme="minorHAnsi" w:cs="Arial"/>
              </w:rPr>
            </w:pPr>
            <w:r>
              <w:rPr>
                <w:rFonts w:asciiTheme="minorHAnsi" w:hAnsiTheme="minorHAnsi" w:cs="Arial"/>
              </w:rPr>
              <w:t>Tonga</w:t>
            </w:r>
          </w:p>
        </w:tc>
        <w:tc>
          <w:tcPr>
            <w:tcW w:w="2411" w:type="dxa"/>
          </w:tcPr>
          <w:p w14:paraId="73508512" w14:textId="77777777" w:rsidR="00EE2664" w:rsidRDefault="00EE2664" w:rsidP="00255C32">
            <w:pPr>
              <w:pStyle w:val="NormalWeb"/>
              <w:spacing w:before="0" w:afterAutospacing="0" w:line="200" w:lineRule="atLeast"/>
              <w:jc w:val="left"/>
              <w:rPr>
                <w:rFonts w:asciiTheme="minorHAnsi" w:hAnsiTheme="minorHAnsi" w:cs="Arial"/>
              </w:rPr>
            </w:pPr>
            <w:r>
              <w:rPr>
                <w:rFonts w:asciiTheme="minorHAnsi" w:hAnsiTheme="minorHAnsi" w:cs="Arial"/>
              </w:rPr>
              <w:t>Sustainable electricity in small islands developing states</w:t>
            </w:r>
          </w:p>
        </w:tc>
        <w:tc>
          <w:tcPr>
            <w:tcW w:w="2686" w:type="dxa"/>
          </w:tcPr>
          <w:p w14:paraId="730E0144" w14:textId="77777777" w:rsidR="00EE2664" w:rsidRPr="00F90422" w:rsidRDefault="00EE2664" w:rsidP="00255C32">
            <w:pPr>
              <w:pStyle w:val="NormalWeb"/>
              <w:spacing w:before="0" w:afterAutospacing="0" w:line="200" w:lineRule="atLeast"/>
              <w:jc w:val="left"/>
              <w:rPr>
                <w:rFonts w:asciiTheme="minorHAnsi" w:hAnsiTheme="minorHAnsi" w:cs="Arial"/>
              </w:rPr>
            </w:pPr>
            <w:r>
              <w:rPr>
                <w:rFonts w:asciiTheme="minorHAnsi" w:hAnsiTheme="minorHAnsi" w:cs="Arial"/>
              </w:rPr>
              <w:t>University of New South Wales /  Tonga</w:t>
            </w:r>
          </w:p>
        </w:tc>
        <w:tc>
          <w:tcPr>
            <w:tcW w:w="3624" w:type="dxa"/>
          </w:tcPr>
          <w:p w14:paraId="7B53861C" w14:textId="77777777" w:rsidR="00EE2664" w:rsidRPr="00F90422" w:rsidRDefault="00EE2664" w:rsidP="00255C32">
            <w:pPr>
              <w:pStyle w:val="NormalWeb"/>
              <w:spacing w:before="0" w:afterAutospacing="0" w:line="200" w:lineRule="atLeast"/>
              <w:jc w:val="left"/>
              <w:rPr>
                <w:rFonts w:asciiTheme="minorHAnsi" w:hAnsiTheme="minorHAnsi" w:cs="Arial"/>
              </w:rPr>
            </w:pPr>
            <w:r w:rsidRPr="00F90422">
              <w:rPr>
                <w:rFonts w:asciiTheme="minorHAnsi" w:hAnsiTheme="minorHAnsi" w:cs="Arial"/>
              </w:rPr>
              <w:t>Ministry Natural Resources, Nuku'alofa, Tonga</w:t>
            </w:r>
          </w:p>
        </w:tc>
      </w:tr>
      <w:tr w:rsidR="00EE2664" w:rsidRPr="00F90422" w14:paraId="169136CB" w14:textId="77777777" w:rsidTr="009D44E3">
        <w:trPr>
          <w:tblHeader/>
        </w:trPr>
        <w:tc>
          <w:tcPr>
            <w:tcW w:w="2854" w:type="dxa"/>
          </w:tcPr>
          <w:p w14:paraId="75B31B58" w14:textId="77777777" w:rsidR="00EE2664" w:rsidRPr="00255C32" w:rsidRDefault="00EE2664" w:rsidP="00255C32">
            <w:pPr>
              <w:pStyle w:val="NormalWeb"/>
              <w:shd w:val="clear" w:color="auto" w:fill="FFFFFF"/>
              <w:spacing w:before="0" w:afterAutospacing="0" w:line="200" w:lineRule="atLeast"/>
              <w:jc w:val="left"/>
              <w:rPr>
                <w:rFonts w:asciiTheme="minorHAnsi" w:hAnsiTheme="minorHAnsi" w:cs="Arial"/>
              </w:rPr>
            </w:pPr>
            <w:r w:rsidRPr="00255C32">
              <w:rPr>
                <w:rFonts w:asciiTheme="minorHAnsi" w:hAnsiTheme="minorHAnsi" w:cs="Arial"/>
              </w:rPr>
              <w:t xml:space="preserve">Ms Akka Maroti Rimon </w:t>
            </w:r>
          </w:p>
        </w:tc>
        <w:tc>
          <w:tcPr>
            <w:tcW w:w="2599" w:type="dxa"/>
          </w:tcPr>
          <w:p w14:paraId="732CF5CD" w14:textId="77777777" w:rsidR="00EE2664" w:rsidRPr="00F90422" w:rsidRDefault="00EE2664" w:rsidP="00255C32">
            <w:pPr>
              <w:pStyle w:val="NormalWeb"/>
              <w:spacing w:before="0" w:afterAutospacing="0" w:line="200" w:lineRule="atLeast"/>
              <w:jc w:val="left"/>
              <w:rPr>
                <w:rFonts w:asciiTheme="minorHAnsi" w:hAnsiTheme="minorHAnsi" w:cs="Arial"/>
              </w:rPr>
            </w:pPr>
            <w:r>
              <w:rPr>
                <w:rFonts w:asciiTheme="minorHAnsi" w:hAnsiTheme="minorHAnsi" w:cs="Arial"/>
              </w:rPr>
              <w:t>Kiribati</w:t>
            </w:r>
          </w:p>
        </w:tc>
        <w:tc>
          <w:tcPr>
            <w:tcW w:w="2411" w:type="dxa"/>
          </w:tcPr>
          <w:p w14:paraId="1EDEBCF9" w14:textId="77777777" w:rsidR="00EE2664" w:rsidRPr="00F90422" w:rsidRDefault="00EE2664" w:rsidP="00255C32">
            <w:pPr>
              <w:pStyle w:val="NormalWeb"/>
              <w:spacing w:before="0" w:afterAutospacing="0" w:line="200" w:lineRule="atLeast"/>
              <w:jc w:val="left"/>
              <w:rPr>
                <w:rFonts w:asciiTheme="minorHAnsi" w:hAnsiTheme="minorHAnsi" w:cs="Arial"/>
              </w:rPr>
            </w:pPr>
            <w:r>
              <w:rPr>
                <w:rFonts w:asciiTheme="minorHAnsi" w:hAnsiTheme="minorHAnsi" w:cs="Arial"/>
              </w:rPr>
              <w:t>Links between NGO and government policy and service provision</w:t>
            </w:r>
          </w:p>
        </w:tc>
        <w:tc>
          <w:tcPr>
            <w:tcW w:w="2686" w:type="dxa"/>
          </w:tcPr>
          <w:p w14:paraId="62046DE7" w14:textId="77777777" w:rsidR="00EE2664" w:rsidRPr="00F90422" w:rsidRDefault="00EE2664" w:rsidP="00255C32">
            <w:pPr>
              <w:pStyle w:val="NormalWeb"/>
              <w:spacing w:before="0" w:afterAutospacing="0" w:line="200" w:lineRule="atLeast"/>
              <w:jc w:val="left"/>
              <w:rPr>
                <w:rFonts w:asciiTheme="minorHAnsi" w:hAnsiTheme="minorHAnsi" w:cs="Arial"/>
              </w:rPr>
            </w:pPr>
            <w:r w:rsidRPr="00F90422">
              <w:rPr>
                <w:rFonts w:asciiTheme="minorHAnsi" w:hAnsiTheme="minorHAnsi" w:cs="Arial"/>
              </w:rPr>
              <w:t>World Vision Australia.</w:t>
            </w:r>
          </w:p>
        </w:tc>
        <w:tc>
          <w:tcPr>
            <w:tcW w:w="3624" w:type="dxa"/>
          </w:tcPr>
          <w:p w14:paraId="5EF921C4" w14:textId="77777777" w:rsidR="00EE2664" w:rsidRPr="00F90422" w:rsidRDefault="00EE2664" w:rsidP="00255C32">
            <w:pPr>
              <w:pStyle w:val="NormalWeb"/>
              <w:spacing w:before="0" w:afterAutospacing="0" w:line="200" w:lineRule="atLeast"/>
              <w:jc w:val="left"/>
              <w:rPr>
                <w:rFonts w:asciiTheme="minorHAnsi" w:hAnsiTheme="minorHAnsi" w:cs="Arial"/>
              </w:rPr>
            </w:pPr>
            <w:r w:rsidRPr="00F90422">
              <w:rPr>
                <w:rFonts w:asciiTheme="minorHAnsi" w:hAnsiTheme="minorHAnsi" w:cs="Arial"/>
                <w:shd w:val="clear" w:color="auto" w:fill="FFFFFF"/>
              </w:rPr>
              <w:t>Deputy Secretary Ministry of Foreign Affairs, Kiribati</w:t>
            </w:r>
          </w:p>
        </w:tc>
      </w:tr>
      <w:tr w:rsidR="00EE2664" w:rsidRPr="00F90422" w14:paraId="0270C0DE" w14:textId="77777777" w:rsidTr="009D44E3">
        <w:trPr>
          <w:tblHeader/>
        </w:trPr>
        <w:tc>
          <w:tcPr>
            <w:tcW w:w="2854" w:type="dxa"/>
          </w:tcPr>
          <w:p w14:paraId="5BEFD460" w14:textId="77777777" w:rsidR="00EE2664" w:rsidRPr="00255C32" w:rsidRDefault="00EE2664" w:rsidP="00255C32">
            <w:pPr>
              <w:pStyle w:val="NormalWeb"/>
              <w:shd w:val="clear" w:color="auto" w:fill="FFFFFF"/>
              <w:spacing w:before="0" w:afterAutospacing="0" w:line="200" w:lineRule="atLeast"/>
              <w:jc w:val="left"/>
              <w:rPr>
                <w:rFonts w:asciiTheme="minorHAnsi" w:hAnsiTheme="minorHAnsi" w:cs="Arial"/>
              </w:rPr>
            </w:pPr>
            <w:r w:rsidRPr="00255C32">
              <w:rPr>
                <w:rFonts w:asciiTheme="minorHAnsi" w:hAnsiTheme="minorHAnsi" w:cs="Arial"/>
              </w:rPr>
              <w:t>Dr. Theresa Lei</w:t>
            </w:r>
          </w:p>
        </w:tc>
        <w:tc>
          <w:tcPr>
            <w:tcW w:w="2599" w:type="dxa"/>
          </w:tcPr>
          <w:p w14:paraId="1AB33D6B" w14:textId="77777777" w:rsidR="00EE2664" w:rsidRDefault="00EE2664" w:rsidP="00255C32">
            <w:pPr>
              <w:pStyle w:val="NormalWeb"/>
              <w:spacing w:before="0" w:afterAutospacing="0" w:line="200" w:lineRule="atLeast"/>
              <w:jc w:val="left"/>
              <w:rPr>
                <w:rFonts w:asciiTheme="minorHAnsi" w:hAnsiTheme="minorHAnsi" w:cs="Arial"/>
              </w:rPr>
            </w:pPr>
            <w:r>
              <w:rPr>
                <w:rFonts w:asciiTheme="minorHAnsi" w:hAnsiTheme="minorHAnsi" w:cs="Arial"/>
              </w:rPr>
              <w:t>Papua New Guinea</w:t>
            </w:r>
          </w:p>
        </w:tc>
        <w:tc>
          <w:tcPr>
            <w:tcW w:w="2411" w:type="dxa"/>
          </w:tcPr>
          <w:p w14:paraId="694803D7" w14:textId="77777777" w:rsidR="00EE2664" w:rsidRDefault="00EE2664" w:rsidP="00255C32">
            <w:pPr>
              <w:pStyle w:val="NormalWeb"/>
              <w:spacing w:before="0" w:afterAutospacing="0" w:line="200" w:lineRule="atLeast"/>
              <w:jc w:val="left"/>
              <w:rPr>
                <w:rFonts w:asciiTheme="minorHAnsi" w:hAnsiTheme="minorHAnsi" w:cs="Arial"/>
              </w:rPr>
            </w:pPr>
            <w:r>
              <w:rPr>
                <w:rFonts w:asciiTheme="minorHAnsi" w:hAnsiTheme="minorHAnsi" w:cs="Arial"/>
              </w:rPr>
              <w:t>Access to health services</w:t>
            </w:r>
          </w:p>
        </w:tc>
        <w:tc>
          <w:tcPr>
            <w:tcW w:w="2686" w:type="dxa"/>
          </w:tcPr>
          <w:p w14:paraId="0AC8445F" w14:textId="77777777" w:rsidR="00EE2664" w:rsidRPr="00F90422" w:rsidRDefault="00EE2664" w:rsidP="00255C32">
            <w:pPr>
              <w:pStyle w:val="NormalWeb"/>
              <w:spacing w:before="0" w:afterAutospacing="0" w:line="200" w:lineRule="atLeast"/>
              <w:jc w:val="left"/>
              <w:rPr>
                <w:rFonts w:asciiTheme="minorHAnsi" w:hAnsiTheme="minorHAnsi" w:cs="Arial"/>
              </w:rPr>
            </w:pPr>
            <w:r>
              <w:rPr>
                <w:rFonts w:asciiTheme="minorHAnsi" w:hAnsiTheme="minorHAnsi" w:cs="Arial"/>
              </w:rPr>
              <w:t>UNFPA, Suva, Fiji.</w:t>
            </w:r>
          </w:p>
        </w:tc>
        <w:tc>
          <w:tcPr>
            <w:tcW w:w="3624" w:type="dxa"/>
          </w:tcPr>
          <w:p w14:paraId="3FF3AE41" w14:textId="77777777" w:rsidR="00EE2664" w:rsidRPr="00F90422" w:rsidRDefault="00EE2664" w:rsidP="00255C32">
            <w:pPr>
              <w:pStyle w:val="NormalWeb"/>
              <w:spacing w:before="0" w:afterAutospacing="0" w:line="200" w:lineRule="atLeast"/>
              <w:jc w:val="left"/>
              <w:rPr>
                <w:rFonts w:asciiTheme="minorHAnsi" w:hAnsiTheme="minorHAnsi" w:cs="Arial"/>
                <w:shd w:val="clear" w:color="auto" w:fill="FFFFFF"/>
              </w:rPr>
            </w:pPr>
            <w:r>
              <w:rPr>
                <w:rFonts w:asciiTheme="minorHAnsi" w:hAnsiTheme="minorHAnsi" w:cs="Arial"/>
                <w:shd w:val="clear" w:color="auto" w:fill="FFFFFF"/>
              </w:rPr>
              <w:t>Australian Doctors International, Melbourne.</w:t>
            </w:r>
          </w:p>
        </w:tc>
      </w:tr>
      <w:tr w:rsidR="00EE2664" w:rsidRPr="00F90422" w14:paraId="6BEF6CF2" w14:textId="77777777" w:rsidTr="009D44E3">
        <w:trPr>
          <w:tblHeader/>
        </w:trPr>
        <w:tc>
          <w:tcPr>
            <w:tcW w:w="2854" w:type="dxa"/>
          </w:tcPr>
          <w:p w14:paraId="3AA3C28A" w14:textId="77777777" w:rsidR="00EE2664" w:rsidRPr="00255C32" w:rsidRDefault="00EE2664" w:rsidP="00255C32">
            <w:pPr>
              <w:pStyle w:val="NormalWeb"/>
              <w:shd w:val="clear" w:color="auto" w:fill="FFFFFF"/>
              <w:spacing w:before="0" w:afterAutospacing="0" w:line="200" w:lineRule="atLeast"/>
              <w:jc w:val="left"/>
              <w:rPr>
                <w:rFonts w:asciiTheme="minorHAnsi" w:hAnsiTheme="minorHAnsi" w:cs="Arial"/>
              </w:rPr>
            </w:pPr>
            <w:r w:rsidRPr="00255C32">
              <w:rPr>
                <w:rFonts w:asciiTheme="minorHAnsi" w:hAnsiTheme="minorHAnsi" w:cs="Arial"/>
              </w:rPr>
              <w:t xml:space="preserve">Mr. Michael Tenisi So’onalole </w:t>
            </w:r>
          </w:p>
        </w:tc>
        <w:tc>
          <w:tcPr>
            <w:tcW w:w="2599" w:type="dxa"/>
          </w:tcPr>
          <w:p w14:paraId="376B0353" w14:textId="77777777" w:rsidR="00EE2664" w:rsidRDefault="00EE2664" w:rsidP="00255C32">
            <w:pPr>
              <w:pStyle w:val="NormalWeb"/>
              <w:spacing w:before="0" w:afterAutospacing="0" w:line="200" w:lineRule="atLeast"/>
              <w:jc w:val="left"/>
              <w:rPr>
                <w:rFonts w:asciiTheme="minorHAnsi" w:hAnsiTheme="minorHAnsi" w:cs="Arial"/>
              </w:rPr>
            </w:pPr>
            <w:r>
              <w:rPr>
                <w:rFonts w:asciiTheme="minorHAnsi" w:hAnsiTheme="minorHAnsi" w:cs="Arial"/>
              </w:rPr>
              <w:t>Samoa</w:t>
            </w:r>
          </w:p>
        </w:tc>
        <w:tc>
          <w:tcPr>
            <w:tcW w:w="2411" w:type="dxa"/>
          </w:tcPr>
          <w:p w14:paraId="1F6B53CE" w14:textId="77777777" w:rsidR="00EE2664" w:rsidRDefault="00EE2664" w:rsidP="00255C32">
            <w:pPr>
              <w:pStyle w:val="NormalWeb"/>
              <w:spacing w:before="0" w:afterAutospacing="0" w:line="200" w:lineRule="atLeast"/>
              <w:jc w:val="left"/>
              <w:rPr>
                <w:rFonts w:asciiTheme="minorHAnsi" w:hAnsiTheme="minorHAnsi" w:cs="Arial"/>
              </w:rPr>
            </w:pPr>
            <w:r>
              <w:rPr>
                <w:rFonts w:asciiTheme="minorHAnsi" w:hAnsiTheme="minorHAnsi" w:cs="Arial"/>
              </w:rPr>
              <w:t xml:space="preserve">Regional security and policing </w:t>
            </w:r>
          </w:p>
        </w:tc>
        <w:tc>
          <w:tcPr>
            <w:tcW w:w="2686" w:type="dxa"/>
          </w:tcPr>
          <w:p w14:paraId="737AD8B4" w14:textId="77777777" w:rsidR="00EE2664" w:rsidRPr="00F90422" w:rsidRDefault="00EE2664" w:rsidP="00255C32">
            <w:pPr>
              <w:pStyle w:val="NormalWeb"/>
              <w:spacing w:before="0" w:afterAutospacing="0" w:line="200" w:lineRule="atLeast"/>
              <w:jc w:val="left"/>
              <w:rPr>
                <w:rFonts w:asciiTheme="minorHAnsi" w:hAnsiTheme="minorHAnsi" w:cs="Arial"/>
              </w:rPr>
            </w:pPr>
            <w:r>
              <w:rPr>
                <w:rFonts w:asciiTheme="minorHAnsi" w:hAnsiTheme="minorHAnsi" w:cs="Arial"/>
              </w:rPr>
              <w:t>Commenced placement with RAMSI but withdrew for personal/ family reasons</w:t>
            </w:r>
          </w:p>
        </w:tc>
        <w:tc>
          <w:tcPr>
            <w:tcW w:w="3624" w:type="dxa"/>
          </w:tcPr>
          <w:p w14:paraId="4AD86D8C" w14:textId="77777777" w:rsidR="00EE2664" w:rsidRPr="00F90422" w:rsidRDefault="00EE2664" w:rsidP="00255C32">
            <w:pPr>
              <w:pStyle w:val="NormalWeb"/>
              <w:spacing w:before="0" w:afterAutospacing="0" w:line="200" w:lineRule="atLeast"/>
              <w:jc w:val="left"/>
              <w:rPr>
                <w:rFonts w:asciiTheme="minorHAnsi" w:hAnsiTheme="minorHAnsi" w:cs="Arial"/>
              </w:rPr>
            </w:pPr>
            <w:r>
              <w:rPr>
                <w:rFonts w:asciiTheme="minorHAnsi" w:hAnsiTheme="minorHAnsi" w:cs="Arial"/>
              </w:rPr>
              <w:t>Unknown</w:t>
            </w:r>
          </w:p>
        </w:tc>
      </w:tr>
    </w:tbl>
    <w:p w14:paraId="5B337EFE" w14:textId="77777777" w:rsidR="00EE2664" w:rsidRDefault="00EE2664" w:rsidP="00F24FB0">
      <w:pPr>
        <w:pStyle w:val="Heading2"/>
        <w:numPr>
          <w:ilvl w:val="0"/>
          <w:numId w:val="0"/>
        </w:numPr>
        <w:ind w:left="432" w:hanging="432"/>
      </w:pPr>
      <w:r>
        <w:br w:type="page"/>
      </w:r>
    </w:p>
    <w:p w14:paraId="619BB282" w14:textId="77777777" w:rsidR="00EE2664" w:rsidRDefault="00EE2664" w:rsidP="00F24FB0">
      <w:pPr>
        <w:pStyle w:val="Heading2"/>
        <w:numPr>
          <w:ilvl w:val="0"/>
          <w:numId w:val="0"/>
        </w:numPr>
        <w:ind w:left="432" w:hanging="432"/>
        <w:sectPr w:rsidR="00EE2664" w:rsidSect="00EE2664">
          <w:pgSz w:w="16838" w:h="11906" w:orient="landscape"/>
          <w:pgMar w:top="1440" w:right="1440" w:bottom="1440" w:left="1440" w:header="708" w:footer="708" w:gutter="0"/>
          <w:cols w:space="708"/>
          <w:docGrid w:linePitch="360"/>
        </w:sectPr>
      </w:pPr>
    </w:p>
    <w:p w14:paraId="2D1C1612" w14:textId="77777777" w:rsidR="00F24FB0" w:rsidRDefault="00F24FB0" w:rsidP="00337E1A">
      <w:pPr>
        <w:pStyle w:val="Heading2"/>
        <w:numPr>
          <w:ilvl w:val="0"/>
          <w:numId w:val="0"/>
        </w:numPr>
        <w:spacing w:before="240" w:after="120"/>
        <w:ind w:left="431" w:hanging="431"/>
      </w:pPr>
      <w:bookmarkStart w:id="61" w:name="_Toc486247223"/>
      <w:r>
        <w:t xml:space="preserve">Annex </w:t>
      </w:r>
      <w:r w:rsidR="00BC051C">
        <w:t>6</w:t>
      </w:r>
      <w:r>
        <w:t>: Adaptive Leadership Participants</w:t>
      </w:r>
      <w:bookmarkEnd w:id="61"/>
    </w:p>
    <w:p w14:paraId="29877925" w14:textId="77777777" w:rsidR="00B72DCD" w:rsidRPr="00730140" w:rsidRDefault="00B72DCD" w:rsidP="00B72DCD">
      <w:pPr>
        <w:rPr>
          <w:b/>
          <w:color w:val="000000" w:themeColor="text1"/>
          <w:sz w:val="24"/>
          <w:szCs w:val="24"/>
        </w:rPr>
      </w:pPr>
      <w:r w:rsidRPr="00730140">
        <w:rPr>
          <w:b/>
          <w:color w:val="000000" w:themeColor="text1"/>
          <w:sz w:val="24"/>
          <w:szCs w:val="24"/>
        </w:rPr>
        <w:t xml:space="preserve">Cohort One Participants </w:t>
      </w:r>
    </w:p>
    <w:tbl>
      <w:tblPr>
        <w:tblStyle w:val="GridTable4-Accent11"/>
        <w:tblW w:w="4620" w:type="pct"/>
        <w:tblLook w:val="04A0" w:firstRow="1" w:lastRow="0" w:firstColumn="1" w:lastColumn="0" w:noHBand="0" w:noVBand="1"/>
      </w:tblPr>
      <w:tblGrid>
        <w:gridCol w:w="449"/>
        <w:gridCol w:w="2657"/>
        <w:gridCol w:w="4193"/>
        <w:gridCol w:w="1241"/>
      </w:tblGrid>
      <w:tr w:rsidR="00B72DCD" w14:paraId="7C843052" w14:textId="77777777" w:rsidTr="009D44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 w:type="pct"/>
          </w:tcPr>
          <w:p w14:paraId="4D3F5AA8" w14:textId="77777777" w:rsidR="00B72DCD" w:rsidRDefault="00B72DCD" w:rsidP="009D44E3">
            <w:pPr>
              <w:rPr>
                <w:iCs/>
                <w:spacing w:val="-1"/>
                <w:w w:val="105"/>
              </w:rPr>
            </w:pPr>
          </w:p>
        </w:tc>
        <w:tc>
          <w:tcPr>
            <w:tcW w:w="1581" w:type="pct"/>
          </w:tcPr>
          <w:p w14:paraId="1285AD2F" w14:textId="77777777" w:rsidR="00B72DCD" w:rsidRDefault="00B72DCD" w:rsidP="009D44E3">
            <w:pPr>
              <w:cnfStyle w:val="100000000000" w:firstRow="1" w:lastRow="0" w:firstColumn="0" w:lastColumn="0" w:oddVBand="0" w:evenVBand="0" w:oddHBand="0" w:evenHBand="0" w:firstRowFirstColumn="0" w:firstRowLastColumn="0" w:lastRowFirstColumn="0" w:lastRowLastColumn="0"/>
              <w:rPr>
                <w:iCs/>
                <w:spacing w:val="-1"/>
                <w:w w:val="105"/>
              </w:rPr>
            </w:pPr>
            <w:r>
              <w:rPr>
                <w:iCs/>
                <w:spacing w:val="-1"/>
                <w:w w:val="105"/>
              </w:rPr>
              <w:t>Name</w:t>
            </w:r>
          </w:p>
        </w:tc>
        <w:tc>
          <w:tcPr>
            <w:tcW w:w="2480" w:type="pct"/>
          </w:tcPr>
          <w:p w14:paraId="2D51A8DC" w14:textId="77777777" w:rsidR="00B72DCD" w:rsidRDefault="00B72DCD" w:rsidP="009D44E3">
            <w:pPr>
              <w:cnfStyle w:val="100000000000" w:firstRow="1" w:lastRow="0" w:firstColumn="0" w:lastColumn="0" w:oddVBand="0" w:evenVBand="0" w:oddHBand="0" w:evenHBand="0" w:firstRowFirstColumn="0" w:firstRowLastColumn="0" w:lastRowFirstColumn="0" w:lastRowLastColumn="0"/>
              <w:rPr>
                <w:iCs/>
                <w:spacing w:val="-1"/>
                <w:w w:val="105"/>
              </w:rPr>
            </w:pPr>
            <w:r>
              <w:rPr>
                <w:iCs/>
                <w:spacing w:val="-1"/>
                <w:w w:val="105"/>
              </w:rPr>
              <w:t>Sponsoring Organisation</w:t>
            </w:r>
          </w:p>
        </w:tc>
        <w:tc>
          <w:tcPr>
            <w:tcW w:w="751" w:type="pct"/>
          </w:tcPr>
          <w:p w14:paraId="30C7D005" w14:textId="77777777" w:rsidR="00B72DCD" w:rsidRDefault="00B72DCD" w:rsidP="009D44E3">
            <w:pPr>
              <w:cnfStyle w:val="100000000000" w:firstRow="1" w:lastRow="0" w:firstColumn="0" w:lastColumn="0" w:oddVBand="0" w:evenVBand="0" w:oddHBand="0" w:evenHBand="0" w:firstRowFirstColumn="0" w:firstRowLastColumn="0" w:lastRowFirstColumn="0" w:lastRowLastColumn="0"/>
              <w:rPr>
                <w:iCs/>
                <w:spacing w:val="-1"/>
                <w:w w:val="105"/>
              </w:rPr>
            </w:pPr>
            <w:r>
              <w:rPr>
                <w:iCs/>
                <w:spacing w:val="-1"/>
                <w:w w:val="105"/>
              </w:rPr>
              <w:t>Train-the-trainer</w:t>
            </w:r>
          </w:p>
        </w:tc>
      </w:tr>
      <w:tr w:rsidR="00B72DCD" w14:paraId="479DE24D" w14:textId="77777777" w:rsidTr="009D4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 w:type="pct"/>
          </w:tcPr>
          <w:p w14:paraId="763EB831" w14:textId="77777777" w:rsidR="00B72DCD" w:rsidRPr="00AE0702" w:rsidRDefault="00B72DCD" w:rsidP="009D44E3">
            <w:pPr>
              <w:rPr>
                <w:b w:val="0"/>
                <w:iCs/>
                <w:spacing w:val="-1"/>
                <w:w w:val="105"/>
              </w:rPr>
            </w:pPr>
            <w:r>
              <w:rPr>
                <w:b w:val="0"/>
                <w:iCs/>
                <w:spacing w:val="-1"/>
                <w:w w:val="105"/>
              </w:rPr>
              <w:t>1</w:t>
            </w:r>
          </w:p>
        </w:tc>
        <w:tc>
          <w:tcPr>
            <w:tcW w:w="1581" w:type="pct"/>
          </w:tcPr>
          <w:p w14:paraId="5F2D1A1F" w14:textId="77777777" w:rsidR="00B72DCD" w:rsidRPr="00241895"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241895">
              <w:rPr>
                <w:iCs/>
                <w:spacing w:val="-1"/>
                <w:w w:val="105"/>
              </w:rPr>
              <w:t>Resina Katafono</w:t>
            </w:r>
          </w:p>
        </w:tc>
        <w:tc>
          <w:tcPr>
            <w:tcW w:w="2480" w:type="pct"/>
          </w:tcPr>
          <w:p w14:paraId="60500DDF" w14:textId="77777777" w:rsidR="00B72DCD" w:rsidRPr="00241895"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241895">
              <w:rPr>
                <w:iCs/>
                <w:spacing w:val="-1"/>
                <w:w w:val="105"/>
              </w:rPr>
              <w:t xml:space="preserve">Pacific Islands Forum Secretariat </w:t>
            </w:r>
          </w:p>
        </w:tc>
        <w:tc>
          <w:tcPr>
            <w:tcW w:w="751" w:type="pct"/>
          </w:tcPr>
          <w:p w14:paraId="7A311274" w14:textId="77777777" w:rsidR="00B72DCD" w:rsidRDefault="00B72DCD" w:rsidP="009D44E3">
            <w:pPr>
              <w:jc w:val="center"/>
              <w:cnfStyle w:val="000000100000" w:firstRow="0" w:lastRow="0" w:firstColumn="0" w:lastColumn="0" w:oddVBand="0" w:evenVBand="0" w:oddHBand="1" w:evenHBand="0" w:firstRowFirstColumn="0" w:firstRowLastColumn="0" w:lastRowFirstColumn="0" w:lastRowLastColumn="0"/>
              <w:rPr>
                <w:iCs/>
                <w:spacing w:val="-1"/>
                <w:w w:val="105"/>
              </w:rPr>
            </w:pPr>
          </w:p>
        </w:tc>
      </w:tr>
      <w:tr w:rsidR="00B72DCD" w14:paraId="410D1440" w14:textId="77777777" w:rsidTr="009D44E3">
        <w:tc>
          <w:tcPr>
            <w:cnfStyle w:val="001000000000" w:firstRow="0" w:lastRow="0" w:firstColumn="1" w:lastColumn="0" w:oddVBand="0" w:evenVBand="0" w:oddHBand="0" w:evenHBand="0" w:firstRowFirstColumn="0" w:firstRowLastColumn="0" w:lastRowFirstColumn="0" w:lastRowLastColumn="0"/>
            <w:tcW w:w="188" w:type="pct"/>
          </w:tcPr>
          <w:p w14:paraId="0EFF8F0C" w14:textId="77777777" w:rsidR="00B72DCD" w:rsidRPr="00AE0702" w:rsidRDefault="00B72DCD" w:rsidP="009D44E3">
            <w:pPr>
              <w:rPr>
                <w:b w:val="0"/>
                <w:iCs/>
                <w:spacing w:val="-1"/>
                <w:w w:val="105"/>
              </w:rPr>
            </w:pPr>
            <w:r>
              <w:rPr>
                <w:b w:val="0"/>
                <w:iCs/>
                <w:spacing w:val="-1"/>
                <w:w w:val="105"/>
              </w:rPr>
              <w:t>2</w:t>
            </w:r>
          </w:p>
        </w:tc>
        <w:tc>
          <w:tcPr>
            <w:tcW w:w="1581" w:type="pct"/>
          </w:tcPr>
          <w:p w14:paraId="7D1F887C" w14:textId="77777777" w:rsidR="00B72DCD" w:rsidRPr="00241895"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241895">
              <w:rPr>
                <w:iCs/>
                <w:spacing w:val="-1"/>
                <w:w w:val="105"/>
              </w:rPr>
              <w:t>Angela Thomas</w:t>
            </w:r>
          </w:p>
        </w:tc>
        <w:tc>
          <w:tcPr>
            <w:tcW w:w="2480" w:type="pct"/>
          </w:tcPr>
          <w:p w14:paraId="3DC4080A" w14:textId="77777777" w:rsidR="00B72DCD" w:rsidRPr="00241895"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241895">
              <w:rPr>
                <w:iCs/>
                <w:spacing w:val="-1"/>
                <w:w w:val="105"/>
              </w:rPr>
              <w:t xml:space="preserve">Pacific Islands Forum Secretariat </w:t>
            </w:r>
          </w:p>
        </w:tc>
        <w:tc>
          <w:tcPr>
            <w:tcW w:w="751" w:type="pct"/>
          </w:tcPr>
          <w:p w14:paraId="24753F60" w14:textId="77777777" w:rsidR="00B72DCD" w:rsidRDefault="00B72DCD" w:rsidP="009D44E3">
            <w:pPr>
              <w:jc w:val="center"/>
              <w:cnfStyle w:val="000000000000" w:firstRow="0" w:lastRow="0" w:firstColumn="0" w:lastColumn="0" w:oddVBand="0" w:evenVBand="0" w:oddHBand="0" w:evenHBand="0" w:firstRowFirstColumn="0" w:firstRowLastColumn="0" w:lastRowFirstColumn="0" w:lastRowLastColumn="0"/>
              <w:rPr>
                <w:iCs/>
                <w:spacing w:val="-1"/>
                <w:w w:val="105"/>
              </w:rPr>
            </w:pPr>
          </w:p>
        </w:tc>
      </w:tr>
      <w:tr w:rsidR="00B72DCD" w14:paraId="7A13989B" w14:textId="77777777" w:rsidTr="009D4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 w:type="pct"/>
          </w:tcPr>
          <w:p w14:paraId="2DCEB4F1" w14:textId="77777777" w:rsidR="00B72DCD" w:rsidRPr="00AE0702" w:rsidRDefault="00B72DCD" w:rsidP="009D44E3">
            <w:pPr>
              <w:rPr>
                <w:b w:val="0"/>
                <w:iCs/>
                <w:spacing w:val="-1"/>
                <w:w w:val="105"/>
              </w:rPr>
            </w:pPr>
            <w:r>
              <w:rPr>
                <w:b w:val="0"/>
                <w:iCs/>
                <w:spacing w:val="-1"/>
                <w:w w:val="105"/>
              </w:rPr>
              <w:t>3</w:t>
            </w:r>
          </w:p>
        </w:tc>
        <w:tc>
          <w:tcPr>
            <w:tcW w:w="1581" w:type="pct"/>
          </w:tcPr>
          <w:p w14:paraId="6E004549" w14:textId="77777777" w:rsidR="00B72DCD" w:rsidRPr="00241895"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241895">
              <w:rPr>
                <w:iCs/>
                <w:spacing w:val="-1"/>
                <w:w w:val="105"/>
              </w:rPr>
              <w:t>Richard Alu</w:t>
            </w:r>
          </w:p>
        </w:tc>
        <w:tc>
          <w:tcPr>
            <w:tcW w:w="2480" w:type="pct"/>
          </w:tcPr>
          <w:p w14:paraId="1B6EE327" w14:textId="77777777" w:rsidR="00B72DCD" w:rsidRPr="00241895"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241895">
              <w:rPr>
                <w:iCs/>
                <w:spacing w:val="-1"/>
                <w:w w:val="105"/>
              </w:rPr>
              <w:t xml:space="preserve">Pacific Islands Forum Secretariat </w:t>
            </w:r>
          </w:p>
        </w:tc>
        <w:tc>
          <w:tcPr>
            <w:tcW w:w="751" w:type="pct"/>
          </w:tcPr>
          <w:p w14:paraId="080D1CB9" w14:textId="77777777" w:rsidR="00B72DCD" w:rsidRDefault="00B72DCD" w:rsidP="009D44E3">
            <w:pPr>
              <w:jc w:val="center"/>
              <w:cnfStyle w:val="000000100000" w:firstRow="0" w:lastRow="0" w:firstColumn="0" w:lastColumn="0" w:oddVBand="0" w:evenVBand="0" w:oddHBand="1" w:evenHBand="0" w:firstRowFirstColumn="0" w:firstRowLastColumn="0" w:lastRowFirstColumn="0" w:lastRowLastColumn="0"/>
              <w:rPr>
                <w:iCs/>
                <w:spacing w:val="-1"/>
                <w:w w:val="105"/>
              </w:rPr>
            </w:pPr>
          </w:p>
        </w:tc>
      </w:tr>
      <w:tr w:rsidR="00B72DCD" w14:paraId="3678E050" w14:textId="77777777" w:rsidTr="009D44E3">
        <w:tc>
          <w:tcPr>
            <w:cnfStyle w:val="001000000000" w:firstRow="0" w:lastRow="0" w:firstColumn="1" w:lastColumn="0" w:oddVBand="0" w:evenVBand="0" w:oddHBand="0" w:evenHBand="0" w:firstRowFirstColumn="0" w:firstRowLastColumn="0" w:lastRowFirstColumn="0" w:lastRowLastColumn="0"/>
            <w:tcW w:w="188" w:type="pct"/>
          </w:tcPr>
          <w:p w14:paraId="5CD26360" w14:textId="77777777" w:rsidR="00B72DCD" w:rsidRPr="00AE0702" w:rsidRDefault="00B72DCD" w:rsidP="009D44E3">
            <w:pPr>
              <w:rPr>
                <w:b w:val="0"/>
                <w:iCs/>
                <w:spacing w:val="-1"/>
                <w:w w:val="105"/>
              </w:rPr>
            </w:pPr>
            <w:r>
              <w:rPr>
                <w:b w:val="0"/>
                <w:iCs/>
                <w:spacing w:val="-1"/>
                <w:w w:val="105"/>
              </w:rPr>
              <w:t>4</w:t>
            </w:r>
          </w:p>
        </w:tc>
        <w:tc>
          <w:tcPr>
            <w:tcW w:w="1581" w:type="pct"/>
          </w:tcPr>
          <w:p w14:paraId="0E3B3777" w14:textId="77777777" w:rsidR="00B72DCD" w:rsidRPr="00241895"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241895">
              <w:rPr>
                <w:iCs/>
                <w:spacing w:val="-1"/>
                <w:w w:val="105"/>
              </w:rPr>
              <w:t>Sione Tekiteki</w:t>
            </w:r>
          </w:p>
        </w:tc>
        <w:tc>
          <w:tcPr>
            <w:tcW w:w="2480" w:type="pct"/>
          </w:tcPr>
          <w:p w14:paraId="10CB7EB0" w14:textId="77777777" w:rsidR="00B72DCD" w:rsidRPr="00241895"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241895">
              <w:rPr>
                <w:iCs/>
                <w:spacing w:val="-1"/>
                <w:w w:val="105"/>
              </w:rPr>
              <w:t xml:space="preserve">Pacific Islands Forum Secretariat </w:t>
            </w:r>
          </w:p>
        </w:tc>
        <w:tc>
          <w:tcPr>
            <w:tcW w:w="751" w:type="pct"/>
          </w:tcPr>
          <w:p w14:paraId="69C7F117" w14:textId="77777777" w:rsidR="00B72DCD" w:rsidRDefault="00B72DCD" w:rsidP="009D44E3">
            <w:pPr>
              <w:jc w:val="center"/>
              <w:cnfStyle w:val="000000000000" w:firstRow="0" w:lastRow="0" w:firstColumn="0" w:lastColumn="0" w:oddVBand="0" w:evenVBand="0" w:oddHBand="0" w:evenHBand="0" w:firstRowFirstColumn="0" w:firstRowLastColumn="0" w:lastRowFirstColumn="0" w:lastRowLastColumn="0"/>
              <w:rPr>
                <w:iCs/>
                <w:spacing w:val="-1"/>
                <w:w w:val="105"/>
              </w:rPr>
            </w:pPr>
          </w:p>
        </w:tc>
      </w:tr>
      <w:tr w:rsidR="00B72DCD" w14:paraId="3AAC9468" w14:textId="77777777" w:rsidTr="009D4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 w:type="pct"/>
          </w:tcPr>
          <w:p w14:paraId="5642388D" w14:textId="77777777" w:rsidR="00B72DCD" w:rsidRPr="00AE0702" w:rsidRDefault="00B72DCD" w:rsidP="009D44E3">
            <w:pPr>
              <w:rPr>
                <w:b w:val="0"/>
                <w:iCs/>
                <w:spacing w:val="-1"/>
                <w:w w:val="105"/>
              </w:rPr>
            </w:pPr>
            <w:r>
              <w:rPr>
                <w:b w:val="0"/>
                <w:iCs/>
                <w:spacing w:val="-1"/>
                <w:w w:val="105"/>
              </w:rPr>
              <w:t>5</w:t>
            </w:r>
          </w:p>
        </w:tc>
        <w:tc>
          <w:tcPr>
            <w:tcW w:w="1581" w:type="pct"/>
          </w:tcPr>
          <w:p w14:paraId="45804ABF" w14:textId="77777777" w:rsidR="00B72DCD" w:rsidRPr="00241895"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241895">
              <w:rPr>
                <w:iCs/>
                <w:spacing w:val="-1"/>
                <w:w w:val="105"/>
              </w:rPr>
              <w:t>Andrew Anton</w:t>
            </w:r>
          </w:p>
        </w:tc>
        <w:tc>
          <w:tcPr>
            <w:tcW w:w="2480" w:type="pct"/>
          </w:tcPr>
          <w:p w14:paraId="65C04CD6" w14:textId="77777777" w:rsidR="00B72DCD" w:rsidRPr="00241895"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241895">
              <w:rPr>
                <w:iCs/>
                <w:spacing w:val="-1"/>
                <w:w w:val="105"/>
              </w:rPr>
              <w:t xml:space="preserve">Pacific Islands Forum Secretariat </w:t>
            </w:r>
          </w:p>
        </w:tc>
        <w:tc>
          <w:tcPr>
            <w:tcW w:w="751" w:type="pct"/>
          </w:tcPr>
          <w:p w14:paraId="1D50AA93" w14:textId="77777777" w:rsidR="00B72DCD" w:rsidRDefault="00B72DCD" w:rsidP="009D44E3">
            <w:pPr>
              <w:jc w:val="center"/>
              <w:cnfStyle w:val="000000100000" w:firstRow="0" w:lastRow="0" w:firstColumn="0" w:lastColumn="0" w:oddVBand="0" w:evenVBand="0" w:oddHBand="1" w:evenHBand="0" w:firstRowFirstColumn="0" w:firstRowLastColumn="0" w:lastRowFirstColumn="0" w:lastRowLastColumn="0"/>
              <w:rPr>
                <w:iCs/>
                <w:spacing w:val="-1"/>
                <w:w w:val="105"/>
              </w:rPr>
            </w:pPr>
          </w:p>
        </w:tc>
      </w:tr>
      <w:tr w:rsidR="00B72DCD" w14:paraId="2A1CDDEE" w14:textId="77777777" w:rsidTr="009D44E3">
        <w:tc>
          <w:tcPr>
            <w:cnfStyle w:val="001000000000" w:firstRow="0" w:lastRow="0" w:firstColumn="1" w:lastColumn="0" w:oddVBand="0" w:evenVBand="0" w:oddHBand="0" w:evenHBand="0" w:firstRowFirstColumn="0" w:firstRowLastColumn="0" w:lastRowFirstColumn="0" w:lastRowLastColumn="0"/>
            <w:tcW w:w="188" w:type="pct"/>
          </w:tcPr>
          <w:p w14:paraId="09C62CCE" w14:textId="77777777" w:rsidR="00B72DCD" w:rsidRPr="00AE0702" w:rsidRDefault="00B72DCD" w:rsidP="009D44E3">
            <w:pPr>
              <w:rPr>
                <w:b w:val="0"/>
                <w:iCs/>
                <w:spacing w:val="-1"/>
                <w:w w:val="105"/>
              </w:rPr>
            </w:pPr>
            <w:r>
              <w:rPr>
                <w:b w:val="0"/>
                <w:iCs/>
                <w:spacing w:val="-1"/>
                <w:w w:val="105"/>
              </w:rPr>
              <w:t>6</w:t>
            </w:r>
          </w:p>
        </w:tc>
        <w:tc>
          <w:tcPr>
            <w:tcW w:w="1581" w:type="pct"/>
          </w:tcPr>
          <w:p w14:paraId="12B19835" w14:textId="77777777" w:rsidR="00B72DCD" w:rsidRPr="00241895"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241895">
              <w:rPr>
                <w:iCs/>
                <w:spacing w:val="-1"/>
                <w:w w:val="105"/>
              </w:rPr>
              <w:t>Linda Kaua</w:t>
            </w:r>
          </w:p>
        </w:tc>
        <w:tc>
          <w:tcPr>
            <w:tcW w:w="2480" w:type="pct"/>
          </w:tcPr>
          <w:p w14:paraId="4228D3AA" w14:textId="77777777" w:rsidR="00B72DCD" w:rsidRPr="00241895"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241895">
              <w:rPr>
                <w:iCs/>
                <w:spacing w:val="-1"/>
                <w:w w:val="105"/>
              </w:rPr>
              <w:t xml:space="preserve">Pacific Islands Forum Secretariat </w:t>
            </w:r>
          </w:p>
        </w:tc>
        <w:tc>
          <w:tcPr>
            <w:tcW w:w="751" w:type="pct"/>
          </w:tcPr>
          <w:p w14:paraId="334CF341" w14:textId="77777777" w:rsidR="00B72DCD" w:rsidRDefault="00B72DCD" w:rsidP="009D44E3">
            <w:pPr>
              <w:jc w:val="center"/>
              <w:cnfStyle w:val="000000000000" w:firstRow="0" w:lastRow="0" w:firstColumn="0" w:lastColumn="0" w:oddVBand="0" w:evenVBand="0" w:oddHBand="0" w:evenHBand="0" w:firstRowFirstColumn="0" w:firstRowLastColumn="0" w:lastRowFirstColumn="0" w:lastRowLastColumn="0"/>
              <w:rPr>
                <w:iCs/>
                <w:spacing w:val="-1"/>
                <w:w w:val="105"/>
              </w:rPr>
            </w:pPr>
          </w:p>
        </w:tc>
      </w:tr>
      <w:tr w:rsidR="00B72DCD" w14:paraId="398221EC" w14:textId="77777777" w:rsidTr="009D4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 w:type="pct"/>
          </w:tcPr>
          <w:p w14:paraId="307ABAB8" w14:textId="77777777" w:rsidR="00B72DCD" w:rsidRPr="00AE0702" w:rsidRDefault="00B72DCD" w:rsidP="009D44E3">
            <w:pPr>
              <w:rPr>
                <w:b w:val="0"/>
                <w:iCs/>
                <w:spacing w:val="-1"/>
                <w:w w:val="105"/>
              </w:rPr>
            </w:pPr>
            <w:r>
              <w:rPr>
                <w:b w:val="0"/>
                <w:iCs/>
                <w:spacing w:val="-1"/>
                <w:w w:val="105"/>
              </w:rPr>
              <w:t>7</w:t>
            </w:r>
          </w:p>
        </w:tc>
        <w:tc>
          <w:tcPr>
            <w:tcW w:w="1581" w:type="pct"/>
          </w:tcPr>
          <w:p w14:paraId="6F59F4B7" w14:textId="77777777" w:rsidR="00B72DCD" w:rsidRPr="00241895"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241895">
              <w:rPr>
                <w:iCs/>
                <w:spacing w:val="-1"/>
                <w:w w:val="105"/>
              </w:rPr>
              <w:t>Mary Fa’asau</w:t>
            </w:r>
          </w:p>
        </w:tc>
        <w:tc>
          <w:tcPr>
            <w:tcW w:w="2480" w:type="pct"/>
          </w:tcPr>
          <w:p w14:paraId="690E0272" w14:textId="77777777" w:rsidR="00B72DCD" w:rsidRPr="00241895"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241895">
              <w:rPr>
                <w:iCs/>
                <w:spacing w:val="-1"/>
                <w:w w:val="105"/>
              </w:rPr>
              <w:t xml:space="preserve">Pacific Islands Forum Secretariat </w:t>
            </w:r>
          </w:p>
        </w:tc>
        <w:tc>
          <w:tcPr>
            <w:tcW w:w="751" w:type="pct"/>
          </w:tcPr>
          <w:p w14:paraId="5980B3E4" w14:textId="77777777" w:rsidR="00B72DCD" w:rsidRDefault="00B72DCD" w:rsidP="009D44E3">
            <w:pPr>
              <w:jc w:val="center"/>
              <w:cnfStyle w:val="000000100000" w:firstRow="0" w:lastRow="0" w:firstColumn="0" w:lastColumn="0" w:oddVBand="0" w:evenVBand="0" w:oddHBand="1" w:evenHBand="0" w:firstRowFirstColumn="0" w:firstRowLastColumn="0" w:lastRowFirstColumn="0" w:lastRowLastColumn="0"/>
              <w:rPr>
                <w:iCs/>
                <w:spacing w:val="-1"/>
                <w:w w:val="105"/>
              </w:rPr>
            </w:pPr>
          </w:p>
        </w:tc>
      </w:tr>
      <w:tr w:rsidR="00B72DCD" w14:paraId="7332D565" w14:textId="77777777" w:rsidTr="009D44E3">
        <w:tc>
          <w:tcPr>
            <w:cnfStyle w:val="001000000000" w:firstRow="0" w:lastRow="0" w:firstColumn="1" w:lastColumn="0" w:oddVBand="0" w:evenVBand="0" w:oddHBand="0" w:evenHBand="0" w:firstRowFirstColumn="0" w:firstRowLastColumn="0" w:lastRowFirstColumn="0" w:lastRowLastColumn="0"/>
            <w:tcW w:w="188" w:type="pct"/>
          </w:tcPr>
          <w:p w14:paraId="505C2A62" w14:textId="77777777" w:rsidR="00B72DCD" w:rsidRPr="00AE0702" w:rsidRDefault="00B72DCD" w:rsidP="009D44E3">
            <w:pPr>
              <w:rPr>
                <w:b w:val="0"/>
                <w:iCs/>
                <w:spacing w:val="-1"/>
                <w:w w:val="105"/>
              </w:rPr>
            </w:pPr>
            <w:r>
              <w:rPr>
                <w:b w:val="0"/>
                <w:iCs/>
                <w:spacing w:val="-1"/>
                <w:w w:val="105"/>
              </w:rPr>
              <w:t>8</w:t>
            </w:r>
          </w:p>
        </w:tc>
        <w:tc>
          <w:tcPr>
            <w:tcW w:w="1581" w:type="pct"/>
          </w:tcPr>
          <w:p w14:paraId="7AD2CEA9" w14:textId="77777777" w:rsidR="00B72DCD" w:rsidRPr="00241895"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241895">
              <w:rPr>
                <w:iCs/>
                <w:spacing w:val="-1"/>
                <w:w w:val="105"/>
              </w:rPr>
              <w:t>Joel Nilon</w:t>
            </w:r>
          </w:p>
        </w:tc>
        <w:tc>
          <w:tcPr>
            <w:tcW w:w="2480" w:type="pct"/>
          </w:tcPr>
          <w:p w14:paraId="044F1A2A" w14:textId="77777777" w:rsidR="00B72DCD" w:rsidRPr="00241895"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241895">
              <w:rPr>
                <w:iCs/>
                <w:spacing w:val="-1"/>
                <w:w w:val="105"/>
              </w:rPr>
              <w:t xml:space="preserve">Pacific Islands Forum Secretariat </w:t>
            </w:r>
          </w:p>
        </w:tc>
        <w:tc>
          <w:tcPr>
            <w:tcW w:w="751" w:type="pct"/>
          </w:tcPr>
          <w:p w14:paraId="69AB7EF8" w14:textId="77777777" w:rsidR="00B72DCD" w:rsidRDefault="00B72DCD" w:rsidP="009D44E3">
            <w:pPr>
              <w:jc w:val="center"/>
              <w:cnfStyle w:val="000000000000" w:firstRow="0" w:lastRow="0" w:firstColumn="0" w:lastColumn="0" w:oddVBand="0" w:evenVBand="0" w:oddHBand="0" w:evenHBand="0" w:firstRowFirstColumn="0" w:firstRowLastColumn="0" w:lastRowFirstColumn="0" w:lastRowLastColumn="0"/>
              <w:rPr>
                <w:iCs/>
                <w:spacing w:val="-1"/>
                <w:w w:val="105"/>
              </w:rPr>
            </w:pPr>
          </w:p>
        </w:tc>
      </w:tr>
      <w:tr w:rsidR="00B72DCD" w14:paraId="09B01562" w14:textId="77777777" w:rsidTr="009D4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 w:type="pct"/>
          </w:tcPr>
          <w:p w14:paraId="003173B7" w14:textId="77777777" w:rsidR="00B72DCD" w:rsidRPr="001B1549" w:rsidRDefault="00B72DCD" w:rsidP="009D44E3">
            <w:pPr>
              <w:rPr>
                <w:b w:val="0"/>
                <w:iCs/>
                <w:spacing w:val="-1"/>
                <w:w w:val="105"/>
              </w:rPr>
            </w:pPr>
            <w:r>
              <w:rPr>
                <w:b w:val="0"/>
                <w:iCs/>
                <w:spacing w:val="-1"/>
                <w:w w:val="105"/>
              </w:rPr>
              <w:t>9</w:t>
            </w:r>
          </w:p>
        </w:tc>
        <w:tc>
          <w:tcPr>
            <w:tcW w:w="1581" w:type="pct"/>
          </w:tcPr>
          <w:p w14:paraId="0430D5E0" w14:textId="77777777" w:rsidR="00B72DCD" w:rsidRPr="00241895"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241895">
              <w:rPr>
                <w:iCs/>
                <w:spacing w:val="-1"/>
                <w:w w:val="105"/>
              </w:rPr>
              <w:t>Taniela Sunia Soakai</w:t>
            </w:r>
          </w:p>
        </w:tc>
        <w:tc>
          <w:tcPr>
            <w:tcW w:w="2480" w:type="pct"/>
          </w:tcPr>
          <w:p w14:paraId="6089B429" w14:textId="77777777" w:rsidR="00B72DCD" w:rsidRPr="00241895"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241895">
              <w:rPr>
                <w:iCs/>
                <w:spacing w:val="-1"/>
                <w:w w:val="105"/>
              </w:rPr>
              <w:t>Secretariat of the Pacific Community</w:t>
            </w:r>
          </w:p>
        </w:tc>
        <w:tc>
          <w:tcPr>
            <w:tcW w:w="751" w:type="pct"/>
          </w:tcPr>
          <w:p w14:paraId="1DD1838A" w14:textId="77777777" w:rsidR="00B72DCD" w:rsidRDefault="00B72DCD" w:rsidP="009D44E3">
            <w:pPr>
              <w:jc w:val="center"/>
              <w:cnfStyle w:val="000000100000" w:firstRow="0" w:lastRow="0" w:firstColumn="0" w:lastColumn="0" w:oddVBand="0" w:evenVBand="0" w:oddHBand="1" w:evenHBand="0" w:firstRowFirstColumn="0" w:firstRowLastColumn="0" w:lastRowFirstColumn="0" w:lastRowLastColumn="0"/>
              <w:rPr>
                <w:iCs/>
                <w:spacing w:val="-1"/>
                <w:w w:val="105"/>
              </w:rPr>
            </w:pPr>
          </w:p>
        </w:tc>
      </w:tr>
      <w:tr w:rsidR="00B72DCD" w14:paraId="3F440980" w14:textId="77777777" w:rsidTr="009D44E3">
        <w:tc>
          <w:tcPr>
            <w:cnfStyle w:val="001000000000" w:firstRow="0" w:lastRow="0" w:firstColumn="1" w:lastColumn="0" w:oddVBand="0" w:evenVBand="0" w:oddHBand="0" w:evenHBand="0" w:firstRowFirstColumn="0" w:firstRowLastColumn="0" w:lastRowFirstColumn="0" w:lastRowLastColumn="0"/>
            <w:tcW w:w="188" w:type="pct"/>
          </w:tcPr>
          <w:p w14:paraId="433118AF" w14:textId="77777777" w:rsidR="00B72DCD" w:rsidRPr="001B1549" w:rsidRDefault="00B72DCD" w:rsidP="009D44E3">
            <w:pPr>
              <w:rPr>
                <w:b w:val="0"/>
                <w:iCs/>
                <w:spacing w:val="-1"/>
                <w:w w:val="105"/>
              </w:rPr>
            </w:pPr>
            <w:r>
              <w:rPr>
                <w:b w:val="0"/>
                <w:iCs/>
                <w:spacing w:val="-1"/>
                <w:w w:val="105"/>
              </w:rPr>
              <w:t>10</w:t>
            </w:r>
          </w:p>
        </w:tc>
        <w:tc>
          <w:tcPr>
            <w:tcW w:w="1581" w:type="pct"/>
          </w:tcPr>
          <w:p w14:paraId="4D8CC15F" w14:textId="77777777" w:rsidR="00B72DCD" w:rsidRPr="00241895"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241895">
              <w:rPr>
                <w:iCs/>
                <w:spacing w:val="-1"/>
                <w:w w:val="105"/>
              </w:rPr>
              <w:t>Akuila Tawake</w:t>
            </w:r>
          </w:p>
        </w:tc>
        <w:tc>
          <w:tcPr>
            <w:tcW w:w="2480" w:type="pct"/>
          </w:tcPr>
          <w:p w14:paraId="2BE34483" w14:textId="77777777" w:rsidR="00B72DCD" w:rsidRPr="00241895"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241895">
              <w:rPr>
                <w:iCs/>
                <w:spacing w:val="-1"/>
                <w:w w:val="105"/>
              </w:rPr>
              <w:t>Secretariat of the Pacific Community</w:t>
            </w:r>
          </w:p>
        </w:tc>
        <w:tc>
          <w:tcPr>
            <w:tcW w:w="751" w:type="pct"/>
          </w:tcPr>
          <w:p w14:paraId="48C817C0" w14:textId="77777777" w:rsidR="00B72DCD" w:rsidRDefault="00B72DCD" w:rsidP="009D44E3">
            <w:pPr>
              <w:jc w:val="center"/>
              <w:cnfStyle w:val="000000000000" w:firstRow="0" w:lastRow="0" w:firstColumn="0" w:lastColumn="0" w:oddVBand="0" w:evenVBand="0" w:oddHBand="0" w:evenHBand="0" w:firstRowFirstColumn="0" w:firstRowLastColumn="0" w:lastRowFirstColumn="0" w:lastRowLastColumn="0"/>
              <w:rPr>
                <w:iCs/>
                <w:spacing w:val="-1"/>
                <w:w w:val="105"/>
              </w:rPr>
            </w:pPr>
          </w:p>
        </w:tc>
      </w:tr>
      <w:tr w:rsidR="00B72DCD" w14:paraId="4C71D92E" w14:textId="77777777" w:rsidTr="009D4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 w:type="pct"/>
          </w:tcPr>
          <w:p w14:paraId="302D4ACB" w14:textId="77777777" w:rsidR="00B72DCD" w:rsidRPr="001B1549" w:rsidRDefault="00B72DCD" w:rsidP="009D44E3">
            <w:pPr>
              <w:rPr>
                <w:b w:val="0"/>
                <w:iCs/>
                <w:spacing w:val="-1"/>
                <w:w w:val="105"/>
              </w:rPr>
            </w:pPr>
            <w:r>
              <w:rPr>
                <w:b w:val="0"/>
                <w:iCs/>
                <w:spacing w:val="-1"/>
                <w:w w:val="105"/>
              </w:rPr>
              <w:t>11</w:t>
            </w:r>
          </w:p>
        </w:tc>
        <w:tc>
          <w:tcPr>
            <w:tcW w:w="1581" w:type="pct"/>
          </w:tcPr>
          <w:p w14:paraId="549B18AC" w14:textId="77777777" w:rsidR="00B72DCD" w:rsidRPr="00241895"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241895">
              <w:rPr>
                <w:iCs/>
                <w:spacing w:val="-1"/>
                <w:w w:val="105"/>
              </w:rPr>
              <w:t>Caroline Fusimalohi</w:t>
            </w:r>
          </w:p>
        </w:tc>
        <w:tc>
          <w:tcPr>
            <w:tcW w:w="2480" w:type="pct"/>
          </w:tcPr>
          <w:p w14:paraId="5D0E70E6" w14:textId="77777777" w:rsidR="00B72DCD" w:rsidRPr="00241895"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241895">
              <w:rPr>
                <w:iCs/>
                <w:spacing w:val="-1"/>
                <w:w w:val="105"/>
              </w:rPr>
              <w:t>Secretariat of the Pacific Community</w:t>
            </w:r>
          </w:p>
        </w:tc>
        <w:tc>
          <w:tcPr>
            <w:tcW w:w="751" w:type="pct"/>
          </w:tcPr>
          <w:p w14:paraId="0E0E0F69" w14:textId="77777777" w:rsidR="00B72DCD" w:rsidRDefault="00B72DCD" w:rsidP="009D44E3">
            <w:pPr>
              <w:jc w:val="center"/>
              <w:cnfStyle w:val="000000100000" w:firstRow="0" w:lastRow="0" w:firstColumn="0" w:lastColumn="0" w:oddVBand="0" w:evenVBand="0" w:oddHBand="1" w:evenHBand="0" w:firstRowFirstColumn="0" w:firstRowLastColumn="0" w:lastRowFirstColumn="0" w:lastRowLastColumn="0"/>
              <w:rPr>
                <w:iCs/>
                <w:spacing w:val="-1"/>
                <w:w w:val="105"/>
              </w:rPr>
            </w:pPr>
          </w:p>
        </w:tc>
      </w:tr>
      <w:tr w:rsidR="00B72DCD" w14:paraId="09F49812" w14:textId="77777777" w:rsidTr="009D44E3">
        <w:tc>
          <w:tcPr>
            <w:cnfStyle w:val="001000000000" w:firstRow="0" w:lastRow="0" w:firstColumn="1" w:lastColumn="0" w:oddVBand="0" w:evenVBand="0" w:oddHBand="0" w:evenHBand="0" w:firstRowFirstColumn="0" w:firstRowLastColumn="0" w:lastRowFirstColumn="0" w:lastRowLastColumn="0"/>
            <w:tcW w:w="188" w:type="pct"/>
          </w:tcPr>
          <w:p w14:paraId="46A58FBB" w14:textId="77777777" w:rsidR="00B72DCD" w:rsidRPr="001B1549" w:rsidRDefault="00B72DCD" w:rsidP="009D44E3">
            <w:pPr>
              <w:rPr>
                <w:b w:val="0"/>
                <w:iCs/>
                <w:spacing w:val="-1"/>
                <w:w w:val="105"/>
              </w:rPr>
            </w:pPr>
            <w:r>
              <w:rPr>
                <w:b w:val="0"/>
                <w:iCs/>
                <w:spacing w:val="-1"/>
                <w:w w:val="105"/>
              </w:rPr>
              <w:t>12</w:t>
            </w:r>
          </w:p>
        </w:tc>
        <w:tc>
          <w:tcPr>
            <w:tcW w:w="1581" w:type="pct"/>
          </w:tcPr>
          <w:p w14:paraId="5887C07D" w14:textId="77777777" w:rsidR="00B72DCD" w:rsidRPr="00241895"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241895">
              <w:rPr>
                <w:iCs/>
                <w:spacing w:val="-1"/>
                <w:w w:val="105"/>
              </w:rPr>
              <w:t>Kuiniselani Toelupe-Tago Elisara</w:t>
            </w:r>
          </w:p>
        </w:tc>
        <w:tc>
          <w:tcPr>
            <w:tcW w:w="2480" w:type="pct"/>
          </w:tcPr>
          <w:p w14:paraId="6AF06728" w14:textId="77777777" w:rsidR="00B72DCD" w:rsidRPr="00241895"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241895">
              <w:rPr>
                <w:iCs/>
                <w:spacing w:val="-1"/>
                <w:w w:val="105"/>
              </w:rPr>
              <w:t>Secretariat of the Pacific Community</w:t>
            </w:r>
          </w:p>
        </w:tc>
        <w:tc>
          <w:tcPr>
            <w:tcW w:w="751" w:type="pct"/>
          </w:tcPr>
          <w:p w14:paraId="23B24B04" w14:textId="77777777" w:rsidR="00B72DCD" w:rsidRDefault="00B72DCD" w:rsidP="009D44E3">
            <w:pPr>
              <w:jc w:val="center"/>
              <w:cnfStyle w:val="000000000000" w:firstRow="0" w:lastRow="0" w:firstColumn="0" w:lastColumn="0" w:oddVBand="0" w:evenVBand="0" w:oddHBand="0" w:evenHBand="0" w:firstRowFirstColumn="0" w:firstRowLastColumn="0" w:lastRowFirstColumn="0" w:lastRowLastColumn="0"/>
              <w:rPr>
                <w:iCs/>
                <w:spacing w:val="-1"/>
                <w:w w:val="105"/>
              </w:rPr>
            </w:pPr>
          </w:p>
        </w:tc>
      </w:tr>
      <w:tr w:rsidR="00B72DCD" w14:paraId="05FE9F30" w14:textId="77777777" w:rsidTr="009D4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 w:type="pct"/>
          </w:tcPr>
          <w:p w14:paraId="077AA630" w14:textId="77777777" w:rsidR="00B72DCD" w:rsidRDefault="00B72DCD" w:rsidP="009D44E3">
            <w:pPr>
              <w:rPr>
                <w:iCs/>
                <w:spacing w:val="-1"/>
                <w:w w:val="105"/>
              </w:rPr>
            </w:pPr>
            <w:r>
              <w:rPr>
                <w:iCs/>
                <w:spacing w:val="-1"/>
                <w:w w:val="105"/>
              </w:rPr>
              <w:t>13</w:t>
            </w:r>
          </w:p>
        </w:tc>
        <w:tc>
          <w:tcPr>
            <w:tcW w:w="1581" w:type="pct"/>
          </w:tcPr>
          <w:p w14:paraId="07462308" w14:textId="77777777" w:rsidR="00B72DCD" w:rsidRPr="00241895"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241895">
              <w:rPr>
                <w:iCs/>
                <w:spacing w:val="-1"/>
                <w:w w:val="105"/>
              </w:rPr>
              <w:t>Rhonda B. Robinson</w:t>
            </w:r>
          </w:p>
        </w:tc>
        <w:tc>
          <w:tcPr>
            <w:tcW w:w="2480" w:type="pct"/>
          </w:tcPr>
          <w:p w14:paraId="28BAA819" w14:textId="77777777" w:rsidR="00B72DCD" w:rsidRPr="00241895"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241895">
              <w:rPr>
                <w:iCs/>
                <w:spacing w:val="-1"/>
                <w:w w:val="105"/>
              </w:rPr>
              <w:t>Secretariat of the Pacific Community</w:t>
            </w:r>
          </w:p>
        </w:tc>
        <w:tc>
          <w:tcPr>
            <w:tcW w:w="751" w:type="pct"/>
          </w:tcPr>
          <w:p w14:paraId="1BCF97C8" w14:textId="77777777" w:rsidR="00B72DCD" w:rsidRPr="001B1549" w:rsidRDefault="00B72DCD" w:rsidP="009D44E3">
            <w:pPr>
              <w:jc w:val="center"/>
              <w:cnfStyle w:val="000000100000" w:firstRow="0" w:lastRow="0" w:firstColumn="0" w:lastColumn="0" w:oddVBand="0" w:evenVBand="0" w:oddHBand="1" w:evenHBand="0" w:firstRowFirstColumn="0" w:firstRowLastColumn="0" w:lastRowFirstColumn="0" w:lastRowLastColumn="0"/>
              <w:rPr>
                <w:b/>
                <w:iCs/>
                <w:spacing w:val="-1"/>
                <w:w w:val="105"/>
              </w:rPr>
            </w:pPr>
          </w:p>
        </w:tc>
      </w:tr>
      <w:tr w:rsidR="00B72DCD" w14:paraId="1891EC74" w14:textId="77777777" w:rsidTr="009D44E3">
        <w:tc>
          <w:tcPr>
            <w:cnfStyle w:val="001000000000" w:firstRow="0" w:lastRow="0" w:firstColumn="1" w:lastColumn="0" w:oddVBand="0" w:evenVBand="0" w:oddHBand="0" w:evenHBand="0" w:firstRowFirstColumn="0" w:firstRowLastColumn="0" w:lastRowFirstColumn="0" w:lastRowLastColumn="0"/>
            <w:tcW w:w="188" w:type="pct"/>
          </w:tcPr>
          <w:p w14:paraId="142DAB83" w14:textId="77777777" w:rsidR="00B72DCD" w:rsidRDefault="00B72DCD" w:rsidP="009D44E3">
            <w:pPr>
              <w:rPr>
                <w:iCs/>
                <w:spacing w:val="-1"/>
                <w:w w:val="105"/>
              </w:rPr>
            </w:pPr>
            <w:r>
              <w:rPr>
                <w:iCs/>
                <w:spacing w:val="-1"/>
                <w:w w:val="105"/>
              </w:rPr>
              <w:t>14</w:t>
            </w:r>
          </w:p>
        </w:tc>
        <w:tc>
          <w:tcPr>
            <w:tcW w:w="1581" w:type="pct"/>
          </w:tcPr>
          <w:p w14:paraId="37198779" w14:textId="77777777" w:rsidR="00B72DCD" w:rsidRPr="00241895"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241895">
              <w:rPr>
                <w:iCs/>
                <w:spacing w:val="-1"/>
                <w:w w:val="105"/>
              </w:rPr>
              <w:t>Moses Amos</w:t>
            </w:r>
          </w:p>
        </w:tc>
        <w:tc>
          <w:tcPr>
            <w:tcW w:w="2480" w:type="pct"/>
          </w:tcPr>
          <w:p w14:paraId="696F005A" w14:textId="77777777" w:rsidR="00B72DCD" w:rsidRPr="00241895"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241895">
              <w:rPr>
                <w:iCs/>
                <w:spacing w:val="-1"/>
                <w:w w:val="105"/>
              </w:rPr>
              <w:t>Secretariat of the Pacific Community</w:t>
            </w:r>
          </w:p>
        </w:tc>
        <w:tc>
          <w:tcPr>
            <w:tcW w:w="751" w:type="pct"/>
          </w:tcPr>
          <w:p w14:paraId="626D5CE7" w14:textId="77777777" w:rsidR="00B72DCD" w:rsidRPr="001B1549" w:rsidRDefault="00B72DCD" w:rsidP="009D44E3">
            <w:pPr>
              <w:jc w:val="center"/>
              <w:cnfStyle w:val="000000000000" w:firstRow="0" w:lastRow="0" w:firstColumn="0" w:lastColumn="0" w:oddVBand="0" w:evenVBand="0" w:oddHBand="0" w:evenHBand="0" w:firstRowFirstColumn="0" w:firstRowLastColumn="0" w:lastRowFirstColumn="0" w:lastRowLastColumn="0"/>
              <w:rPr>
                <w:b/>
                <w:iCs/>
                <w:spacing w:val="-1"/>
                <w:w w:val="105"/>
              </w:rPr>
            </w:pPr>
          </w:p>
        </w:tc>
      </w:tr>
      <w:tr w:rsidR="00B72DCD" w14:paraId="1DE098C1" w14:textId="77777777" w:rsidTr="009D4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 w:type="pct"/>
          </w:tcPr>
          <w:p w14:paraId="3128CC26" w14:textId="77777777" w:rsidR="00B72DCD" w:rsidRDefault="00B72DCD" w:rsidP="009D44E3">
            <w:pPr>
              <w:rPr>
                <w:iCs/>
                <w:spacing w:val="-1"/>
                <w:w w:val="105"/>
              </w:rPr>
            </w:pPr>
            <w:r>
              <w:rPr>
                <w:iCs/>
                <w:spacing w:val="-1"/>
                <w:w w:val="105"/>
              </w:rPr>
              <w:t>15</w:t>
            </w:r>
          </w:p>
        </w:tc>
        <w:tc>
          <w:tcPr>
            <w:tcW w:w="1581" w:type="pct"/>
          </w:tcPr>
          <w:p w14:paraId="052C9584" w14:textId="77777777" w:rsidR="00B72DCD" w:rsidRPr="00241895"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241895">
              <w:rPr>
                <w:iCs/>
                <w:spacing w:val="-1"/>
                <w:w w:val="105"/>
              </w:rPr>
              <w:t>Cameron Bowles</w:t>
            </w:r>
          </w:p>
        </w:tc>
        <w:tc>
          <w:tcPr>
            <w:tcW w:w="2480" w:type="pct"/>
          </w:tcPr>
          <w:p w14:paraId="1A7095EA" w14:textId="77777777" w:rsidR="00B72DCD" w:rsidRPr="00241895"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241895">
              <w:rPr>
                <w:iCs/>
                <w:spacing w:val="-1"/>
                <w:w w:val="105"/>
              </w:rPr>
              <w:t xml:space="preserve">Secretariat of the Pacific Community </w:t>
            </w:r>
          </w:p>
        </w:tc>
        <w:tc>
          <w:tcPr>
            <w:tcW w:w="751" w:type="pct"/>
          </w:tcPr>
          <w:p w14:paraId="6C33E4E2" w14:textId="77777777" w:rsidR="00B72DCD" w:rsidRPr="00852AA5" w:rsidRDefault="00B72DCD" w:rsidP="009D44E3">
            <w:pPr>
              <w:jc w:val="center"/>
              <w:cnfStyle w:val="000000100000" w:firstRow="0" w:lastRow="0" w:firstColumn="0" w:lastColumn="0" w:oddVBand="0" w:evenVBand="0" w:oddHBand="1" w:evenHBand="0" w:firstRowFirstColumn="0" w:firstRowLastColumn="0" w:lastRowFirstColumn="0" w:lastRowLastColumn="0"/>
              <w:rPr>
                <w:iCs/>
                <w:spacing w:val="-1"/>
                <w:w w:val="105"/>
              </w:rPr>
            </w:pPr>
            <w:r w:rsidRPr="00852AA5">
              <w:rPr>
                <w:iCs/>
                <w:spacing w:val="-1"/>
                <w:w w:val="105"/>
              </w:rPr>
              <w:t>Y</w:t>
            </w:r>
          </w:p>
        </w:tc>
      </w:tr>
      <w:tr w:rsidR="00B72DCD" w14:paraId="2560DEDC" w14:textId="77777777" w:rsidTr="009D44E3">
        <w:tc>
          <w:tcPr>
            <w:cnfStyle w:val="001000000000" w:firstRow="0" w:lastRow="0" w:firstColumn="1" w:lastColumn="0" w:oddVBand="0" w:evenVBand="0" w:oddHBand="0" w:evenHBand="0" w:firstRowFirstColumn="0" w:firstRowLastColumn="0" w:lastRowFirstColumn="0" w:lastRowLastColumn="0"/>
            <w:tcW w:w="188" w:type="pct"/>
          </w:tcPr>
          <w:p w14:paraId="4C50F842" w14:textId="77777777" w:rsidR="00B72DCD" w:rsidRDefault="00B72DCD" w:rsidP="009D44E3">
            <w:pPr>
              <w:rPr>
                <w:iCs/>
                <w:spacing w:val="-1"/>
                <w:w w:val="105"/>
              </w:rPr>
            </w:pPr>
            <w:r>
              <w:rPr>
                <w:iCs/>
                <w:spacing w:val="-1"/>
                <w:w w:val="105"/>
              </w:rPr>
              <w:t>16</w:t>
            </w:r>
          </w:p>
        </w:tc>
        <w:tc>
          <w:tcPr>
            <w:tcW w:w="1581" w:type="pct"/>
          </w:tcPr>
          <w:p w14:paraId="5950D524" w14:textId="77777777" w:rsidR="00B72DCD" w:rsidRPr="00241895"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241895">
              <w:rPr>
                <w:iCs/>
                <w:spacing w:val="-1"/>
                <w:w w:val="105"/>
              </w:rPr>
              <w:t xml:space="preserve">Katarina Ma’u </w:t>
            </w:r>
          </w:p>
        </w:tc>
        <w:tc>
          <w:tcPr>
            <w:tcW w:w="2480" w:type="pct"/>
          </w:tcPr>
          <w:p w14:paraId="0D0DA5C4" w14:textId="77777777" w:rsidR="00B72DCD" w:rsidRPr="00241895"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241895">
              <w:rPr>
                <w:iCs/>
                <w:spacing w:val="-1"/>
                <w:w w:val="105"/>
              </w:rPr>
              <w:t>Secretariat of the Pacific Community</w:t>
            </w:r>
          </w:p>
        </w:tc>
        <w:tc>
          <w:tcPr>
            <w:tcW w:w="751" w:type="pct"/>
          </w:tcPr>
          <w:p w14:paraId="5F9D01F4" w14:textId="77777777" w:rsidR="00B72DCD" w:rsidRPr="00852AA5" w:rsidRDefault="00B72DCD" w:rsidP="009D44E3">
            <w:pPr>
              <w:jc w:val="center"/>
              <w:cnfStyle w:val="000000000000" w:firstRow="0" w:lastRow="0" w:firstColumn="0" w:lastColumn="0" w:oddVBand="0" w:evenVBand="0" w:oddHBand="0" w:evenHBand="0" w:firstRowFirstColumn="0" w:firstRowLastColumn="0" w:lastRowFirstColumn="0" w:lastRowLastColumn="0"/>
              <w:rPr>
                <w:iCs/>
                <w:spacing w:val="-1"/>
                <w:w w:val="105"/>
              </w:rPr>
            </w:pPr>
            <w:r w:rsidRPr="00852AA5">
              <w:rPr>
                <w:iCs/>
                <w:spacing w:val="-1"/>
                <w:w w:val="105"/>
              </w:rPr>
              <w:t>Y</w:t>
            </w:r>
          </w:p>
        </w:tc>
      </w:tr>
      <w:tr w:rsidR="00B72DCD" w14:paraId="17AE80B0" w14:textId="77777777" w:rsidTr="009D4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 w:type="pct"/>
          </w:tcPr>
          <w:p w14:paraId="10526302" w14:textId="77777777" w:rsidR="00B72DCD" w:rsidRPr="00852AA5" w:rsidRDefault="00B72DCD" w:rsidP="009D44E3">
            <w:pPr>
              <w:rPr>
                <w:iCs/>
                <w:color w:val="000000" w:themeColor="text1"/>
                <w:spacing w:val="-1"/>
                <w:w w:val="105"/>
              </w:rPr>
            </w:pPr>
            <w:r w:rsidRPr="00852AA5">
              <w:rPr>
                <w:iCs/>
                <w:color w:val="000000" w:themeColor="text1"/>
                <w:spacing w:val="-1"/>
                <w:w w:val="105"/>
              </w:rPr>
              <w:t>17</w:t>
            </w:r>
          </w:p>
        </w:tc>
        <w:tc>
          <w:tcPr>
            <w:tcW w:w="1581" w:type="pct"/>
          </w:tcPr>
          <w:p w14:paraId="43AD0956" w14:textId="77777777" w:rsidR="00B72DCD" w:rsidRPr="00852AA5" w:rsidRDefault="00B72DCD" w:rsidP="009D44E3">
            <w:pPr>
              <w:cnfStyle w:val="000000100000" w:firstRow="0" w:lastRow="0" w:firstColumn="0" w:lastColumn="0" w:oddVBand="0" w:evenVBand="0" w:oddHBand="1" w:evenHBand="0" w:firstRowFirstColumn="0" w:firstRowLastColumn="0" w:lastRowFirstColumn="0" w:lastRowLastColumn="0"/>
              <w:rPr>
                <w:iCs/>
                <w:color w:val="000000" w:themeColor="text1"/>
                <w:spacing w:val="-1"/>
                <w:w w:val="105"/>
              </w:rPr>
            </w:pPr>
            <w:r w:rsidRPr="00852AA5">
              <w:rPr>
                <w:iCs/>
                <w:color w:val="000000" w:themeColor="text1"/>
                <w:spacing w:val="-1"/>
                <w:w w:val="105"/>
              </w:rPr>
              <w:t>Neomai Maravuakula</w:t>
            </w:r>
          </w:p>
        </w:tc>
        <w:tc>
          <w:tcPr>
            <w:tcW w:w="2480" w:type="pct"/>
          </w:tcPr>
          <w:p w14:paraId="604BF844" w14:textId="77777777" w:rsidR="00B72DCD" w:rsidRPr="00852AA5" w:rsidRDefault="00B72DCD" w:rsidP="009D44E3">
            <w:pPr>
              <w:cnfStyle w:val="000000100000" w:firstRow="0" w:lastRow="0" w:firstColumn="0" w:lastColumn="0" w:oddVBand="0" w:evenVBand="0" w:oddHBand="1" w:evenHBand="0" w:firstRowFirstColumn="0" w:firstRowLastColumn="0" w:lastRowFirstColumn="0" w:lastRowLastColumn="0"/>
              <w:rPr>
                <w:iCs/>
                <w:color w:val="000000" w:themeColor="text1"/>
                <w:spacing w:val="-1"/>
                <w:w w:val="105"/>
              </w:rPr>
            </w:pPr>
            <w:r w:rsidRPr="00852AA5">
              <w:rPr>
                <w:iCs/>
                <w:color w:val="000000" w:themeColor="text1"/>
                <w:spacing w:val="-1"/>
                <w:w w:val="105"/>
              </w:rPr>
              <w:t>Secretariat of the Pacific Community</w:t>
            </w:r>
          </w:p>
        </w:tc>
        <w:tc>
          <w:tcPr>
            <w:tcW w:w="751" w:type="pct"/>
          </w:tcPr>
          <w:p w14:paraId="5D80223E" w14:textId="77777777" w:rsidR="00B72DCD" w:rsidRPr="00852AA5" w:rsidRDefault="00B72DCD" w:rsidP="009D44E3">
            <w:pPr>
              <w:jc w:val="center"/>
              <w:cnfStyle w:val="000000100000" w:firstRow="0" w:lastRow="0" w:firstColumn="0" w:lastColumn="0" w:oddVBand="0" w:evenVBand="0" w:oddHBand="1" w:evenHBand="0" w:firstRowFirstColumn="0" w:firstRowLastColumn="0" w:lastRowFirstColumn="0" w:lastRowLastColumn="0"/>
              <w:rPr>
                <w:iCs/>
                <w:color w:val="000000" w:themeColor="text1"/>
                <w:spacing w:val="-1"/>
                <w:w w:val="105"/>
              </w:rPr>
            </w:pPr>
            <w:r w:rsidRPr="00852AA5">
              <w:rPr>
                <w:iCs/>
                <w:color w:val="000000" w:themeColor="text1"/>
                <w:spacing w:val="-1"/>
                <w:w w:val="105"/>
              </w:rPr>
              <w:t>Y</w:t>
            </w:r>
          </w:p>
        </w:tc>
      </w:tr>
      <w:tr w:rsidR="00B72DCD" w14:paraId="334B5734" w14:textId="77777777" w:rsidTr="009D44E3">
        <w:tc>
          <w:tcPr>
            <w:cnfStyle w:val="001000000000" w:firstRow="0" w:lastRow="0" w:firstColumn="1" w:lastColumn="0" w:oddVBand="0" w:evenVBand="0" w:oddHBand="0" w:evenHBand="0" w:firstRowFirstColumn="0" w:firstRowLastColumn="0" w:lastRowFirstColumn="0" w:lastRowLastColumn="0"/>
            <w:tcW w:w="188" w:type="pct"/>
          </w:tcPr>
          <w:p w14:paraId="1C8BA373" w14:textId="77777777" w:rsidR="00B72DCD" w:rsidRDefault="00B72DCD" w:rsidP="009D44E3">
            <w:pPr>
              <w:rPr>
                <w:iCs/>
                <w:spacing w:val="-1"/>
                <w:w w:val="105"/>
              </w:rPr>
            </w:pPr>
            <w:r>
              <w:rPr>
                <w:iCs/>
                <w:spacing w:val="-1"/>
                <w:w w:val="105"/>
              </w:rPr>
              <w:t>18</w:t>
            </w:r>
          </w:p>
        </w:tc>
        <w:tc>
          <w:tcPr>
            <w:tcW w:w="1581" w:type="pct"/>
          </w:tcPr>
          <w:p w14:paraId="340A3F81" w14:textId="77777777" w:rsidR="00B72DCD" w:rsidRPr="00241895"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241895">
              <w:rPr>
                <w:iCs/>
                <w:spacing w:val="-1"/>
                <w:w w:val="105"/>
              </w:rPr>
              <w:t>Bibhya Sharma</w:t>
            </w:r>
          </w:p>
        </w:tc>
        <w:tc>
          <w:tcPr>
            <w:tcW w:w="2480" w:type="pct"/>
          </w:tcPr>
          <w:p w14:paraId="083311B5" w14:textId="77777777" w:rsidR="00B72DCD" w:rsidRPr="00241895"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241895">
              <w:rPr>
                <w:iCs/>
                <w:spacing w:val="-1"/>
                <w:w w:val="105"/>
              </w:rPr>
              <w:t xml:space="preserve">University of the South Pacific </w:t>
            </w:r>
          </w:p>
        </w:tc>
        <w:tc>
          <w:tcPr>
            <w:tcW w:w="751" w:type="pct"/>
          </w:tcPr>
          <w:p w14:paraId="2A3AF810" w14:textId="77777777" w:rsidR="00B72DCD" w:rsidRPr="00852AA5" w:rsidRDefault="00B72DCD" w:rsidP="009D44E3">
            <w:pPr>
              <w:jc w:val="center"/>
              <w:cnfStyle w:val="000000000000" w:firstRow="0" w:lastRow="0" w:firstColumn="0" w:lastColumn="0" w:oddVBand="0" w:evenVBand="0" w:oddHBand="0" w:evenHBand="0" w:firstRowFirstColumn="0" w:firstRowLastColumn="0" w:lastRowFirstColumn="0" w:lastRowLastColumn="0"/>
              <w:rPr>
                <w:iCs/>
                <w:spacing w:val="-1"/>
                <w:w w:val="105"/>
              </w:rPr>
            </w:pPr>
          </w:p>
        </w:tc>
      </w:tr>
      <w:tr w:rsidR="00B72DCD" w14:paraId="64DD970F" w14:textId="77777777" w:rsidTr="009D4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 w:type="pct"/>
          </w:tcPr>
          <w:p w14:paraId="6C5D341D" w14:textId="77777777" w:rsidR="00B72DCD" w:rsidRDefault="00B72DCD" w:rsidP="009D44E3">
            <w:pPr>
              <w:rPr>
                <w:iCs/>
                <w:spacing w:val="-1"/>
                <w:w w:val="105"/>
              </w:rPr>
            </w:pPr>
            <w:r>
              <w:rPr>
                <w:iCs/>
                <w:spacing w:val="-1"/>
                <w:w w:val="105"/>
              </w:rPr>
              <w:t>19</w:t>
            </w:r>
          </w:p>
        </w:tc>
        <w:tc>
          <w:tcPr>
            <w:tcW w:w="1581" w:type="pct"/>
          </w:tcPr>
          <w:p w14:paraId="4EA52EA6" w14:textId="77777777" w:rsidR="00B72DCD" w:rsidRPr="00241895"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241895">
              <w:rPr>
                <w:iCs/>
                <w:spacing w:val="-1"/>
                <w:w w:val="105"/>
              </w:rPr>
              <w:t>Sandra Tarte</w:t>
            </w:r>
          </w:p>
        </w:tc>
        <w:tc>
          <w:tcPr>
            <w:tcW w:w="2480" w:type="pct"/>
          </w:tcPr>
          <w:p w14:paraId="31FB88B9" w14:textId="77777777" w:rsidR="00B72DCD" w:rsidRPr="00241895"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241895">
              <w:rPr>
                <w:iCs/>
                <w:spacing w:val="-1"/>
                <w:w w:val="105"/>
              </w:rPr>
              <w:t xml:space="preserve">University of the South Pacific </w:t>
            </w:r>
          </w:p>
        </w:tc>
        <w:tc>
          <w:tcPr>
            <w:tcW w:w="751" w:type="pct"/>
          </w:tcPr>
          <w:p w14:paraId="19B8E2B2" w14:textId="77777777" w:rsidR="00B72DCD" w:rsidRPr="00852AA5" w:rsidRDefault="00B72DCD" w:rsidP="009D44E3">
            <w:pPr>
              <w:jc w:val="center"/>
              <w:cnfStyle w:val="000000100000" w:firstRow="0" w:lastRow="0" w:firstColumn="0" w:lastColumn="0" w:oddVBand="0" w:evenVBand="0" w:oddHBand="1" w:evenHBand="0" w:firstRowFirstColumn="0" w:firstRowLastColumn="0" w:lastRowFirstColumn="0" w:lastRowLastColumn="0"/>
              <w:rPr>
                <w:iCs/>
                <w:spacing w:val="-1"/>
                <w:w w:val="105"/>
              </w:rPr>
            </w:pPr>
          </w:p>
        </w:tc>
      </w:tr>
      <w:tr w:rsidR="00B72DCD" w14:paraId="36C15A38" w14:textId="77777777" w:rsidTr="009D44E3">
        <w:tc>
          <w:tcPr>
            <w:cnfStyle w:val="001000000000" w:firstRow="0" w:lastRow="0" w:firstColumn="1" w:lastColumn="0" w:oddVBand="0" w:evenVBand="0" w:oddHBand="0" w:evenHBand="0" w:firstRowFirstColumn="0" w:firstRowLastColumn="0" w:lastRowFirstColumn="0" w:lastRowLastColumn="0"/>
            <w:tcW w:w="188" w:type="pct"/>
          </w:tcPr>
          <w:p w14:paraId="23F916D5" w14:textId="77777777" w:rsidR="00B72DCD" w:rsidRDefault="00B72DCD" w:rsidP="009D44E3">
            <w:pPr>
              <w:rPr>
                <w:iCs/>
                <w:spacing w:val="-1"/>
                <w:w w:val="105"/>
              </w:rPr>
            </w:pPr>
            <w:r>
              <w:rPr>
                <w:iCs/>
                <w:spacing w:val="-1"/>
                <w:w w:val="105"/>
              </w:rPr>
              <w:t>20</w:t>
            </w:r>
          </w:p>
        </w:tc>
        <w:tc>
          <w:tcPr>
            <w:tcW w:w="1581" w:type="pct"/>
          </w:tcPr>
          <w:p w14:paraId="25EDB0F0" w14:textId="77777777" w:rsidR="00B72DCD" w:rsidRPr="00241895"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241895">
              <w:rPr>
                <w:iCs/>
                <w:spacing w:val="-1"/>
                <w:w w:val="105"/>
              </w:rPr>
              <w:t>Frances Cresantia Koya-Vaka’uta</w:t>
            </w:r>
          </w:p>
        </w:tc>
        <w:tc>
          <w:tcPr>
            <w:tcW w:w="2480" w:type="pct"/>
          </w:tcPr>
          <w:p w14:paraId="2AA9AC93" w14:textId="77777777" w:rsidR="00B72DCD" w:rsidRPr="00241895"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241895">
              <w:rPr>
                <w:iCs/>
                <w:spacing w:val="-1"/>
                <w:w w:val="105"/>
              </w:rPr>
              <w:t xml:space="preserve">University of the South Pacific </w:t>
            </w:r>
          </w:p>
        </w:tc>
        <w:tc>
          <w:tcPr>
            <w:tcW w:w="751" w:type="pct"/>
          </w:tcPr>
          <w:p w14:paraId="4A4E3E85" w14:textId="77777777" w:rsidR="00B72DCD" w:rsidRPr="00852AA5" w:rsidRDefault="00B72DCD" w:rsidP="009D44E3">
            <w:pPr>
              <w:jc w:val="center"/>
              <w:cnfStyle w:val="000000000000" w:firstRow="0" w:lastRow="0" w:firstColumn="0" w:lastColumn="0" w:oddVBand="0" w:evenVBand="0" w:oddHBand="0" w:evenHBand="0" w:firstRowFirstColumn="0" w:firstRowLastColumn="0" w:lastRowFirstColumn="0" w:lastRowLastColumn="0"/>
              <w:rPr>
                <w:iCs/>
                <w:spacing w:val="-1"/>
                <w:w w:val="105"/>
              </w:rPr>
            </w:pPr>
          </w:p>
        </w:tc>
      </w:tr>
      <w:tr w:rsidR="00B72DCD" w14:paraId="5339A3D8" w14:textId="77777777" w:rsidTr="009D4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 w:type="pct"/>
          </w:tcPr>
          <w:p w14:paraId="32AEF162" w14:textId="77777777" w:rsidR="00B72DCD" w:rsidRDefault="00B72DCD" w:rsidP="009D44E3">
            <w:pPr>
              <w:rPr>
                <w:iCs/>
                <w:spacing w:val="-1"/>
                <w:w w:val="105"/>
              </w:rPr>
            </w:pPr>
            <w:r>
              <w:rPr>
                <w:iCs/>
                <w:spacing w:val="-1"/>
                <w:w w:val="105"/>
              </w:rPr>
              <w:t>21</w:t>
            </w:r>
          </w:p>
        </w:tc>
        <w:tc>
          <w:tcPr>
            <w:tcW w:w="1581" w:type="pct"/>
          </w:tcPr>
          <w:p w14:paraId="7C6F0AAC" w14:textId="77777777" w:rsidR="00B72DCD" w:rsidRPr="00241895"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241895">
              <w:rPr>
                <w:iCs/>
                <w:spacing w:val="-1"/>
                <w:w w:val="105"/>
              </w:rPr>
              <w:t>Kisione Wesley Finau</w:t>
            </w:r>
          </w:p>
        </w:tc>
        <w:tc>
          <w:tcPr>
            <w:tcW w:w="2480" w:type="pct"/>
          </w:tcPr>
          <w:p w14:paraId="4AF97307" w14:textId="77777777" w:rsidR="00B72DCD" w:rsidRPr="00241895"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241895">
              <w:rPr>
                <w:iCs/>
                <w:spacing w:val="-1"/>
                <w:w w:val="105"/>
              </w:rPr>
              <w:t xml:space="preserve">University of the South Pacific </w:t>
            </w:r>
          </w:p>
        </w:tc>
        <w:tc>
          <w:tcPr>
            <w:tcW w:w="751" w:type="pct"/>
          </w:tcPr>
          <w:p w14:paraId="5EBEA7D6" w14:textId="77777777" w:rsidR="00B72DCD" w:rsidRPr="00852AA5" w:rsidRDefault="00B72DCD" w:rsidP="009D44E3">
            <w:pPr>
              <w:jc w:val="center"/>
              <w:cnfStyle w:val="000000100000" w:firstRow="0" w:lastRow="0" w:firstColumn="0" w:lastColumn="0" w:oddVBand="0" w:evenVBand="0" w:oddHBand="1" w:evenHBand="0" w:firstRowFirstColumn="0" w:firstRowLastColumn="0" w:lastRowFirstColumn="0" w:lastRowLastColumn="0"/>
              <w:rPr>
                <w:iCs/>
                <w:spacing w:val="-1"/>
                <w:w w:val="105"/>
              </w:rPr>
            </w:pPr>
          </w:p>
        </w:tc>
      </w:tr>
      <w:tr w:rsidR="00B72DCD" w14:paraId="713C0B62" w14:textId="77777777" w:rsidTr="009D44E3">
        <w:tc>
          <w:tcPr>
            <w:cnfStyle w:val="001000000000" w:firstRow="0" w:lastRow="0" w:firstColumn="1" w:lastColumn="0" w:oddVBand="0" w:evenVBand="0" w:oddHBand="0" w:evenHBand="0" w:firstRowFirstColumn="0" w:firstRowLastColumn="0" w:lastRowFirstColumn="0" w:lastRowLastColumn="0"/>
            <w:tcW w:w="188" w:type="pct"/>
          </w:tcPr>
          <w:p w14:paraId="654F6CE8" w14:textId="77777777" w:rsidR="00B72DCD" w:rsidRDefault="00B72DCD" w:rsidP="009D44E3">
            <w:pPr>
              <w:rPr>
                <w:iCs/>
                <w:spacing w:val="-1"/>
                <w:w w:val="105"/>
              </w:rPr>
            </w:pPr>
            <w:r>
              <w:rPr>
                <w:iCs/>
                <w:spacing w:val="-1"/>
                <w:w w:val="105"/>
              </w:rPr>
              <w:t>22</w:t>
            </w:r>
          </w:p>
        </w:tc>
        <w:tc>
          <w:tcPr>
            <w:tcW w:w="1581" w:type="pct"/>
          </w:tcPr>
          <w:p w14:paraId="3311FF83" w14:textId="77777777" w:rsidR="00B72DCD" w:rsidRPr="00241895"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241895">
              <w:rPr>
                <w:iCs/>
                <w:spacing w:val="-1"/>
                <w:w w:val="105"/>
              </w:rPr>
              <w:t>Easter Galuvao</w:t>
            </w:r>
          </w:p>
        </w:tc>
        <w:tc>
          <w:tcPr>
            <w:tcW w:w="2480" w:type="pct"/>
          </w:tcPr>
          <w:p w14:paraId="54840866" w14:textId="77777777" w:rsidR="00B72DCD" w:rsidRPr="00241895"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241895">
              <w:rPr>
                <w:iCs/>
                <w:spacing w:val="-1"/>
                <w:w w:val="105"/>
              </w:rPr>
              <w:t>Secretariat of the Pacific Regional Environment Programme</w:t>
            </w:r>
          </w:p>
        </w:tc>
        <w:tc>
          <w:tcPr>
            <w:tcW w:w="751" w:type="pct"/>
          </w:tcPr>
          <w:p w14:paraId="684319A7" w14:textId="77777777" w:rsidR="00B72DCD" w:rsidRPr="00852AA5" w:rsidRDefault="00B72DCD" w:rsidP="009D44E3">
            <w:pPr>
              <w:jc w:val="center"/>
              <w:cnfStyle w:val="000000000000" w:firstRow="0" w:lastRow="0" w:firstColumn="0" w:lastColumn="0" w:oddVBand="0" w:evenVBand="0" w:oddHBand="0" w:evenHBand="0" w:firstRowFirstColumn="0" w:firstRowLastColumn="0" w:lastRowFirstColumn="0" w:lastRowLastColumn="0"/>
              <w:rPr>
                <w:iCs/>
                <w:spacing w:val="-1"/>
                <w:w w:val="105"/>
              </w:rPr>
            </w:pPr>
          </w:p>
        </w:tc>
      </w:tr>
      <w:tr w:rsidR="00B72DCD" w14:paraId="35C2B2F2" w14:textId="77777777" w:rsidTr="009D4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 w:type="pct"/>
          </w:tcPr>
          <w:p w14:paraId="278DA823" w14:textId="77777777" w:rsidR="00B72DCD" w:rsidRDefault="00B72DCD" w:rsidP="009D44E3">
            <w:pPr>
              <w:rPr>
                <w:iCs/>
                <w:spacing w:val="-1"/>
                <w:w w:val="105"/>
              </w:rPr>
            </w:pPr>
            <w:r>
              <w:rPr>
                <w:iCs/>
                <w:spacing w:val="-1"/>
                <w:w w:val="105"/>
              </w:rPr>
              <w:t>23</w:t>
            </w:r>
          </w:p>
        </w:tc>
        <w:tc>
          <w:tcPr>
            <w:tcW w:w="1581" w:type="pct"/>
          </w:tcPr>
          <w:p w14:paraId="0078122C" w14:textId="77777777" w:rsidR="00B72DCD" w:rsidRPr="00241895"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241895">
              <w:rPr>
                <w:iCs/>
                <w:spacing w:val="-1"/>
                <w:w w:val="105"/>
              </w:rPr>
              <w:t>Anthony Talouli</w:t>
            </w:r>
          </w:p>
        </w:tc>
        <w:tc>
          <w:tcPr>
            <w:tcW w:w="2480" w:type="pct"/>
          </w:tcPr>
          <w:p w14:paraId="195DD217" w14:textId="77777777" w:rsidR="00B72DCD" w:rsidRPr="00241895"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241895">
              <w:rPr>
                <w:iCs/>
                <w:spacing w:val="-1"/>
                <w:w w:val="105"/>
              </w:rPr>
              <w:t>Secretariat of the Pacific Regional Environment Programme</w:t>
            </w:r>
          </w:p>
        </w:tc>
        <w:tc>
          <w:tcPr>
            <w:tcW w:w="751" w:type="pct"/>
          </w:tcPr>
          <w:p w14:paraId="3F51875C" w14:textId="77777777" w:rsidR="00B72DCD" w:rsidRPr="00852AA5" w:rsidRDefault="00B72DCD" w:rsidP="009D44E3">
            <w:pPr>
              <w:jc w:val="center"/>
              <w:cnfStyle w:val="000000100000" w:firstRow="0" w:lastRow="0" w:firstColumn="0" w:lastColumn="0" w:oddVBand="0" w:evenVBand="0" w:oddHBand="1" w:evenHBand="0" w:firstRowFirstColumn="0" w:firstRowLastColumn="0" w:lastRowFirstColumn="0" w:lastRowLastColumn="0"/>
              <w:rPr>
                <w:iCs/>
                <w:spacing w:val="-1"/>
                <w:w w:val="105"/>
              </w:rPr>
            </w:pPr>
            <w:r w:rsidRPr="00852AA5">
              <w:rPr>
                <w:iCs/>
                <w:spacing w:val="-1"/>
                <w:w w:val="105"/>
              </w:rPr>
              <w:t>Y</w:t>
            </w:r>
          </w:p>
        </w:tc>
      </w:tr>
      <w:tr w:rsidR="00B72DCD" w14:paraId="38C16700" w14:textId="77777777" w:rsidTr="009D44E3">
        <w:tc>
          <w:tcPr>
            <w:cnfStyle w:val="001000000000" w:firstRow="0" w:lastRow="0" w:firstColumn="1" w:lastColumn="0" w:oddVBand="0" w:evenVBand="0" w:oddHBand="0" w:evenHBand="0" w:firstRowFirstColumn="0" w:firstRowLastColumn="0" w:lastRowFirstColumn="0" w:lastRowLastColumn="0"/>
            <w:tcW w:w="188" w:type="pct"/>
          </w:tcPr>
          <w:p w14:paraId="0957B9E5" w14:textId="77777777" w:rsidR="00B72DCD" w:rsidRDefault="00B72DCD" w:rsidP="009D44E3">
            <w:pPr>
              <w:rPr>
                <w:iCs/>
                <w:spacing w:val="-1"/>
                <w:w w:val="105"/>
              </w:rPr>
            </w:pPr>
            <w:r>
              <w:rPr>
                <w:iCs/>
                <w:spacing w:val="-1"/>
                <w:w w:val="105"/>
              </w:rPr>
              <w:t>24</w:t>
            </w:r>
          </w:p>
        </w:tc>
        <w:tc>
          <w:tcPr>
            <w:tcW w:w="1581" w:type="pct"/>
          </w:tcPr>
          <w:p w14:paraId="058340B7" w14:textId="77777777" w:rsidR="00B72DCD" w:rsidRPr="00241895"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241895">
              <w:rPr>
                <w:iCs/>
                <w:spacing w:val="-1"/>
                <w:w w:val="105"/>
              </w:rPr>
              <w:t>Tagaloa Cooper</w:t>
            </w:r>
          </w:p>
        </w:tc>
        <w:tc>
          <w:tcPr>
            <w:tcW w:w="2480" w:type="pct"/>
          </w:tcPr>
          <w:p w14:paraId="17565AA4" w14:textId="77777777" w:rsidR="00B72DCD" w:rsidRPr="00241895"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241895">
              <w:rPr>
                <w:iCs/>
                <w:spacing w:val="-1"/>
                <w:w w:val="105"/>
              </w:rPr>
              <w:t>Secretariat of the Pacific Regional Environment Programme</w:t>
            </w:r>
          </w:p>
        </w:tc>
        <w:tc>
          <w:tcPr>
            <w:tcW w:w="751" w:type="pct"/>
          </w:tcPr>
          <w:p w14:paraId="66DFF4DB" w14:textId="77777777" w:rsidR="00B72DCD" w:rsidRPr="00852AA5" w:rsidRDefault="00B72DCD" w:rsidP="009D44E3">
            <w:pPr>
              <w:jc w:val="center"/>
              <w:cnfStyle w:val="000000000000" w:firstRow="0" w:lastRow="0" w:firstColumn="0" w:lastColumn="0" w:oddVBand="0" w:evenVBand="0" w:oddHBand="0" w:evenHBand="0" w:firstRowFirstColumn="0" w:firstRowLastColumn="0" w:lastRowFirstColumn="0" w:lastRowLastColumn="0"/>
              <w:rPr>
                <w:iCs/>
                <w:spacing w:val="-1"/>
                <w:w w:val="105"/>
              </w:rPr>
            </w:pPr>
          </w:p>
        </w:tc>
      </w:tr>
      <w:tr w:rsidR="00B72DCD" w14:paraId="51C9B1F6" w14:textId="77777777" w:rsidTr="009D4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 w:type="pct"/>
          </w:tcPr>
          <w:p w14:paraId="6E9944FD" w14:textId="77777777" w:rsidR="00B72DCD" w:rsidRDefault="00B72DCD" w:rsidP="009D44E3">
            <w:pPr>
              <w:rPr>
                <w:iCs/>
                <w:spacing w:val="-1"/>
                <w:w w:val="105"/>
              </w:rPr>
            </w:pPr>
            <w:r>
              <w:rPr>
                <w:iCs/>
                <w:spacing w:val="-1"/>
                <w:w w:val="105"/>
              </w:rPr>
              <w:t>25</w:t>
            </w:r>
          </w:p>
        </w:tc>
        <w:tc>
          <w:tcPr>
            <w:tcW w:w="1581" w:type="pct"/>
          </w:tcPr>
          <w:p w14:paraId="08F87D86" w14:textId="77777777" w:rsidR="00B72DCD" w:rsidRPr="00241895"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241895">
              <w:rPr>
                <w:iCs/>
                <w:spacing w:val="-1"/>
                <w:w w:val="105"/>
              </w:rPr>
              <w:t>Audrey Brown-Pereira</w:t>
            </w:r>
          </w:p>
        </w:tc>
        <w:tc>
          <w:tcPr>
            <w:tcW w:w="2480" w:type="pct"/>
          </w:tcPr>
          <w:p w14:paraId="3FF42877" w14:textId="77777777" w:rsidR="00B72DCD" w:rsidRPr="00241895"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241895">
              <w:rPr>
                <w:iCs/>
                <w:spacing w:val="-1"/>
                <w:w w:val="105"/>
              </w:rPr>
              <w:t>Secretariat of the Pacific Regional Environment Programme</w:t>
            </w:r>
          </w:p>
        </w:tc>
        <w:tc>
          <w:tcPr>
            <w:tcW w:w="751" w:type="pct"/>
          </w:tcPr>
          <w:p w14:paraId="14C12C35" w14:textId="77777777" w:rsidR="00B72DCD" w:rsidRPr="00852AA5" w:rsidRDefault="00B72DCD" w:rsidP="009D44E3">
            <w:pPr>
              <w:jc w:val="center"/>
              <w:cnfStyle w:val="000000100000" w:firstRow="0" w:lastRow="0" w:firstColumn="0" w:lastColumn="0" w:oddVBand="0" w:evenVBand="0" w:oddHBand="1" w:evenHBand="0" w:firstRowFirstColumn="0" w:firstRowLastColumn="0" w:lastRowFirstColumn="0" w:lastRowLastColumn="0"/>
              <w:rPr>
                <w:iCs/>
                <w:spacing w:val="-1"/>
                <w:w w:val="105"/>
              </w:rPr>
            </w:pPr>
            <w:r w:rsidRPr="00852AA5">
              <w:rPr>
                <w:iCs/>
                <w:spacing w:val="-1"/>
                <w:w w:val="105"/>
              </w:rPr>
              <w:t>Y</w:t>
            </w:r>
          </w:p>
        </w:tc>
      </w:tr>
      <w:tr w:rsidR="00B72DCD" w14:paraId="6D09329B" w14:textId="77777777" w:rsidTr="009D44E3">
        <w:tc>
          <w:tcPr>
            <w:cnfStyle w:val="001000000000" w:firstRow="0" w:lastRow="0" w:firstColumn="1" w:lastColumn="0" w:oddVBand="0" w:evenVBand="0" w:oddHBand="0" w:evenHBand="0" w:firstRowFirstColumn="0" w:firstRowLastColumn="0" w:lastRowFirstColumn="0" w:lastRowLastColumn="0"/>
            <w:tcW w:w="188" w:type="pct"/>
          </w:tcPr>
          <w:p w14:paraId="41BD19DC" w14:textId="77777777" w:rsidR="00B72DCD" w:rsidRDefault="00B72DCD" w:rsidP="009D44E3">
            <w:pPr>
              <w:rPr>
                <w:iCs/>
                <w:spacing w:val="-1"/>
                <w:w w:val="105"/>
              </w:rPr>
            </w:pPr>
            <w:r>
              <w:rPr>
                <w:iCs/>
                <w:spacing w:val="-1"/>
                <w:w w:val="105"/>
              </w:rPr>
              <w:t>26</w:t>
            </w:r>
          </w:p>
        </w:tc>
        <w:tc>
          <w:tcPr>
            <w:tcW w:w="1581" w:type="pct"/>
          </w:tcPr>
          <w:p w14:paraId="0E95F18E" w14:textId="77777777" w:rsidR="00B72DCD" w:rsidRPr="00241895"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241895">
              <w:rPr>
                <w:iCs/>
                <w:spacing w:val="-1"/>
                <w:w w:val="105"/>
              </w:rPr>
              <w:t>Tevita Tupou</w:t>
            </w:r>
          </w:p>
        </w:tc>
        <w:tc>
          <w:tcPr>
            <w:tcW w:w="2480" w:type="pct"/>
          </w:tcPr>
          <w:p w14:paraId="296085E4" w14:textId="77777777" w:rsidR="00B72DCD" w:rsidRPr="00241895"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241895">
              <w:rPr>
                <w:iCs/>
                <w:spacing w:val="-1"/>
                <w:w w:val="105"/>
              </w:rPr>
              <w:t>Pacific Islands Forum Fisheries Agency</w:t>
            </w:r>
          </w:p>
        </w:tc>
        <w:tc>
          <w:tcPr>
            <w:tcW w:w="751" w:type="pct"/>
          </w:tcPr>
          <w:p w14:paraId="76FD433B" w14:textId="77777777" w:rsidR="00B72DCD" w:rsidRPr="00852AA5" w:rsidRDefault="00B72DCD" w:rsidP="009D44E3">
            <w:pPr>
              <w:jc w:val="center"/>
              <w:cnfStyle w:val="000000000000" w:firstRow="0" w:lastRow="0" w:firstColumn="0" w:lastColumn="0" w:oddVBand="0" w:evenVBand="0" w:oddHBand="0" w:evenHBand="0" w:firstRowFirstColumn="0" w:firstRowLastColumn="0" w:lastRowFirstColumn="0" w:lastRowLastColumn="0"/>
              <w:rPr>
                <w:iCs/>
                <w:spacing w:val="-1"/>
                <w:w w:val="105"/>
              </w:rPr>
            </w:pPr>
          </w:p>
        </w:tc>
      </w:tr>
      <w:tr w:rsidR="00B72DCD" w14:paraId="235E0027" w14:textId="77777777" w:rsidTr="009D4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 w:type="pct"/>
          </w:tcPr>
          <w:p w14:paraId="14E74E09" w14:textId="77777777" w:rsidR="00B72DCD" w:rsidRDefault="00B72DCD" w:rsidP="009D44E3">
            <w:pPr>
              <w:rPr>
                <w:iCs/>
                <w:spacing w:val="-1"/>
                <w:w w:val="105"/>
              </w:rPr>
            </w:pPr>
            <w:r>
              <w:rPr>
                <w:iCs/>
                <w:spacing w:val="-1"/>
                <w:w w:val="105"/>
              </w:rPr>
              <w:t>27</w:t>
            </w:r>
          </w:p>
        </w:tc>
        <w:tc>
          <w:tcPr>
            <w:tcW w:w="1581" w:type="pct"/>
          </w:tcPr>
          <w:p w14:paraId="08A96E23" w14:textId="77777777" w:rsidR="00B72DCD" w:rsidRPr="00241895"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241895">
              <w:rPr>
                <w:iCs/>
                <w:spacing w:val="-1"/>
                <w:w w:val="105"/>
              </w:rPr>
              <w:t>Penny Matautia</w:t>
            </w:r>
          </w:p>
        </w:tc>
        <w:tc>
          <w:tcPr>
            <w:tcW w:w="2480" w:type="pct"/>
          </w:tcPr>
          <w:p w14:paraId="66F2F766" w14:textId="77777777" w:rsidR="00B72DCD" w:rsidRPr="00241895"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241895">
              <w:rPr>
                <w:iCs/>
                <w:spacing w:val="-1"/>
                <w:w w:val="105"/>
              </w:rPr>
              <w:t>Pacific Islands Forum Fisheries Agency</w:t>
            </w:r>
          </w:p>
        </w:tc>
        <w:tc>
          <w:tcPr>
            <w:tcW w:w="751" w:type="pct"/>
          </w:tcPr>
          <w:p w14:paraId="1209F739" w14:textId="77777777" w:rsidR="00B72DCD" w:rsidRPr="00852AA5" w:rsidRDefault="00B72DCD" w:rsidP="009D44E3">
            <w:pPr>
              <w:jc w:val="center"/>
              <w:cnfStyle w:val="000000100000" w:firstRow="0" w:lastRow="0" w:firstColumn="0" w:lastColumn="0" w:oddVBand="0" w:evenVBand="0" w:oddHBand="1" w:evenHBand="0" w:firstRowFirstColumn="0" w:firstRowLastColumn="0" w:lastRowFirstColumn="0" w:lastRowLastColumn="0"/>
              <w:rPr>
                <w:iCs/>
                <w:spacing w:val="-1"/>
                <w:w w:val="105"/>
              </w:rPr>
            </w:pPr>
          </w:p>
        </w:tc>
      </w:tr>
      <w:tr w:rsidR="00B72DCD" w14:paraId="387277D1" w14:textId="77777777" w:rsidTr="009D44E3">
        <w:tc>
          <w:tcPr>
            <w:cnfStyle w:val="001000000000" w:firstRow="0" w:lastRow="0" w:firstColumn="1" w:lastColumn="0" w:oddVBand="0" w:evenVBand="0" w:oddHBand="0" w:evenHBand="0" w:firstRowFirstColumn="0" w:firstRowLastColumn="0" w:lastRowFirstColumn="0" w:lastRowLastColumn="0"/>
            <w:tcW w:w="188" w:type="pct"/>
          </w:tcPr>
          <w:p w14:paraId="6838A5B7" w14:textId="77777777" w:rsidR="00B72DCD" w:rsidRDefault="00B72DCD" w:rsidP="009D44E3">
            <w:pPr>
              <w:rPr>
                <w:iCs/>
                <w:spacing w:val="-1"/>
                <w:w w:val="105"/>
              </w:rPr>
            </w:pPr>
            <w:r>
              <w:rPr>
                <w:iCs/>
                <w:spacing w:val="-1"/>
                <w:w w:val="105"/>
              </w:rPr>
              <w:t>28</w:t>
            </w:r>
          </w:p>
        </w:tc>
        <w:tc>
          <w:tcPr>
            <w:tcW w:w="1581" w:type="pct"/>
          </w:tcPr>
          <w:p w14:paraId="603A5D9B" w14:textId="77777777" w:rsidR="00B72DCD" w:rsidRPr="00241895"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241895">
              <w:rPr>
                <w:iCs/>
                <w:spacing w:val="-1"/>
                <w:w w:val="105"/>
              </w:rPr>
              <w:t>Setareki Seru Macanawai</w:t>
            </w:r>
          </w:p>
        </w:tc>
        <w:tc>
          <w:tcPr>
            <w:tcW w:w="2480" w:type="pct"/>
          </w:tcPr>
          <w:p w14:paraId="3A25F460" w14:textId="77777777" w:rsidR="00B72DCD" w:rsidRPr="00241895"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241895">
              <w:rPr>
                <w:iCs/>
                <w:spacing w:val="-1"/>
                <w:w w:val="105"/>
              </w:rPr>
              <w:t>Pacific Disability Forum</w:t>
            </w:r>
          </w:p>
        </w:tc>
        <w:tc>
          <w:tcPr>
            <w:tcW w:w="751" w:type="pct"/>
          </w:tcPr>
          <w:p w14:paraId="5D1CE462" w14:textId="77777777" w:rsidR="00B72DCD" w:rsidRPr="00852AA5" w:rsidRDefault="00B72DCD" w:rsidP="009D44E3">
            <w:pPr>
              <w:jc w:val="center"/>
              <w:cnfStyle w:val="000000000000" w:firstRow="0" w:lastRow="0" w:firstColumn="0" w:lastColumn="0" w:oddVBand="0" w:evenVBand="0" w:oddHBand="0" w:evenHBand="0" w:firstRowFirstColumn="0" w:firstRowLastColumn="0" w:lastRowFirstColumn="0" w:lastRowLastColumn="0"/>
              <w:rPr>
                <w:iCs/>
                <w:spacing w:val="-1"/>
                <w:w w:val="105"/>
              </w:rPr>
            </w:pPr>
          </w:p>
        </w:tc>
      </w:tr>
      <w:tr w:rsidR="00B72DCD" w14:paraId="5C4571AF" w14:textId="77777777" w:rsidTr="009D4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 w:type="pct"/>
          </w:tcPr>
          <w:p w14:paraId="1A6B5C34" w14:textId="77777777" w:rsidR="00B72DCD" w:rsidRDefault="00B72DCD" w:rsidP="009D44E3">
            <w:pPr>
              <w:rPr>
                <w:iCs/>
                <w:spacing w:val="-1"/>
                <w:w w:val="105"/>
              </w:rPr>
            </w:pPr>
            <w:r>
              <w:rPr>
                <w:iCs/>
                <w:spacing w:val="-1"/>
                <w:w w:val="105"/>
              </w:rPr>
              <w:t>29</w:t>
            </w:r>
          </w:p>
        </w:tc>
        <w:tc>
          <w:tcPr>
            <w:tcW w:w="1581" w:type="pct"/>
          </w:tcPr>
          <w:p w14:paraId="23BCF11D" w14:textId="77777777" w:rsidR="00B72DCD" w:rsidRPr="00241895"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241895">
              <w:rPr>
                <w:iCs/>
                <w:spacing w:val="-1"/>
                <w:w w:val="105"/>
              </w:rPr>
              <w:t>Faatino Masunu Utumapu</w:t>
            </w:r>
          </w:p>
        </w:tc>
        <w:tc>
          <w:tcPr>
            <w:tcW w:w="2480" w:type="pct"/>
          </w:tcPr>
          <w:p w14:paraId="227A9E2F" w14:textId="77777777" w:rsidR="00B72DCD" w:rsidRPr="00241895"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241895">
              <w:rPr>
                <w:iCs/>
                <w:spacing w:val="-1"/>
                <w:w w:val="105"/>
              </w:rPr>
              <w:t>Pacific Disability Forum</w:t>
            </w:r>
          </w:p>
        </w:tc>
        <w:tc>
          <w:tcPr>
            <w:tcW w:w="751" w:type="pct"/>
          </w:tcPr>
          <w:p w14:paraId="551330D6" w14:textId="77777777" w:rsidR="00B72DCD" w:rsidRPr="00852AA5" w:rsidRDefault="00B72DCD" w:rsidP="009D44E3">
            <w:pPr>
              <w:jc w:val="center"/>
              <w:cnfStyle w:val="000000100000" w:firstRow="0" w:lastRow="0" w:firstColumn="0" w:lastColumn="0" w:oddVBand="0" w:evenVBand="0" w:oddHBand="1" w:evenHBand="0" w:firstRowFirstColumn="0" w:firstRowLastColumn="0" w:lastRowFirstColumn="0" w:lastRowLastColumn="0"/>
              <w:rPr>
                <w:iCs/>
                <w:spacing w:val="-1"/>
                <w:w w:val="105"/>
              </w:rPr>
            </w:pPr>
          </w:p>
        </w:tc>
      </w:tr>
      <w:tr w:rsidR="00B72DCD" w14:paraId="3AF04359" w14:textId="77777777" w:rsidTr="009D44E3">
        <w:tc>
          <w:tcPr>
            <w:cnfStyle w:val="001000000000" w:firstRow="0" w:lastRow="0" w:firstColumn="1" w:lastColumn="0" w:oddVBand="0" w:evenVBand="0" w:oddHBand="0" w:evenHBand="0" w:firstRowFirstColumn="0" w:firstRowLastColumn="0" w:lastRowFirstColumn="0" w:lastRowLastColumn="0"/>
            <w:tcW w:w="188" w:type="pct"/>
          </w:tcPr>
          <w:p w14:paraId="6F272EA6" w14:textId="77777777" w:rsidR="00B72DCD" w:rsidRDefault="00B72DCD" w:rsidP="009D44E3">
            <w:pPr>
              <w:rPr>
                <w:iCs/>
                <w:spacing w:val="-1"/>
                <w:w w:val="105"/>
              </w:rPr>
            </w:pPr>
            <w:r>
              <w:rPr>
                <w:iCs/>
                <w:spacing w:val="-1"/>
                <w:w w:val="105"/>
              </w:rPr>
              <w:t>30</w:t>
            </w:r>
          </w:p>
        </w:tc>
        <w:tc>
          <w:tcPr>
            <w:tcW w:w="1581" w:type="pct"/>
          </w:tcPr>
          <w:p w14:paraId="4D357B9B" w14:textId="77777777" w:rsidR="00B72DCD" w:rsidRPr="00241895"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241895">
              <w:rPr>
                <w:iCs/>
                <w:spacing w:val="-1"/>
                <w:w w:val="105"/>
              </w:rPr>
              <w:t>Howard Politini</w:t>
            </w:r>
          </w:p>
        </w:tc>
        <w:tc>
          <w:tcPr>
            <w:tcW w:w="2480" w:type="pct"/>
          </w:tcPr>
          <w:p w14:paraId="17D3D954" w14:textId="77777777" w:rsidR="00B72DCD" w:rsidRPr="00241895"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241895">
              <w:rPr>
                <w:iCs/>
                <w:spacing w:val="-1"/>
                <w:w w:val="105"/>
              </w:rPr>
              <w:t>Pacific Islands Private Sector Organisation</w:t>
            </w:r>
          </w:p>
        </w:tc>
        <w:tc>
          <w:tcPr>
            <w:tcW w:w="751" w:type="pct"/>
          </w:tcPr>
          <w:p w14:paraId="35453432" w14:textId="77777777" w:rsidR="00B72DCD" w:rsidRPr="00852AA5" w:rsidRDefault="00B72DCD" w:rsidP="009D44E3">
            <w:pPr>
              <w:jc w:val="center"/>
              <w:cnfStyle w:val="000000000000" w:firstRow="0" w:lastRow="0" w:firstColumn="0" w:lastColumn="0" w:oddVBand="0" w:evenVBand="0" w:oddHBand="0" w:evenHBand="0" w:firstRowFirstColumn="0" w:firstRowLastColumn="0" w:lastRowFirstColumn="0" w:lastRowLastColumn="0"/>
              <w:rPr>
                <w:iCs/>
                <w:spacing w:val="-1"/>
                <w:w w:val="105"/>
              </w:rPr>
            </w:pPr>
          </w:p>
        </w:tc>
      </w:tr>
      <w:tr w:rsidR="00B72DCD" w14:paraId="1AAD9A95" w14:textId="77777777" w:rsidTr="009D4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 w:type="pct"/>
          </w:tcPr>
          <w:p w14:paraId="2E54775D" w14:textId="77777777" w:rsidR="00B72DCD" w:rsidRDefault="00B72DCD" w:rsidP="009D44E3">
            <w:pPr>
              <w:rPr>
                <w:iCs/>
                <w:spacing w:val="-1"/>
                <w:w w:val="105"/>
              </w:rPr>
            </w:pPr>
            <w:r>
              <w:rPr>
                <w:iCs/>
                <w:spacing w:val="-1"/>
                <w:w w:val="105"/>
              </w:rPr>
              <w:t>31</w:t>
            </w:r>
          </w:p>
        </w:tc>
        <w:tc>
          <w:tcPr>
            <w:tcW w:w="1581" w:type="pct"/>
          </w:tcPr>
          <w:p w14:paraId="7973EFF1" w14:textId="77777777" w:rsidR="00B72DCD" w:rsidRPr="00241895"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241895">
              <w:rPr>
                <w:iCs/>
                <w:spacing w:val="-1"/>
                <w:w w:val="105"/>
              </w:rPr>
              <w:t>Aloma Johannson</w:t>
            </w:r>
          </w:p>
        </w:tc>
        <w:tc>
          <w:tcPr>
            <w:tcW w:w="2480" w:type="pct"/>
          </w:tcPr>
          <w:p w14:paraId="6FC8E37D" w14:textId="77777777" w:rsidR="00B72DCD" w:rsidRPr="00241895"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241895">
              <w:rPr>
                <w:iCs/>
                <w:spacing w:val="-1"/>
                <w:w w:val="105"/>
              </w:rPr>
              <w:t>Pacific Islands Private Sector Organisation</w:t>
            </w:r>
          </w:p>
        </w:tc>
        <w:tc>
          <w:tcPr>
            <w:tcW w:w="751" w:type="pct"/>
          </w:tcPr>
          <w:p w14:paraId="08CC24D4" w14:textId="77777777" w:rsidR="00B72DCD" w:rsidRPr="00852AA5" w:rsidRDefault="00B72DCD" w:rsidP="009D44E3">
            <w:pPr>
              <w:jc w:val="center"/>
              <w:cnfStyle w:val="000000100000" w:firstRow="0" w:lastRow="0" w:firstColumn="0" w:lastColumn="0" w:oddVBand="0" w:evenVBand="0" w:oddHBand="1" w:evenHBand="0" w:firstRowFirstColumn="0" w:firstRowLastColumn="0" w:lastRowFirstColumn="0" w:lastRowLastColumn="0"/>
              <w:rPr>
                <w:iCs/>
                <w:spacing w:val="-1"/>
                <w:w w:val="105"/>
              </w:rPr>
            </w:pPr>
          </w:p>
        </w:tc>
      </w:tr>
      <w:tr w:rsidR="00B72DCD" w14:paraId="29F0B011" w14:textId="77777777" w:rsidTr="009D44E3">
        <w:tc>
          <w:tcPr>
            <w:cnfStyle w:val="001000000000" w:firstRow="0" w:lastRow="0" w:firstColumn="1" w:lastColumn="0" w:oddVBand="0" w:evenVBand="0" w:oddHBand="0" w:evenHBand="0" w:firstRowFirstColumn="0" w:firstRowLastColumn="0" w:lastRowFirstColumn="0" w:lastRowLastColumn="0"/>
            <w:tcW w:w="188" w:type="pct"/>
          </w:tcPr>
          <w:p w14:paraId="110FF723" w14:textId="77777777" w:rsidR="00B72DCD" w:rsidRDefault="00B72DCD" w:rsidP="009D44E3">
            <w:pPr>
              <w:rPr>
                <w:iCs/>
                <w:spacing w:val="-1"/>
                <w:w w:val="105"/>
              </w:rPr>
            </w:pPr>
            <w:r>
              <w:rPr>
                <w:iCs/>
                <w:spacing w:val="-1"/>
                <w:w w:val="105"/>
              </w:rPr>
              <w:t>32</w:t>
            </w:r>
          </w:p>
        </w:tc>
        <w:tc>
          <w:tcPr>
            <w:tcW w:w="1581" w:type="pct"/>
          </w:tcPr>
          <w:p w14:paraId="2C88A540" w14:textId="77777777" w:rsidR="00B72DCD" w:rsidRPr="00241895"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241895">
              <w:rPr>
                <w:iCs/>
                <w:spacing w:val="-1"/>
                <w:w w:val="105"/>
              </w:rPr>
              <w:t>Myron Williams</w:t>
            </w:r>
          </w:p>
        </w:tc>
        <w:tc>
          <w:tcPr>
            <w:tcW w:w="2480" w:type="pct"/>
          </w:tcPr>
          <w:p w14:paraId="1138502F" w14:textId="77777777" w:rsidR="00B72DCD" w:rsidRPr="00241895"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241895">
              <w:rPr>
                <w:iCs/>
                <w:spacing w:val="-1"/>
                <w:w w:val="105"/>
              </w:rPr>
              <w:t>Pacific Islands Association of Non-Governmental Organisation</w:t>
            </w:r>
          </w:p>
        </w:tc>
        <w:tc>
          <w:tcPr>
            <w:tcW w:w="751" w:type="pct"/>
          </w:tcPr>
          <w:p w14:paraId="3868DCF0" w14:textId="77777777" w:rsidR="00B72DCD" w:rsidRPr="00852AA5" w:rsidRDefault="00B72DCD" w:rsidP="009D44E3">
            <w:pPr>
              <w:jc w:val="center"/>
              <w:cnfStyle w:val="000000000000" w:firstRow="0" w:lastRow="0" w:firstColumn="0" w:lastColumn="0" w:oddVBand="0" w:evenVBand="0" w:oddHBand="0" w:evenHBand="0" w:firstRowFirstColumn="0" w:firstRowLastColumn="0" w:lastRowFirstColumn="0" w:lastRowLastColumn="0"/>
              <w:rPr>
                <w:iCs/>
                <w:spacing w:val="-1"/>
                <w:w w:val="105"/>
              </w:rPr>
            </w:pPr>
          </w:p>
        </w:tc>
      </w:tr>
      <w:tr w:rsidR="00B72DCD" w14:paraId="50B2E1AC" w14:textId="77777777" w:rsidTr="009D4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 w:type="pct"/>
          </w:tcPr>
          <w:p w14:paraId="119F3D97" w14:textId="77777777" w:rsidR="00B72DCD" w:rsidRDefault="00B72DCD" w:rsidP="009D44E3">
            <w:pPr>
              <w:rPr>
                <w:iCs/>
                <w:spacing w:val="-1"/>
                <w:w w:val="105"/>
              </w:rPr>
            </w:pPr>
            <w:r>
              <w:rPr>
                <w:iCs/>
                <w:spacing w:val="-1"/>
                <w:w w:val="105"/>
              </w:rPr>
              <w:t>33</w:t>
            </w:r>
          </w:p>
        </w:tc>
        <w:tc>
          <w:tcPr>
            <w:tcW w:w="1581" w:type="pct"/>
          </w:tcPr>
          <w:p w14:paraId="250A934A" w14:textId="77777777" w:rsidR="00B72DCD" w:rsidRPr="00241895"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241895">
              <w:rPr>
                <w:iCs/>
                <w:spacing w:val="-1"/>
                <w:w w:val="105"/>
              </w:rPr>
              <w:t>Emele Duituturaga</w:t>
            </w:r>
          </w:p>
        </w:tc>
        <w:tc>
          <w:tcPr>
            <w:tcW w:w="2480" w:type="pct"/>
          </w:tcPr>
          <w:p w14:paraId="21C131A9" w14:textId="77777777" w:rsidR="00B72DCD" w:rsidRPr="00241895"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241895">
              <w:rPr>
                <w:iCs/>
                <w:spacing w:val="-1"/>
                <w:w w:val="105"/>
              </w:rPr>
              <w:t>Pacific Islands Association of Non-Government Organisations</w:t>
            </w:r>
          </w:p>
        </w:tc>
        <w:tc>
          <w:tcPr>
            <w:tcW w:w="751" w:type="pct"/>
          </w:tcPr>
          <w:p w14:paraId="0B9AE794" w14:textId="77777777" w:rsidR="00B72DCD" w:rsidRPr="00852AA5" w:rsidRDefault="00B72DCD" w:rsidP="009D44E3">
            <w:pPr>
              <w:jc w:val="center"/>
              <w:cnfStyle w:val="000000100000" w:firstRow="0" w:lastRow="0" w:firstColumn="0" w:lastColumn="0" w:oddVBand="0" w:evenVBand="0" w:oddHBand="1" w:evenHBand="0" w:firstRowFirstColumn="0" w:firstRowLastColumn="0" w:lastRowFirstColumn="0" w:lastRowLastColumn="0"/>
              <w:rPr>
                <w:iCs/>
                <w:spacing w:val="-1"/>
                <w:w w:val="105"/>
              </w:rPr>
            </w:pPr>
            <w:r w:rsidRPr="00852AA5">
              <w:rPr>
                <w:iCs/>
                <w:spacing w:val="-1"/>
                <w:w w:val="105"/>
              </w:rPr>
              <w:t>Y</w:t>
            </w:r>
          </w:p>
        </w:tc>
      </w:tr>
      <w:tr w:rsidR="00B72DCD" w14:paraId="418C9B68" w14:textId="77777777" w:rsidTr="009D44E3">
        <w:tc>
          <w:tcPr>
            <w:cnfStyle w:val="001000000000" w:firstRow="0" w:lastRow="0" w:firstColumn="1" w:lastColumn="0" w:oddVBand="0" w:evenVBand="0" w:oddHBand="0" w:evenHBand="0" w:firstRowFirstColumn="0" w:firstRowLastColumn="0" w:lastRowFirstColumn="0" w:lastRowLastColumn="0"/>
            <w:tcW w:w="188" w:type="pct"/>
          </w:tcPr>
          <w:p w14:paraId="79885334" w14:textId="77777777" w:rsidR="00B72DCD" w:rsidRDefault="00B72DCD" w:rsidP="009D44E3">
            <w:pPr>
              <w:rPr>
                <w:iCs/>
                <w:spacing w:val="-1"/>
                <w:w w:val="105"/>
              </w:rPr>
            </w:pPr>
            <w:r>
              <w:rPr>
                <w:iCs/>
                <w:spacing w:val="-1"/>
                <w:w w:val="105"/>
              </w:rPr>
              <w:t>34</w:t>
            </w:r>
          </w:p>
        </w:tc>
        <w:tc>
          <w:tcPr>
            <w:tcW w:w="1581" w:type="pct"/>
          </w:tcPr>
          <w:p w14:paraId="7DECFC48" w14:textId="77777777" w:rsidR="00B72DCD" w:rsidRPr="00241895"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241895">
              <w:rPr>
                <w:iCs/>
                <w:spacing w:val="-1"/>
                <w:w w:val="105"/>
              </w:rPr>
              <w:t>Iosefa Maiava</w:t>
            </w:r>
          </w:p>
        </w:tc>
        <w:tc>
          <w:tcPr>
            <w:tcW w:w="2480" w:type="pct"/>
          </w:tcPr>
          <w:p w14:paraId="079742E2" w14:textId="77777777" w:rsidR="00B72DCD" w:rsidRPr="00241895"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241895">
              <w:rPr>
                <w:iCs/>
                <w:spacing w:val="-1"/>
                <w:w w:val="105"/>
              </w:rPr>
              <w:t>United Nations Economic and Social Commission for Asia and the Pacific</w:t>
            </w:r>
          </w:p>
        </w:tc>
        <w:tc>
          <w:tcPr>
            <w:tcW w:w="751" w:type="pct"/>
          </w:tcPr>
          <w:p w14:paraId="50ED7ACB" w14:textId="77777777" w:rsidR="00B72DCD" w:rsidRPr="00852AA5" w:rsidRDefault="00B72DCD" w:rsidP="009D44E3">
            <w:pPr>
              <w:jc w:val="center"/>
              <w:cnfStyle w:val="000000000000" w:firstRow="0" w:lastRow="0" w:firstColumn="0" w:lastColumn="0" w:oddVBand="0" w:evenVBand="0" w:oddHBand="0" w:evenHBand="0" w:firstRowFirstColumn="0" w:firstRowLastColumn="0" w:lastRowFirstColumn="0" w:lastRowLastColumn="0"/>
              <w:rPr>
                <w:iCs/>
                <w:spacing w:val="-1"/>
                <w:w w:val="105"/>
              </w:rPr>
            </w:pPr>
            <w:r w:rsidRPr="00852AA5">
              <w:rPr>
                <w:iCs/>
                <w:spacing w:val="-1"/>
                <w:w w:val="105"/>
              </w:rPr>
              <w:t>Y</w:t>
            </w:r>
          </w:p>
        </w:tc>
      </w:tr>
      <w:tr w:rsidR="00B72DCD" w14:paraId="5629C719" w14:textId="77777777" w:rsidTr="009D4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 w:type="pct"/>
          </w:tcPr>
          <w:p w14:paraId="4A32C091" w14:textId="77777777" w:rsidR="00B72DCD" w:rsidRDefault="00B72DCD" w:rsidP="009D44E3">
            <w:pPr>
              <w:rPr>
                <w:iCs/>
                <w:spacing w:val="-1"/>
                <w:w w:val="105"/>
              </w:rPr>
            </w:pPr>
            <w:r>
              <w:rPr>
                <w:iCs/>
                <w:spacing w:val="-1"/>
                <w:w w:val="105"/>
              </w:rPr>
              <w:t>35</w:t>
            </w:r>
          </w:p>
        </w:tc>
        <w:tc>
          <w:tcPr>
            <w:tcW w:w="1581" w:type="pct"/>
          </w:tcPr>
          <w:p w14:paraId="18126813" w14:textId="77777777" w:rsidR="00B72DCD" w:rsidRPr="00241895"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241895">
              <w:rPr>
                <w:iCs/>
                <w:spacing w:val="-1"/>
                <w:w w:val="105"/>
              </w:rPr>
              <w:t>Pita Sharples</w:t>
            </w:r>
          </w:p>
        </w:tc>
        <w:tc>
          <w:tcPr>
            <w:tcW w:w="2480" w:type="pct"/>
          </w:tcPr>
          <w:p w14:paraId="152F5BE0" w14:textId="77777777" w:rsidR="00B72DCD" w:rsidRPr="00241895"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241895">
              <w:rPr>
                <w:iCs/>
                <w:spacing w:val="-1"/>
                <w:w w:val="105"/>
              </w:rPr>
              <w:t>Tu Maori Mai Ltd</w:t>
            </w:r>
          </w:p>
        </w:tc>
        <w:tc>
          <w:tcPr>
            <w:tcW w:w="751" w:type="pct"/>
          </w:tcPr>
          <w:p w14:paraId="54E451FA" w14:textId="77777777" w:rsidR="00B72DCD" w:rsidRPr="00852AA5" w:rsidRDefault="00B72DCD" w:rsidP="009D44E3">
            <w:pPr>
              <w:jc w:val="center"/>
              <w:cnfStyle w:val="000000100000" w:firstRow="0" w:lastRow="0" w:firstColumn="0" w:lastColumn="0" w:oddVBand="0" w:evenVBand="0" w:oddHBand="1" w:evenHBand="0" w:firstRowFirstColumn="0" w:firstRowLastColumn="0" w:lastRowFirstColumn="0" w:lastRowLastColumn="0"/>
              <w:rPr>
                <w:iCs/>
                <w:spacing w:val="-1"/>
                <w:w w:val="105"/>
              </w:rPr>
            </w:pPr>
            <w:r w:rsidRPr="00852AA5">
              <w:rPr>
                <w:iCs/>
                <w:spacing w:val="-1"/>
                <w:w w:val="105"/>
              </w:rPr>
              <w:t>Y</w:t>
            </w:r>
          </w:p>
        </w:tc>
      </w:tr>
      <w:tr w:rsidR="00B72DCD" w14:paraId="3D7B94C0" w14:textId="77777777" w:rsidTr="009D44E3">
        <w:tc>
          <w:tcPr>
            <w:cnfStyle w:val="001000000000" w:firstRow="0" w:lastRow="0" w:firstColumn="1" w:lastColumn="0" w:oddVBand="0" w:evenVBand="0" w:oddHBand="0" w:evenHBand="0" w:firstRowFirstColumn="0" w:firstRowLastColumn="0" w:lastRowFirstColumn="0" w:lastRowLastColumn="0"/>
            <w:tcW w:w="188" w:type="pct"/>
          </w:tcPr>
          <w:p w14:paraId="1BC7FDC6" w14:textId="77777777" w:rsidR="00B72DCD" w:rsidRDefault="00B72DCD" w:rsidP="009D44E3">
            <w:pPr>
              <w:rPr>
                <w:iCs/>
                <w:spacing w:val="-1"/>
                <w:w w:val="105"/>
              </w:rPr>
            </w:pPr>
            <w:r>
              <w:rPr>
                <w:iCs/>
                <w:spacing w:val="-1"/>
                <w:w w:val="105"/>
              </w:rPr>
              <w:t>36</w:t>
            </w:r>
          </w:p>
        </w:tc>
        <w:tc>
          <w:tcPr>
            <w:tcW w:w="1581" w:type="pct"/>
          </w:tcPr>
          <w:p w14:paraId="625F59C9" w14:textId="77777777" w:rsidR="00B72DCD" w:rsidRPr="00241895"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241895">
              <w:rPr>
                <w:iCs/>
                <w:spacing w:val="-1"/>
                <w:w w:val="105"/>
              </w:rPr>
              <w:t>Mereani Rokotuibau</w:t>
            </w:r>
          </w:p>
        </w:tc>
        <w:tc>
          <w:tcPr>
            <w:tcW w:w="2480" w:type="pct"/>
          </w:tcPr>
          <w:p w14:paraId="7F047172" w14:textId="77777777" w:rsidR="00B72DCD" w:rsidRPr="00241895"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241895">
              <w:rPr>
                <w:iCs/>
                <w:spacing w:val="-1"/>
                <w:w w:val="105"/>
              </w:rPr>
              <w:t xml:space="preserve">Pacific Leadership Program </w:t>
            </w:r>
          </w:p>
        </w:tc>
        <w:tc>
          <w:tcPr>
            <w:tcW w:w="751" w:type="pct"/>
          </w:tcPr>
          <w:p w14:paraId="68812529" w14:textId="77777777" w:rsidR="00B72DCD" w:rsidRPr="00852AA5" w:rsidRDefault="00B72DCD" w:rsidP="009D44E3">
            <w:pPr>
              <w:jc w:val="center"/>
              <w:cnfStyle w:val="000000000000" w:firstRow="0" w:lastRow="0" w:firstColumn="0" w:lastColumn="0" w:oddVBand="0" w:evenVBand="0" w:oddHBand="0" w:evenHBand="0" w:firstRowFirstColumn="0" w:firstRowLastColumn="0" w:lastRowFirstColumn="0" w:lastRowLastColumn="0"/>
              <w:rPr>
                <w:iCs/>
                <w:spacing w:val="-1"/>
                <w:w w:val="105"/>
              </w:rPr>
            </w:pPr>
            <w:r w:rsidRPr="00852AA5">
              <w:rPr>
                <w:iCs/>
                <w:spacing w:val="-1"/>
                <w:w w:val="105"/>
              </w:rPr>
              <w:t>Y</w:t>
            </w:r>
          </w:p>
        </w:tc>
      </w:tr>
      <w:tr w:rsidR="00B72DCD" w14:paraId="51CD91D5" w14:textId="77777777" w:rsidTr="009D4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 w:type="pct"/>
          </w:tcPr>
          <w:p w14:paraId="49065115" w14:textId="77777777" w:rsidR="00B72DCD" w:rsidRDefault="00B72DCD" w:rsidP="009D44E3">
            <w:pPr>
              <w:rPr>
                <w:iCs/>
                <w:spacing w:val="-1"/>
                <w:w w:val="105"/>
              </w:rPr>
            </w:pPr>
            <w:r>
              <w:rPr>
                <w:iCs/>
                <w:spacing w:val="-1"/>
                <w:w w:val="105"/>
              </w:rPr>
              <w:t>37</w:t>
            </w:r>
          </w:p>
        </w:tc>
        <w:tc>
          <w:tcPr>
            <w:tcW w:w="1581" w:type="pct"/>
          </w:tcPr>
          <w:p w14:paraId="12616979" w14:textId="77777777" w:rsidR="00B72DCD" w:rsidRPr="00241895"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241895">
              <w:rPr>
                <w:iCs/>
                <w:spacing w:val="-1"/>
                <w:w w:val="105"/>
              </w:rPr>
              <w:t>Peni Tawake</w:t>
            </w:r>
          </w:p>
        </w:tc>
        <w:tc>
          <w:tcPr>
            <w:tcW w:w="2480" w:type="pct"/>
          </w:tcPr>
          <w:p w14:paraId="3E180E70" w14:textId="77777777" w:rsidR="00B72DCD" w:rsidRPr="00241895"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241895">
              <w:rPr>
                <w:iCs/>
                <w:spacing w:val="-1"/>
                <w:w w:val="105"/>
              </w:rPr>
              <w:t xml:space="preserve">Pacific Leadership Program </w:t>
            </w:r>
          </w:p>
        </w:tc>
        <w:tc>
          <w:tcPr>
            <w:tcW w:w="751" w:type="pct"/>
          </w:tcPr>
          <w:p w14:paraId="3BEEC377" w14:textId="77777777" w:rsidR="00B72DCD" w:rsidRPr="00852AA5" w:rsidRDefault="00B72DCD" w:rsidP="009D44E3">
            <w:pPr>
              <w:jc w:val="center"/>
              <w:cnfStyle w:val="000000100000" w:firstRow="0" w:lastRow="0" w:firstColumn="0" w:lastColumn="0" w:oddVBand="0" w:evenVBand="0" w:oddHBand="1" w:evenHBand="0" w:firstRowFirstColumn="0" w:firstRowLastColumn="0" w:lastRowFirstColumn="0" w:lastRowLastColumn="0"/>
              <w:rPr>
                <w:iCs/>
                <w:spacing w:val="-1"/>
                <w:w w:val="105"/>
              </w:rPr>
            </w:pPr>
            <w:r w:rsidRPr="00852AA5">
              <w:rPr>
                <w:iCs/>
                <w:spacing w:val="-1"/>
                <w:w w:val="105"/>
              </w:rPr>
              <w:t>Y</w:t>
            </w:r>
          </w:p>
        </w:tc>
      </w:tr>
      <w:tr w:rsidR="00B72DCD" w14:paraId="200953FB" w14:textId="77777777" w:rsidTr="009D44E3">
        <w:tc>
          <w:tcPr>
            <w:cnfStyle w:val="001000000000" w:firstRow="0" w:lastRow="0" w:firstColumn="1" w:lastColumn="0" w:oddVBand="0" w:evenVBand="0" w:oddHBand="0" w:evenHBand="0" w:firstRowFirstColumn="0" w:firstRowLastColumn="0" w:lastRowFirstColumn="0" w:lastRowLastColumn="0"/>
            <w:tcW w:w="188" w:type="pct"/>
          </w:tcPr>
          <w:p w14:paraId="56607DE8" w14:textId="77777777" w:rsidR="00B72DCD" w:rsidRDefault="00B72DCD" w:rsidP="009D44E3">
            <w:pPr>
              <w:rPr>
                <w:iCs/>
                <w:spacing w:val="-1"/>
                <w:w w:val="105"/>
              </w:rPr>
            </w:pPr>
            <w:r>
              <w:rPr>
                <w:iCs/>
                <w:spacing w:val="-1"/>
                <w:w w:val="105"/>
              </w:rPr>
              <w:t>38</w:t>
            </w:r>
          </w:p>
        </w:tc>
        <w:tc>
          <w:tcPr>
            <w:tcW w:w="1581" w:type="pct"/>
          </w:tcPr>
          <w:p w14:paraId="4ECB0BD7" w14:textId="77777777" w:rsidR="00B72DCD" w:rsidRPr="00241895"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241895">
              <w:rPr>
                <w:iCs/>
                <w:spacing w:val="-1"/>
                <w:w w:val="105"/>
              </w:rPr>
              <w:t>Lilieta Takau</w:t>
            </w:r>
          </w:p>
        </w:tc>
        <w:tc>
          <w:tcPr>
            <w:tcW w:w="2480" w:type="pct"/>
          </w:tcPr>
          <w:p w14:paraId="5E9219C9" w14:textId="77777777" w:rsidR="00B72DCD" w:rsidRPr="00241895"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241895">
              <w:rPr>
                <w:iCs/>
                <w:spacing w:val="-1"/>
                <w:w w:val="105"/>
              </w:rPr>
              <w:t xml:space="preserve">Pacific Leadership Program </w:t>
            </w:r>
          </w:p>
        </w:tc>
        <w:tc>
          <w:tcPr>
            <w:tcW w:w="751" w:type="pct"/>
          </w:tcPr>
          <w:p w14:paraId="25F41654" w14:textId="77777777" w:rsidR="00B72DCD" w:rsidRPr="00852AA5" w:rsidRDefault="00B72DCD" w:rsidP="009D44E3">
            <w:pPr>
              <w:jc w:val="center"/>
              <w:cnfStyle w:val="000000000000" w:firstRow="0" w:lastRow="0" w:firstColumn="0" w:lastColumn="0" w:oddVBand="0" w:evenVBand="0" w:oddHBand="0" w:evenHBand="0" w:firstRowFirstColumn="0" w:firstRowLastColumn="0" w:lastRowFirstColumn="0" w:lastRowLastColumn="0"/>
              <w:rPr>
                <w:iCs/>
                <w:spacing w:val="-1"/>
                <w:w w:val="105"/>
              </w:rPr>
            </w:pPr>
            <w:r w:rsidRPr="00852AA5">
              <w:rPr>
                <w:iCs/>
                <w:spacing w:val="-1"/>
                <w:w w:val="105"/>
              </w:rPr>
              <w:t>Y</w:t>
            </w:r>
          </w:p>
        </w:tc>
      </w:tr>
      <w:tr w:rsidR="00B72DCD" w14:paraId="035FF430" w14:textId="77777777" w:rsidTr="009D4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 w:type="pct"/>
          </w:tcPr>
          <w:p w14:paraId="20E79841" w14:textId="77777777" w:rsidR="00B72DCD" w:rsidRDefault="00B72DCD" w:rsidP="009D44E3">
            <w:pPr>
              <w:rPr>
                <w:iCs/>
                <w:spacing w:val="-1"/>
                <w:w w:val="105"/>
              </w:rPr>
            </w:pPr>
            <w:r>
              <w:rPr>
                <w:iCs/>
                <w:spacing w:val="-1"/>
                <w:w w:val="105"/>
              </w:rPr>
              <w:t>39</w:t>
            </w:r>
          </w:p>
        </w:tc>
        <w:tc>
          <w:tcPr>
            <w:tcW w:w="1581" w:type="pct"/>
          </w:tcPr>
          <w:p w14:paraId="6FC8C7CF" w14:textId="77777777" w:rsidR="00B72DCD" w:rsidRPr="00241895"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241895">
              <w:rPr>
                <w:iCs/>
                <w:spacing w:val="-1"/>
                <w:w w:val="105"/>
              </w:rPr>
              <w:t>Gina Huong Lee</w:t>
            </w:r>
          </w:p>
        </w:tc>
        <w:tc>
          <w:tcPr>
            <w:tcW w:w="2480" w:type="pct"/>
          </w:tcPr>
          <w:p w14:paraId="04A63402" w14:textId="77777777" w:rsidR="00B72DCD" w:rsidRPr="00241895"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241895">
              <w:rPr>
                <w:iCs/>
                <w:spacing w:val="-1"/>
                <w:w w:val="105"/>
              </w:rPr>
              <w:t>Independent Consultant</w:t>
            </w:r>
          </w:p>
        </w:tc>
        <w:tc>
          <w:tcPr>
            <w:tcW w:w="751" w:type="pct"/>
          </w:tcPr>
          <w:p w14:paraId="7725E21A" w14:textId="77777777" w:rsidR="00B72DCD" w:rsidRPr="00852AA5" w:rsidRDefault="00B72DCD" w:rsidP="009D44E3">
            <w:pPr>
              <w:jc w:val="center"/>
              <w:cnfStyle w:val="000000100000" w:firstRow="0" w:lastRow="0" w:firstColumn="0" w:lastColumn="0" w:oddVBand="0" w:evenVBand="0" w:oddHBand="1" w:evenHBand="0" w:firstRowFirstColumn="0" w:firstRowLastColumn="0" w:lastRowFirstColumn="0" w:lastRowLastColumn="0"/>
              <w:rPr>
                <w:iCs/>
                <w:spacing w:val="-1"/>
                <w:w w:val="105"/>
              </w:rPr>
            </w:pPr>
            <w:r w:rsidRPr="00852AA5">
              <w:rPr>
                <w:iCs/>
                <w:spacing w:val="-1"/>
                <w:w w:val="105"/>
              </w:rPr>
              <w:t>Y</w:t>
            </w:r>
          </w:p>
        </w:tc>
      </w:tr>
      <w:tr w:rsidR="00B72DCD" w14:paraId="2DF41B9C" w14:textId="77777777" w:rsidTr="009D44E3">
        <w:tc>
          <w:tcPr>
            <w:cnfStyle w:val="001000000000" w:firstRow="0" w:lastRow="0" w:firstColumn="1" w:lastColumn="0" w:oddVBand="0" w:evenVBand="0" w:oddHBand="0" w:evenHBand="0" w:firstRowFirstColumn="0" w:firstRowLastColumn="0" w:lastRowFirstColumn="0" w:lastRowLastColumn="0"/>
            <w:tcW w:w="188" w:type="pct"/>
          </w:tcPr>
          <w:p w14:paraId="132788EB" w14:textId="77777777" w:rsidR="00B72DCD" w:rsidRDefault="00B72DCD" w:rsidP="009D44E3">
            <w:pPr>
              <w:rPr>
                <w:iCs/>
                <w:spacing w:val="-1"/>
                <w:w w:val="105"/>
              </w:rPr>
            </w:pPr>
            <w:r>
              <w:rPr>
                <w:iCs/>
                <w:spacing w:val="-1"/>
                <w:w w:val="105"/>
              </w:rPr>
              <w:t>40</w:t>
            </w:r>
          </w:p>
        </w:tc>
        <w:tc>
          <w:tcPr>
            <w:tcW w:w="1581" w:type="pct"/>
          </w:tcPr>
          <w:p w14:paraId="6EBC4AAD" w14:textId="77777777" w:rsidR="00B72DCD" w:rsidRPr="00241895"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241895">
              <w:rPr>
                <w:iCs/>
                <w:spacing w:val="-1"/>
                <w:w w:val="105"/>
              </w:rPr>
              <w:t>Virisila Baudromo</w:t>
            </w:r>
          </w:p>
        </w:tc>
        <w:tc>
          <w:tcPr>
            <w:tcW w:w="2480" w:type="pct"/>
          </w:tcPr>
          <w:p w14:paraId="4889CE9A" w14:textId="77777777" w:rsidR="00B72DCD" w:rsidRPr="00241895"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241895">
              <w:rPr>
                <w:iCs/>
                <w:spacing w:val="-1"/>
                <w:w w:val="105"/>
              </w:rPr>
              <w:t>Social Development Professional</w:t>
            </w:r>
          </w:p>
        </w:tc>
        <w:tc>
          <w:tcPr>
            <w:tcW w:w="751" w:type="pct"/>
          </w:tcPr>
          <w:p w14:paraId="69C7B83E" w14:textId="77777777" w:rsidR="00B72DCD" w:rsidRPr="00852AA5" w:rsidRDefault="00B72DCD" w:rsidP="009D44E3">
            <w:pPr>
              <w:jc w:val="center"/>
              <w:cnfStyle w:val="000000000000" w:firstRow="0" w:lastRow="0" w:firstColumn="0" w:lastColumn="0" w:oddVBand="0" w:evenVBand="0" w:oddHBand="0" w:evenHBand="0" w:firstRowFirstColumn="0" w:firstRowLastColumn="0" w:lastRowFirstColumn="0" w:lastRowLastColumn="0"/>
              <w:rPr>
                <w:iCs/>
                <w:spacing w:val="-1"/>
                <w:w w:val="105"/>
              </w:rPr>
            </w:pPr>
            <w:r w:rsidRPr="00852AA5">
              <w:rPr>
                <w:iCs/>
                <w:spacing w:val="-1"/>
                <w:w w:val="105"/>
              </w:rPr>
              <w:t>Y</w:t>
            </w:r>
          </w:p>
        </w:tc>
      </w:tr>
      <w:tr w:rsidR="00B72DCD" w14:paraId="2859DF17" w14:textId="77777777" w:rsidTr="009D4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 w:type="pct"/>
          </w:tcPr>
          <w:p w14:paraId="08D3F788" w14:textId="77777777" w:rsidR="00B72DCD" w:rsidRDefault="00B72DCD" w:rsidP="009D44E3">
            <w:pPr>
              <w:rPr>
                <w:iCs/>
                <w:spacing w:val="-1"/>
                <w:w w:val="105"/>
              </w:rPr>
            </w:pPr>
            <w:r>
              <w:rPr>
                <w:iCs/>
                <w:spacing w:val="-1"/>
                <w:w w:val="105"/>
              </w:rPr>
              <w:t>41</w:t>
            </w:r>
          </w:p>
        </w:tc>
        <w:tc>
          <w:tcPr>
            <w:tcW w:w="1581" w:type="pct"/>
          </w:tcPr>
          <w:p w14:paraId="46CBD74D" w14:textId="77777777" w:rsidR="00B72DCD" w:rsidRPr="00241895"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241895">
              <w:rPr>
                <w:iCs/>
                <w:spacing w:val="-1"/>
                <w:w w:val="105"/>
              </w:rPr>
              <w:t>Lelei Lelaulu</w:t>
            </w:r>
          </w:p>
        </w:tc>
        <w:tc>
          <w:tcPr>
            <w:tcW w:w="2480" w:type="pct"/>
          </w:tcPr>
          <w:p w14:paraId="150F75F9" w14:textId="77777777" w:rsidR="00B72DCD" w:rsidRPr="00241895"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241895">
              <w:rPr>
                <w:iCs/>
                <w:spacing w:val="-1"/>
                <w:w w:val="105"/>
              </w:rPr>
              <w:t>Independent Consultant</w:t>
            </w:r>
          </w:p>
        </w:tc>
        <w:tc>
          <w:tcPr>
            <w:tcW w:w="751" w:type="pct"/>
          </w:tcPr>
          <w:p w14:paraId="0D2D9280" w14:textId="77777777" w:rsidR="00B72DCD" w:rsidRPr="00852AA5" w:rsidRDefault="00B72DCD" w:rsidP="009D44E3">
            <w:pPr>
              <w:jc w:val="center"/>
              <w:cnfStyle w:val="000000100000" w:firstRow="0" w:lastRow="0" w:firstColumn="0" w:lastColumn="0" w:oddVBand="0" w:evenVBand="0" w:oddHBand="1" w:evenHBand="0" w:firstRowFirstColumn="0" w:firstRowLastColumn="0" w:lastRowFirstColumn="0" w:lastRowLastColumn="0"/>
              <w:rPr>
                <w:iCs/>
                <w:spacing w:val="-1"/>
                <w:w w:val="105"/>
              </w:rPr>
            </w:pPr>
            <w:r w:rsidRPr="00852AA5">
              <w:rPr>
                <w:iCs/>
                <w:spacing w:val="-1"/>
                <w:w w:val="105"/>
              </w:rPr>
              <w:t>Y</w:t>
            </w:r>
          </w:p>
        </w:tc>
      </w:tr>
    </w:tbl>
    <w:p w14:paraId="1AD03DBD" w14:textId="77777777" w:rsidR="00B72DCD" w:rsidRDefault="00B72DCD" w:rsidP="00B72DCD"/>
    <w:p w14:paraId="41DD40F8" w14:textId="77777777" w:rsidR="00B72DCD" w:rsidRPr="009938FB" w:rsidRDefault="00B72DCD" w:rsidP="00B72DCD">
      <w:r w:rsidRPr="00730140">
        <w:rPr>
          <w:b/>
          <w:sz w:val="24"/>
          <w:szCs w:val="24"/>
        </w:rPr>
        <w:t>Cohort Two Participants</w:t>
      </w:r>
    </w:p>
    <w:tbl>
      <w:tblPr>
        <w:tblStyle w:val="GridTable4-Accent11"/>
        <w:tblW w:w="4654" w:type="pct"/>
        <w:tblLook w:val="04A0" w:firstRow="1" w:lastRow="0" w:firstColumn="1" w:lastColumn="0" w:noHBand="0" w:noVBand="1"/>
      </w:tblPr>
      <w:tblGrid>
        <w:gridCol w:w="449"/>
        <w:gridCol w:w="1864"/>
        <w:gridCol w:w="1337"/>
        <w:gridCol w:w="4088"/>
        <w:gridCol w:w="864"/>
      </w:tblGrid>
      <w:tr w:rsidR="00B72DCD" w14:paraId="1F35974C" w14:textId="77777777" w:rsidTr="009D44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 w:type="pct"/>
          </w:tcPr>
          <w:p w14:paraId="6012449B" w14:textId="77777777" w:rsidR="00B72DCD" w:rsidRDefault="00B72DCD" w:rsidP="009D44E3">
            <w:pPr>
              <w:rPr>
                <w:iCs/>
                <w:spacing w:val="-1"/>
                <w:w w:val="105"/>
              </w:rPr>
            </w:pPr>
          </w:p>
        </w:tc>
        <w:tc>
          <w:tcPr>
            <w:tcW w:w="1123" w:type="pct"/>
          </w:tcPr>
          <w:p w14:paraId="37DED855" w14:textId="77777777" w:rsidR="00B72DCD" w:rsidRDefault="00B72DCD" w:rsidP="009D44E3">
            <w:pPr>
              <w:cnfStyle w:val="100000000000" w:firstRow="1" w:lastRow="0" w:firstColumn="0" w:lastColumn="0" w:oddVBand="0" w:evenVBand="0" w:oddHBand="0" w:evenHBand="0" w:firstRowFirstColumn="0" w:firstRowLastColumn="0" w:lastRowFirstColumn="0" w:lastRowLastColumn="0"/>
              <w:rPr>
                <w:iCs/>
                <w:spacing w:val="-1"/>
                <w:w w:val="105"/>
              </w:rPr>
            </w:pPr>
            <w:r>
              <w:rPr>
                <w:iCs/>
                <w:spacing w:val="-1"/>
                <w:w w:val="105"/>
              </w:rPr>
              <w:t>Name</w:t>
            </w:r>
          </w:p>
        </w:tc>
        <w:tc>
          <w:tcPr>
            <w:tcW w:w="816" w:type="pct"/>
          </w:tcPr>
          <w:p w14:paraId="7B1E0F8A" w14:textId="77777777" w:rsidR="00B72DCD" w:rsidRDefault="00B72DCD" w:rsidP="009D44E3">
            <w:pPr>
              <w:cnfStyle w:val="100000000000" w:firstRow="1" w:lastRow="0" w:firstColumn="0" w:lastColumn="0" w:oddVBand="0" w:evenVBand="0" w:oddHBand="0" w:evenHBand="0" w:firstRowFirstColumn="0" w:firstRowLastColumn="0" w:lastRowFirstColumn="0" w:lastRowLastColumn="0"/>
              <w:rPr>
                <w:iCs/>
                <w:spacing w:val="-1"/>
                <w:w w:val="105"/>
              </w:rPr>
            </w:pPr>
            <w:r>
              <w:rPr>
                <w:iCs/>
                <w:spacing w:val="-1"/>
                <w:w w:val="105"/>
              </w:rPr>
              <w:t>Country</w:t>
            </w:r>
          </w:p>
        </w:tc>
        <w:tc>
          <w:tcPr>
            <w:tcW w:w="2415" w:type="pct"/>
          </w:tcPr>
          <w:p w14:paraId="4B471918" w14:textId="77777777" w:rsidR="00B72DCD" w:rsidRDefault="00B72DCD" w:rsidP="009D44E3">
            <w:pPr>
              <w:cnfStyle w:val="100000000000" w:firstRow="1" w:lastRow="0" w:firstColumn="0" w:lastColumn="0" w:oddVBand="0" w:evenVBand="0" w:oddHBand="0" w:evenHBand="0" w:firstRowFirstColumn="0" w:firstRowLastColumn="0" w:lastRowFirstColumn="0" w:lastRowLastColumn="0"/>
              <w:rPr>
                <w:iCs/>
                <w:spacing w:val="-1"/>
                <w:w w:val="105"/>
              </w:rPr>
            </w:pPr>
            <w:r>
              <w:rPr>
                <w:iCs/>
                <w:spacing w:val="-1"/>
                <w:w w:val="105"/>
              </w:rPr>
              <w:t>Sponsoring Organisation</w:t>
            </w:r>
          </w:p>
        </w:tc>
        <w:tc>
          <w:tcPr>
            <w:tcW w:w="458" w:type="pct"/>
          </w:tcPr>
          <w:p w14:paraId="019A8038" w14:textId="77777777" w:rsidR="00B72DCD" w:rsidRDefault="00B72DCD" w:rsidP="009D44E3">
            <w:pPr>
              <w:cnfStyle w:val="100000000000" w:firstRow="1" w:lastRow="0" w:firstColumn="0" w:lastColumn="0" w:oddVBand="0" w:evenVBand="0" w:oddHBand="0" w:evenHBand="0" w:firstRowFirstColumn="0" w:firstRowLastColumn="0" w:lastRowFirstColumn="0" w:lastRowLastColumn="0"/>
              <w:rPr>
                <w:iCs/>
                <w:spacing w:val="-1"/>
                <w:w w:val="105"/>
              </w:rPr>
            </w:pPr>
            <w:r>
              <w:rPr>
                <w:iCs/>
                <w:spacing w:val="-1"/>
                <w:w w:val="105"/>
              </w:rPr>
              <w:t>Train-the-trainer</w:t>
            </w:r>
          </w:p>
        </w:tc>
      </w:tr>
      <w:tr w:rsidR="00B72DCD" w14:paraId="55BD35B6" w14:textId="77777777" w:rsidTr="009D4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 w:type="pct"/>
          </w:tcPr>
          <w:p w14:paraId="65FA05DE" w14:textId="77777777" w:rsidR="00B72DCD" w:rsidRDefault="00B72DCD" w:rsidP="009D44E3">
            <w:pPr>
              <w:rPr>
                <w:b w:val="0"/>
                <w:iCs/>
                <w:spacing w:val="-1"/>
                <w:w w:val="105"/>
              </w:rPr>
            </w:pPr>
            <w:r>
              <w:rPr>
                <w:b w:val="0"/>
                <w:iCs/>
                <w:spacing w:val="-1"/>
                <w:w w:val="105"/>
              </w:rPr>
              <w:t>1</w:t>
            </w:r>
          </w:p>
        </w:tc>
        <w:tc>
          <w:tcPr>
            <w:tcW w:w="1123" w:type="pct"/>
          </w:tcPr>
          <w:p w14:paraId="43BFF106" w14:textId="77777777" w:rsidR="00B72DCD"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Pr>
                <w:iCs/>
                <w:spacing w:val="-1"/>
                <w:w w:val="105"/>
              </w:rPr>
              <w:t>Seman Dalesa-Saraken</w:t>
            </w:r>
          </w:p>
        </w:tc>
        <w:tc>
          <w:tcPr>
            <w:tcW w:w="816" w:type="pct"/>
          </w:tcPr>
          <w:p w14:paraId="358E4D65" w14:textId="77777777" w:rsidR="00B72DCD"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Pr>
                <w:iCs/>
                <w:spacing w:val="-1"/>
                <w:w w:val="105"/>
              </w:rPr>
              <w:t xml:space="preserve">Vanuatu </w:t>
            </w:r>
          </w:p>
        </w:tc>
        <w:tc>
          <w:tcPr>
            <w:tcW w:w="2415" w:type="pct"/>
          </w:tcPr>
          <w:p w14:paraId="2F3BE9D8" w14:textId="77777777" w:rsidR="00B72DCD"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Pr>
                <w:iCs/>
                <w:spacing w:val="-1"/>
                <w:w w:val="105"/>
              </w:rPr>
              <w:t>Department of Women’s Affairs</w:t>
            </w:r>
          </w:p>
        </w:tc>
        <w:tc>
          <w:tcPr>
            <w:tcW w:w="458" w:type="pct"/>
          </w:tcPr>
          <w:p w14:paraId="2886C841" w14:textId="77777777" w:rsidR="00B72DCD" w:rsidRDefault="00B72DCD" w:rsidP="009D44E3">
            <w:pPr>
              <w:jc w:val="center"/>
              <w:cnfStyle w:val="000000100000" w:firstRow="0" w:lastRow="0" w:firstColumn="0" w:lastColumn="0" w:oddVBand="0" w:evenVBand="0" w:oddHBand="1" w:evenHBand="0" w:firstRowFirstColumn="0" w:firstRowLastColumn="0" w:lastRowFirstColumn="0" w:lastRowLastColumn="0"/>
              <w:rPr>
                <w:iCs/>
                <w:spacing w:val="-1"/>
                <w:w w:val="105"/>
              </w:rPr>
            </w:pPr>
          </w:p>
        </w:tc>
      </w:tr>
      <w:tr w:rsidR="00B72DCD" w14:paraId="12269A39" w14:textId="77777777" w:rsidTr="009D44E3">
        <w:tc>
          <w:tcPr>
            <w:cnfStyle w:val="001000000000" w:firstRow="0" w:lastRow="0" w:firstColumn="1" w:lastColumn="0" w:oddVBand="0" w:evenVBand="0" w:oddHBand="0" w:evenHBand="0" w:firstRowFirstColumn="0" w:firstRowLastColumn="0" w:lastRowFirstColumn="0" w:lastRowLastColumn="0"/>
            <w:tcW w:w="187" w:type="pct"/>
          </w:tcPr>
          <w:p w14:paraId="56C267A0" w14:textId="77777777" w:rsidR="00B72DCD" w:rsidRPr="00AE0702" w:rsidRDefault="00B72DCD" w:rsidP="009D44E3">
            <w:pPr>
              <w:rPr>
                <w:b w:val="0"/>
                <w:iCs/>
                <w:spacing w:val="-1"/>
                <w:w w:val="105"/>
              </w:rPr>
            </w:pPr>
            <w:r>
              <w:rPr>
                <w:b w:val="0"/>
                <w:iCs/>
                <w:spacing w:val="-1"/>
                <w:w w:val="105"/>
              </w:rPr>
              <w:t>2</w:t>
            </w:r>
          </w:p>
        </w:tc>
        <w:tc>
          <w:tcPr>
            <w:tcW w:w="1123" w:type="pct"/>
          </w:tcPr>
          <w:p w14:paraId="7B0E3D2A" w14:textId="77777777" w:rsidR="00B72DCD" w:rsidRPr="00241895"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Pr>
                <w:iCs/>
                <w:spacing w:val="-1"/>
                <w:w w:val="105"/>
              </w:rPr>
              <w:t>Joe Higgs Kalo</w:t>
            </w:r>
          </w:p>
        </w:tc>
        <w:tc>
          <w:tcPr>
            <w:tcW w:w="816" w:type="pct"/>
          </w:tcPr>
          <w:p w14:paraId="6C4D5E81" w14:textId="77777777" w:rsidR="00B72DCD" w:rsidRPr="00241895"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Pr>
                <w:iCs/>
                <w:spacing w:val="-1"/>
                <w:w w:val="105"/>
              </w:rPr>
              <w:t>Vanuatu</w:t>
            </w:r>
          </w:p>
        </w:tc>
        <w:tc>
          <w:tcPr>
            <w:tcW w:w="2415" w:type="pct"/>
          </w:tcPr>
          <w:p w14:paraId="6F2F6A94" w14:textId="77777777" w:rsidR="00B72DCD" w:rsidRPr="00241895"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Pr>
                <w:iCs/>
                <w:spacing w:val="-1"/>
                <w:w w:val="105"/>
              </w:rPr>
              <w:t>Vanuatu National Youth Council</w:t>
            </w:r>
          </w:p>
        </w:tc>
        <w:tc>
          <w:tcPr>
            <w:tcW w:w="458" w:type="pct"/>
          </w:tcPr>
          <w:p w14:paraId="0918A961" w14:textId="77777777" w:rsidR="00B72DCD" w:rsidRDefault="00B72DCD" w:rsidP="009D44E3">
            <w:pPr>
              <w:jc w:val="center"/>
              <w:cnfStyle w:val="000000000000" w:firstRow="0" w:lastRow="0" w:firstColumn="0" w:lastColumn="0" w:oddVBand="0" w:evenVBand="0" w:oddHBand="0" w:evenHBand="0" w:firstRowFirstColumn="0" w:firstRowLastColumn="0" w:lastRowFirstColumn="0" w:lastRowLastColumn="0"/>
              <w:rPr>
                <w:iCs/>
                <w:spacing w:val="-1"/>
                <w:w w:val="105"/>
              </w:rPr>
            </w:pPr>
          </w:p>
        </w:tc>
      </w:tr>
      <w:tr w:rsidR="00B72DCD" w14:paraId="1C41C3E0" w14:textId="77777777" w:rsidTr="009D4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 w:type="pct"/>
          </w:tcPr>
          <w:p w14:paraId="6DF74815" w14:textId="77777777" w:rsidR="00B72DCD" w:rsidRPr="00AE0702" w:rsidRDefault="00B72DCD" w:rsidP="009D44E3">
            <w:pPr>
              <w:rPr>
                <w:b w:val="0"/>
                <w:iCs/>
                <w:spacing w:val="-1"/>
                <w:w w:val="105"/>
              </w:rPr>
            </w:pPr>
            <w:r>
              <w:rPr>
                <w:b w:val="0"/>
                <w:iCs/>
                <w:spacing w:val="-1"/>
                <w:w w:val="105"/>
              </w:rPr>
              <w:t>3</w:t>
            </w:r>
          </w:p>
        </w:tc>
        <w:tc>
          <w:tcPr>
            <w:tcW w:w="1123" w:type="pct"/>
          </w:tcPr>
          <w:p w14:paraId="4295437E" w14:textId="77777777" w:rsidR="00B72DCD" w:rsidRPr="00241895"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Pr>
                <w:iCs/>
                <w:spacing w:val="-1"/>
                <w:w w:val="105"/>
              </w:rPr>
              <w:t>Nelly Caleb</w:t>
            </w:r>
          </w:p>
        </w:tc>
        <w:tc>
          <w:tcPr>
            <w:tcW w:w="816" w:type="pct"/>
          </w:tcPr>
          <w:p w14:paraId="734B07F8" w14:textId="77777777" w:rsidR="00B72DCD" w:rsidRPr="00241895"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Pr>
                <w:iCs/>
                <w:spacing w:val="-1"/>
                <w:w w:val="105"/>
              </w:rPr>
              <w:t>Vanuatu</w:t>
            </w:r>
          </w:p>
        </w:tc>
        <w:tc>
          <w:tcPr>
            <w:tcW w:w="2415" w:type="pct"/>
          </w:tcPr>
          <w:p w14:paraId="207DB513" w14:textId="77777777" w:rsidR="00B72DCD" w:rsidRPr="00241895"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Pr>
                <w:iCs/>
                <w:spacing w:val="-1"/>
                <w:w w:val="105"/>
              </w:rPr>
              <w:t>Disability Promotion &amp; Advocacy Association</w:t>
            </w:r>
          </w:p>
        </w:tc>
        <w:tc>
          <w:tcPr>
            <w:tcW w:w="458" w:type="pct"/>
          </w:tcPr>
          <w:p w14:paraId="119856AC" w14:textId="77777777" w:rsidR="00B72DCD" w:rsidRDefault="00B72DCD" w:rsidP="009D44E3">
            <w:pPr>
              <w:jc w:val="center"/>
              <w:cnfStyle w:val="000000100000" w:firstRow="0" w:lastRow="0" w:firstColumn="0" w:lastColumn="0" w:oddVBand="0" w:evenVBand="0" w:oddHBand="1" w:evenHBand="0" w:firstRowFirstColumn="0" w:firstRowLastColumn="0" w:lastRowFirstColumn="0" w:lastRowLastColumn="0"/>
              <w:rPr>
                <w:iCs/>
                <w:spacing w:val="-1"/>
                <w:w w:val="105"/>
              </w:rPr>
            </w:pPr>
          </w:p>
        </w:tc>
      </w:tr>
      <w:tr w:rsidR="00B72DCD" w14:paraId="606CF791" w14:textId="77777777" w:rsidTr="009D44E3">
        <w:tc>
          <w:tcPr>
            <w:cnfStyle w:val="001000000000" w:firstRow="0" w:lastRow="0" w:firstColumn="1" w:lastColumn="0" w:oddVBand="0" w:evenVBand="0" w:oddHBand="0" w:evenHBand="0" w:firstRowFirstColumn="0" w:firstRowLastColumn="0" w:lastRowFirstColumn="0" w:lastRowLastColumn="0"/>
            <w:tcW w:w="187" w:type="pct"/>
          </w:tcPr>
          <w:p w14:paraId="2204357A" w14:textId="77777777" w:rsidR="00B72DCD" w:rsidRPr="00AE0702" w:rsidRDefault="00B72DCD" w:rsidP="009D44E3">
            <w:pPr>
              <w:rPr>
                <w:b w:val="0"/>
                <w:iCs/>
                <w:spacing w:val="-1"/>
                <w:w w:val="105"/>
              </w:rPr>
            </w:pPr>
            <w:r>
              <w:rPr>
                <w:b w:val="0"/>
                <w:iCs/>
                <w:spacing w:val="-1"/>
                <w:w w:val="105"/>
              </w:rPr>
              <w:t>4</w:t>
            </w:r>
          </w:p>
        </w:tc>
        <w:tc>
          <w:tcPr>
            <w:tcW w:w="1123" w:type="pct"/>
          </w:tcPr>
          <w:p w14:paraId="16845FA4" w14:textId="77777777" w:rsidR="00B72DCD" w:rsidRPr="00241895"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Pr>
                <w:iCs/>
                <w:spacing w:val="-1"/>
                <w:w w:val="105"/>
              </w:rPr>
              <w:t>Viviane Obed</w:t>
            </w:r>
          </w:p>
        </w:tc>
        <w:tc>
          <w:tcPr>
            <w:tcW w:w="816" w:type="pct"/>
          </w:tcPr>
          <w:p w14:paraId="6F55D3A4" w14:textId="77777777" w:rsidR="00B72DCD" w:rsidRPr="00241895"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Pr>
                <w:iCs/>
                <w:spacing w:val="-1"/>
                <w:w w:val="105"/>
              </w:rPr>
              <w:t>Vanuatu</w:t>
            </w:r>
          </w:p>
        </w:tc>
        <w:tc>
          <w:tcPr>
            <w:tcW w:w="2415" w:type="pct"/>
          </w:tcPr>
          <w:p w14:paraId="4AA53C34" w14:textId="77777777" w:rsidR="00B72DCD" w:rsidRPr="00241895"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Pr>
                <w:iCs/>
                <w:spacing w:val="-1"/>
                <w:w w:val="105"/>
              </w:rPr>
              <w:t>Care International</w:t>
            </w:r>
          </w:p>
        </w:tc>
        <w:tc>
          <w:tcPr>
            <w:tcW w:w="458" w:type="pct"/>
          </w:tcPr>
          <w:p w14:paraId="40037A05" w14:textId="77777777" w:rsidR="00B72DCD" w:rsidRDefault="00B72DCD" w:rsidP="009D44E3">
            <w:pPr>
              <w:jc w:val="center"/>
              <w:cnfStyle w:val="000000000000" w:firstRow="0" w:lastRow="0" w:firstColumn="0" w:lastColumn="0" w:oddVBand="0" w:evenVBand="0" w:oddHBand="0" w:evenHBand="0" w:firstRowFirstColumn="0" w:firstRowLastColumn="0" w:lastRowFirstColumn="0" w:lastRowLastColumn="0"/>
              <w:rPr>
                <w:iCs/>
                <w:spacing w:val="-1"/>
                <w:w w:val="105"/>
              </w:rPr>
            </w:pPr>
          </w:p>
        </w:tc>
      </w:tr>
      <w:tr w:rsidR="00B72DCD" w14:paraId="561FA3F3" w14:textId="77777777" w:rsidTr="009D4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 w:type="pct"/>
          </w:tcPr>
          <w:p w14:paraId="4F626924" w14:textId="77777777" w:rsidR="00B72DCD" w:rsidRPr="00AE0702" w:rsidRDefault="00B72DCD" w:rsidP="009D44E3">
            <w:pPr>
              <w:rPr>
                <w:b w:val="0"/>
                <w:iCs/>
                <w:spacing w:val="-1"/>
                <w:w w:val="105"/>
              </w:rPr>
            </w:pPr>
            <w:r>
              <w:rPr>
                <w:b w:val="0"/>
                <w:iCs/>
                <w:spacing w:val="-1"/>
                <w:w w:val="105"/>
              </w:rPr>
              <w:t>5</w:t>
            </w:r>
          </w:p>
        </w:tc>
        <w:tc>
          <w:tcPr>
            <w:tcW w:w="1123" w:type="pct"/>
          </w:tcPr>
          <w:p w14:paraId="0D686066" w14:textId="77777777" w:rsidR="00B72DCD" w:rsidRPr="00241895"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Pr>
                <w:iCs/>
                <w:spacing w:val="-1"/>
                <w:w w:val="105"/>
              </w:rPr>
              <w:t>Siotame Drew Havea</w:t>
            </w:r>
          </w:p>
        </w:tc>
        <w:tc>
          <w:tcPr>
            <w:tcW w:w="816" w:type="pct"/>
          </w:tcPr>
          <w:p w14:paraId="7846E61E" w14:textId="77777777" w:rsidR="00B72DCD" w:rsidRPr="00241895"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Pr>
                <w:iCs/>
                <w:spacing w:val="-1"/>
                <w:w w:val="105"/>
              </w:rPr>
              <w:t>Tonga</w:t>
            </w:r>
          </w:p>
        </w:tc>
        <w:tc>
          <w:tcPr>
            <w:tcW w:w="2415" w:type="pct"/>
          </w:tcPr>
          <w:p w14:paraId="52F70E86" w14:textId="77777777" w:rsidR="00B72DCD" w:rsidRPr="00241895"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Pr>
                <w:iCs/>
                <w:spacing w:val="-1"/>
                <w:w w:val="105"/>
              </w:rPr>
              <w:t>Civil Society Forum of Tonga &amp; Tonga National Leadership Forum</w:t>
            </w:r>
          </w:p>
        </w:tc>
        <w:tc>
          <w:tcPr>
            <w:tcW w:w="458" w:type="pct"/>
          </w:tcPr>
          <w:p w14:paraId="6AF50DCF" w14:textId="77777777" w:rsidR="00B72DCD" w:rsidRDefault="00B72DCD" w:rsidP="009D44E3">
            <w:pPr>
              <w:jc w:val="center"/>
              <w:cnfStyle w:val="000000100000" w:firstRow="0" w:lastRow="0" w:firstColumn="0" w:lastColumn="0" w:oddVBand="0" w:evenVBand="0" w:oddHBand="1" w:evenHBand="0" w:firstRowFirstColumn="0" w:firstRowLastColumn="0" w:lastRowFirstColumn="0" w:lastRowLastColumn="0"/>
              <w:rPr>
                <w:iCs/>
                <w:spacing w:val="-1"/>
                <w:w w:val="105"/>
              </w:rPr>
            </w:pPr>
          </w:p>
        </w:tc>
      </w:tr>
      <w:tr w:rsidR="00B72DCD" w14:paraId="3852DF98" w14:textId="77777777" w:rsidTr="009D44E3">
        <w:tc>
          <w:tcPr>
            <w:cnfStyle w:val="001000000000" w:firstRow="0" w:lastRow="0" w:firstColumn="1" w:lastColumn="0" w:oddVBand="0" w:evenVBand="0" w:oddHBand="0" w:evenHBand="0" w:firstRowFirstColumn="0" w:firstRowLastColumn="0" w:lastRowFirstColumn="0" w:lastRowLastColumn="0"/>
            <w:tcW w:w="187" w:type="pct"/>
          </w:tcPr>
          <w:p w14:paraId="16E194E5" w14:textId="77777777" w:rsidR="00B72DCD" w:rsidRPr="00AE0702" w:rsidRDefault="00B72DCD" w:rsidP="009D44E3">
            <w:pPr>
              <w:rPr>
                <w:b w:val="0"/>
                <w:iCs/>
                <w:spacing w:val="-1"/>
                <w:w w:val="105"/>
              </w:rPr>
            </w:pPr>
            <w:r>
              <w:rPr>
                <w:b w:val="0"/>
                <w:iCs/>
                <w:spacing w:val="-1"/>
                <w:w w:val="105"/>
              </w:rPr>
              <w:t>6</w:t>
            </w:r>
          </w:p>
        </w:tc>
        <w:tc>
          <w:tcPr>
            <w:tcW w:w="1123" w:type="pct"/>
          </w:tcPr>
          <w:p w14:paraId="6719D315" w14:textId="77777777" w:rsidR="00B72DCD" w:rsidRPr="00241895"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Pr>
                <w:iCs/>
                <w:spacing w:val="-1"/>
                <w:w w:val="105"/>
              </w:rPr>
              <w:t>Betty Blake</w:t>
            </w:r>
          </w:p>
        </w:tc>
        <w:tc>
          <w:tcPr>
            <w:tcW w:w="816" w:type="pct"/>
          </w:tcPr>
          <w:p w14:paraId="64C3A7D1" w14:textId="77777777" w:rsidR="00B72DCD" w:rsidRPr="00241895"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Pr>
                <w:iCs/>
                <w:spacing w:val="-1"/>
                <w:w w:val="105"/>
              </w:rPr>
              <w:t>Tonga</w:t>
            </w:r>
          </w:p>
        </w:tc>
        <w:tc>
          <w:tcPr>
            <w:tcW w:w="2415" w:type="pct"/>
          </w:tcPr>
          <w:p w14:paraId="4109D8F0" w14:textId="77777777" w:rsidR="00B72DCD" w:rsidRPr="00241895"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Pr>
                <w:iCs/>
                <w:spacing w:val="-1"/>
                <w:w w:val="105"/>
              </w:rPr>
              <w:t>Legal Literacy Project</w:t>
            </w:r>
          </w:p>
        </w:tc>
        <w:tc>
          <w:tcPr>
            <w:tcW w:w="458" w:type="pct"/>
          </w:tcPr>
          <w:p w14:paraId="31D44B20" w14:textId="77777777" w:rsidR="00B72DCD" w:rsidRDefault="00B72DCD" w:rsidP="009D44E3">
            <w:pPr>
              <w:jc w:val="center"/>
              <w:cnfStyle w:val="000000000000" w:firstRow="0" w:lastRow="0" w:firstColumn="0" w:lastColumn="0" w:oddVBand="0" w:evenVBand="0" w:oddHBand="0" w:evenHBand="0" w:firstRowFirstColumn="0" w:firstRowLastColumn="0" w:lastRowFirstColumn="0" w:lastRowLastColumn="0"/>
              <w:rPr>
                <w:iCs/>
                <w:spacing w:val="-1"/>
                <w:w w:val="105"/>
              </w:rPr>
            </w:pPr>
          </w:p>
        </w:tc>
      </w:tr>
      <w:tr w:rsidR="00B72DCD" w14:paraId="4B1A3DD4" w14:textId="77777777" w:rsidTr="009D4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 w:type="pct"/>
          </w:tcPr>
          <w:p w14:paraId="5E58A34F" w14:textId="77777777" w:rsidR="00B72DCD" w:rsidRPr="00AE0702" w:rsidRDefault="00B72DCD" w:rsidP="009D44E3">
            <w:pPr>
              <w:rPr>
                <w:b w:val="0"/>
                <w:iCs/>
                <w:spacing w:val="-1"/>
                <w:w w:val="105"/>
              </w:rPr>
            </w:pPr>
            <w:r>
              <w:rPr>
                <w:b w:val="0"/>
                <w:iCs/>
                <w:spacing w:val="-1"/>
                <w:w w:val="105"/>
              </w:rPr>
              <w:t>7</w:t>
            </w:r>
          </w:p>
        </w:tc>
        <w:tc>
          <w:tcPr>
            <w:tcW w:w="1123" w:type="pct"/>
          </w:tcPr>
          <w:p w14:paraId="097DE66B" w14:textId="77777777" w:rsidR="00B72DCD" w:rsidRPr="00241895"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Pr>
                <w:iCs/>
                <w:spacing w:val="-1"/>
                <w:w w:val="105"/>
              </w:rPr>
              <w:t>Hobart Alexander Va’ai</w:t>
            </w:r>
          </w:p>
        </w:tc>
        <w:tc>
          <w:tcPr>
            <w:tcW w:w="816" w:type="pct"/>
          </w:tcPr>
          <w:p w14:paraId="3DFD4CBF" w14:textId="77777777" w:rsidR="00B72DCD" w:rsidRPr="00241895"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Pr>
                <w:iCs/>
                <w:spacing w:val="-1"/>
                <w:w w:val="105"/>
              </w:rPr>
              <w:t>Samoa</w:t>
            </w:r>
          </w:p>
        </w:tc>
        <w:tc>
          <w:tcPr>
            <w:tcW w:w="2415" w:type="pct"/>
          </w:tcPr>
          <w:p w14:paraId="397605DE" w14:textId="77777777" w:rsidR="00B72DCD" w:rsidRPr="00241895"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Pr>
                <w:iCs/>
                <w:spacing w:val="-1"/>
                <w:w w:val="105"/>
              </w:rPr>
              <w:t>Samoa Chamber of Commerce</w:t>
            </w:r>
          </w:p>
        </w:tc>
        <w:tc>
          <w:tcPr>
            <w:tcW w:w="458" w:type="pct"/>
          </w:tcPr>
          <w:p w14:paraId="7FCBDE40" w14:textId="77777777" w:rsidR="00B72DCD" w:rsidRDefault="00B72DCD" w:rsidP="009D44E3">
            <w:pPr>
              <w:jc w:val="center"/>
              <w:cnfStyle w:val="000000100000" w:firstRow="0" w:lastRow="0" w:firstColumn="0" w:lastColumn="0" w:oddVBand="0" w:evenVBand="0" w:oddHBand="1" w:evenHBand="0" w:firstRowFirstColumn="0" w:firstRowLastColumn="0" w:lastRowFirstColumn="0" w:lastRowLastColumn="0"/>
              <w:rPr>
                <w:iCs/>
                <w:spacing w:val="-1"/>
                <w:w w:val="105"/>
              </w:rPr>
            </w:pPr>
          </w:p>
        </w:tc>
      </w:tr>
      <w:tr w:rsidR="00B72DCD" w14:paraId="0646531C" w14:textId="77777777" w:rsidTr="009D44E3">
        <w:tc>
          <w:tcPr>
            <w:cnfStyle w:val="001000000000" w:firstRow="0" w:lastRow="0" w:firstColumn="1" w:lastColumn="0" w:oddVBand="0" w:evenVBand="0" w:oddHBand="0" w:evenHBand="0" w:firstRowFirstColumn="0" w:firstRowLastColumn="0" w:lastRowFirstColumn="0" w:lastRowLastColumn="0"/>
            <w:tcW w:w="187" w:type="pct"/>
          </w:tcPr>
          <w:p w14:paraId="48C2BC2A" w14:textId="77777777" w:rsidR="00B72DCD" w:rsidRDefault="00B72DCD" w:rsidP="009D44E3">
            <w:pPr>
              <w:rPr>
                <w:b w:val="0"/>
                <w:iCs/>
                <w:spacing w:val="-1"/>
                <w:w w:val="105"/>
              </w:rPr>
            </w:pPr>
            <w:r>
              <w:rPr>
                <w:b w:val="0"/>
                <w:iCs/>
                <w:spacing w:val="-1"/>
                <w:w w:val="105"/>
              </w:rPr>
              <w:t>8</w:t>
            </w:r>
          </w:p>
        </w:tc>
        <w:tc>
          <w:tcPr>
            <w:tcW w:w="1123" w:type="pct"/>
          </w:tcPr>
          <w:p w14:paraId="71B98267" w14:textId="77777777" w:rsidR="00B72DCD"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Pr>
                <w:iCs/>
                <w:spacing w:val="-1"/>
                <w:w w:val="105"/>
              </w:rPr>
              <w:t>Beth Taliilagi Onesemo-Tuilaepa</w:t>
            </w:r>
          </w:p>
        </w:tc>
        <w:tc>
          <w:tcPr>
            <w:tcW w:w="816" w:type="pct"/>
          </w:tcPr>
          <w:p w14:paraId="74CC9FE0" w14:textId="77777777" w:rsidR="00B72DCD"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Pr>
                <w:iCs/>
                <w:spacing w:val="-1"/>
                <w:w w:val="105"/>
              </w:rPr>
              <w:t>Samoa</w:t>
            </w:r>
          </w:p>
        </w:tc>
        <w:tc>
          <w:tcPr>
            <w:tcW w:w="2415" w:type="pct"/>
          </w:tcPr>
          <w:p w14:paraId="691E5B52" w14:textId="77777777" w:rsidR="00B72DCD"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Pr>
                <w:iCs/>
                <w:spacing w:val="-1"/>
                <w:w w:val="105"/>
              </w:rPr>
              <w:t>Ministry of Women, Community and Social Development</w:t>
            </w:r>
          </w:p>
        </w:tc>
        <w:tc>
          <w:tcPr>
            <w:tcW w:w="458" w:type="pct"/>
          </w:tcPr>
          <w:p w14:paraId="4CA237DF" w14:textId="77777777" w:rsidR="00B72DCD" w:rsidRDefault="00B72DCD" w:rsidP="009D44E3">
            <w:pPr>
              <w:jc w:val="center"/>
              <w:cnfStyle w:val="000000000000" w:firstRow="0" w:lastRow="0" w:firstColumn="0" w:lastColumn="0" w:oddVBand="0" w:evenVBand="0" w:oddHBand="0" w:evenHBand="0" w:firstRowFirstColumn="0" w:firstRowLastColumn="0" w:lastRowFirstColumn="0" w:lastRowLastColumn="0"/>
              <w:rPr>
                <w:iCs/>
                <w:spacing w:val="-1"/>
                <w:w w:val="105"/>
              </w:rPr>
            </w:pPr>
          </w:p>
        </w:tc>
      </w:tr>
      <w:tr w:rsidR="00B72DCD" w14:paraId="50A74C3B" w14:textId="77777777" w:rsidTr="009D4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 w:type="pct"/>
          </w:tcPr>
          <w:p w14:paraId="52EF1EA1" w14:textId="77777777" w:rsidR="00B72DCD" w:rsidRPr="00AE0702" w:rsidRDefault="00B72DCD" w:rsidP="009D44E3">
            <w:pPr>
              <w:rPr>
                <w:b w:val="0"/>
                <w:iCs/>
                <w:spacing w:val="-1"/>
                <w:w w:val="105"/>
              </w:rPr>
            </w:pPr>
            <w:r>
              <w:rPr>
                <w:b w:val="0"/>
                <w:iCs/>
                <w:spacing w:val="-1"/>
                <w:w w:val="105"/>
              </w:rPr>
              <w:t>9</w:t>
            </w:r>
          </w:p>
        </w:tc>
        <w:tc>
          <w:tcPr>
            <w:tcW w:w="1123" w:type="pct"/>
          </w:tcPr>
          <w:p w14:paraId="3A76EEF0" w14:textId="77777777" w:rsidR="00B72DCD" w:rsidRPr="00241895"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Pr>
                <w:iCs/>
                <w:spacing w:val="-1"/>
                <w:w w:val="105"/>
              </w:rPr>
              <w:t>Tavita Amosa</w:t>
            </w:r>
          </w:p>
        </w:tc>
        <w:tc>
          <w:tcPr>
            <w:tcW w:w="816" w:type="pct"/>
          </w:tcPr>
          <w:p w14:paraId="7FB94EF7" w14:textId="77777777" w:rsidR="00B72DCD" w:rsidRPr="00241895"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Pr>
                <w:iCs/>
                <w:spacing w:val="-1"/>
                <w:w w:val="105"/>
              </w:rPr>
              <w:t>Samoa</w:t>
            </w:r>
          </w:p>
        </w:tc>
        <w:tc>
          <w:tcPr>
            <w:tcW w:w="2415" w:type="pct"/>
          </w:tcPr>
          <w:p w14:paraId="03175B83" w14:textId="77777777" w:rsidR="00B72DCD" w:rsidRPr="00241895"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Pr>
                <w:iCs/>
                <w:spacing w:val="-1"/>
                <w:w w:val="105"/>
              </w:rPr>
              <w:t>Samoa Cultural Centre</w:t>
            </w:r>
          </w:p>
        </w:tc>
        <w:tc>
          <w:tcPr>
            <w:tcW w:w="458" w:type="pct"/>
          </w:tcPr>
          <w:p w14:paraId="321E54C8" w14:textId="77777777" w:rsidR="00B72DCD" w:rsidRDefault="00B72DCD" w:rsidP="009D44E3">
            <w:pPr>
              <w:jc w:val="center"/>
              <w:cnfStyle w:val="000000100000" w:firstRow="0" w:lastRow="0" w:firstColumn="0" w:lastColumn="0" w:oddVBand="0" w:evenVBand="0" w:oddHBand="1" w:evenHBand="0" w:firstRowFirstColumn="0" w:firstRowLastColumn="0" w:lastRowFirstColumn="0" w:lastRowLastColumn="0"/>
              <w:rPr>
                <w:iCs/>
                <w:spacing w:val="-1"/>
                <w:w w:val="105"/>
              </w:rPr>
            </w:pPr>
          </w:p>
        </w:tc>
      </w:tr>
      <w:tr w:rsidR="00B72DCD" w14:paraId="1AF411C4" w14:textId="77777777" w:rsidTr="009D44E3">
        <w:tc>
          <w:tcPr>
            <w:cnfStyle w:val="001000000000" w:firstRow="0" w:lastRow="0" w:firstColumn="1" w:lastColumn="0" w:oddVBand="0" w:evenVBand="0" w:oddHBand="0" w:evenHBand="0" w:firstRowFirstColumn="0" w:firstRowLastColumn="0" w:lastRowFirstColumn="0" w:lastRowLastColumn="0"/>
            <w:tcW w:w="187" w:type="pct"/>
          </w:tcPr>
          <w:p w14:paraId="3D246088" w14:textId="77777777" w:rsidR="00B72DCD" w:rsidRPr="00AE0702" w:rsidRDefault="00B72DCD" w:rsidP="009D44E3">
            <w:pPr>
              <w:rPr>
                <w:b w:val="0"/>
                <w:iCs/>
                <w:spacing w:val="-1"/>
                <w:w w:val="105"/>
              </w:rPr>
            </w:pPr>
            <w:r>
              <w:rPr>
                <w:b w:val="0"/>
                <w:iCs/>
                <w:spacing w:val="-1"/>
                <w:w w:val="105"/>
              </w:rPr>
              <w:t>10</w:t>
            </w:r>
          </w:p>
        </w:tc>
        <w:tc>
          <w:tcPr>
            <w:tcW w:w="1123" w:type="pct"/>
          </w:tcPr>
          <w:p w14:paraId="379806DE" w14:textId="77777777" w:rsidR="00B72DCD" w:rsidRPr="00241895"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Pr>
                <w:iCs/>
                <w:spacing w:val="-1"/>
                <w:w w:val="105"/>
              </w:rPr>
              <w:t>Vincent Faaofo</w:t>
            </w:r>
          </w:p>
        </w:tc>
        <w:tc>
          <w:tcPr>
            <w:tcW w:w="816" w:type="pct"/>
          </w:tcPr>
          <w:p w14:paraId="5E4C34BC" w14:textId="77777777" w:rsidR="00B72DCD" w:rsidRPr="00241895"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Pr>
                <w:iCs/>
                <w:spacing w:val="-1"/>
                <w:w w:val="105"/>
              </w:rPr>
              <w:t xml:space="preserve">Samoa </w:t>
            </w:r>
          </w:p>
        </w:tc>
        <w:tc>
          <w:tcPr>
            <w:tcW w:w="2415" w:type="pct"/>
          </w:tcPr>
          <w:p w14:paraId="2C8FF214" w14:textId="77777777" w:rsidR="00B72DCD" w:rsidRPr="00241895"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Pr>
                <w:iCs/>
                <w:spacing w:val="-1"/>
                <w:w w:val="105"/>
              </w:rPr>
              <w:t>National Youth Council</w:t>
            </w:r>
          </w:p>
        </w:tc>
        <w:tc>
          <w:tcPr>
            <w:tcW w:w="458" w:type="pct"/>
          </w:tcPr>
          <w:p w14:paraId="2946C4AE" w14:textId="77777777" w:rsidR="00B72DCD" w:rsidRDefault="00B72DCD" w:rsidP="009D44E3">
            <w:pPr>
              <w:jc w:val="center"/>
              <w:cnfStyle w:val="000000000000" w:firstRow="0" w:lastRow="0" w:firstColumn="0" w:lastColumn="0" w:oddVBand="0" w:evenVBand="0" w:oddHBand="0" w:evenHBand="0" w:firstRowFirstColumn="0" w:firstRowLastColumn="0" w:lastRowFirstColumn="0" w:lastRowLastColumn="0"/>
              <w:rPr>
                <w:iCs/>
                <w:spacing w:val="-1"/>
                <w:w w:val="105"/>
              </w:rPr>
            </w:pPr>
          </w:p>
        </w:tc>
      </w:tr>
      <w:tr w:rsidR="00B72DCD" w14:paraId="1BBCB329" w14:textId="77777777" w:rsidTr="009D4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 w:type="pct"/>
          </w:tcPr>
          <w:p w14:paraId="205A5BC7" w14:textId="77777777" w:rsidR="00B72DCD" w:rsidRPr="001B1549" w:rsidRDefault="00B72DCD" w:rsidP="009D44E3">
            <w:pPr>
              <w:rPr>
                <w:b w:val="0"/>
                <w:iCs/>
                <w:spacing w:val="-1"/>
                <w:w w:val="105"/>
              </w:rPr>
            </w:pPr>
            <w:r>
              <w:rPr>
                <w:b w:val="0"/>
                <w:iCs/>
                <w:spacing w:val="-1"/>
                <w:w w:val="105"/>
              </w:rPr>
              <w:t>11</w:t>
            </w:r>
          </w:p>
        </w:tc>
        <w:tc>
          <w:tcPr>
            <w:tcW w:w="1123" w:type="pct"/>
          </w:tcPr>
          <w:p w14:paraId="457FB763" w14:textId="77777777" w:rsidR="00B72DCD" w:rsidRPr="00241895"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Pr>
                <w:iCs/>
                <w:spacing w:val="-1"/>
                <w:w w:val="105"/>
              </w:rPr>
              <w:t>Mathew Flinders Lemisio</w:t>
            </w:r>
          </w:p>
        </w:tc>
        <w:tc>
          <w:tcPr>
            <w:tcW w:w="816" w:type="pct"/>
          </w:tcPr>
          <w:p w14:paraId="4FAB1F7D" w14:textId="77777777" w:rsidR="00B72DCD" w:rsidRPr="00241895"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Pr>
                <w:iCs/>
                <w:spacing w:val="-1"/>
                <w:w w:val="105"/>
              </w:rPr>
              <w:t>Samoa</w:t>
            </w:r>
          </w:p>
        </w:tc>
        <w:tc>
          <w:tcPr>
            <w:tcW w:w="2415" w:type="pct"/>
          </w:tcPr>
          <w:p w14:paraId="72E3E608" w14:textId="77777777" w:rsidR="00B72DCD" w:rsidRPr="00241895"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Pr>
                <w:iCs/>
                <w:spacing w:val="-1"/>
                <w:w w:val="105"/>
              </w:rPr>
              <w:t>Electoral Commission</w:t>
            </w:r>
          </w:p>
        </w:tc>
        <w:tc>
          <w:tcPr>
            <w:tcW w:w="458" w:type="pct"/>
          </w:tcPr>
          <w:p w14:paraId="2BFCC921" w14:textId="77777777" w:rsidR="00B72DCD" w:rsidRDefault="00B72DCD" w:rsidP="009D44E3">
            <w:pPr>
              <w:jc w:val="center"/>
              <w:cnfStyle w:val="000000100000" w:firstRow="0" w:lastRow="0" w:firstColumn="0" w:lastColumn="0" w:oddVBand="0" w:evenVBand="0" w:oddHBand="1" w:evenHBand="0" w:firstRowFirstColumn="0" w:firstRowLastColumn="0" w:lastRowFirstColumn="0" w:lastRowLastColumn="0"/>
              <w:rPr>
                <w:iCs/>
                <w:spacing w:val="-1"/>
                <w:w w:val="105"/>
              </w:rPr>
            </w:pPr>
          </w:p>
        </w:tc>
      </w:tr>
      <w:tr w:rsidR="00B72DCD" w14:paraId="54FA6FC8" w14:textId="77777777" w:rsidTr="009D44E3">
        <w:tc>
          <w:tcPr>
            <w:cnfStyle w:val="001000000000" w:firstRow="0" w:lastRow="0" w:firstColumn="1" w:lastColumn="0" w:oddVBand="0" w:evenVBand="0" w:oddHBand="0" w:evenHBand="0" w:firstRowFirstColumn="0" w:firstRowLastColumn="0" w:lastRowFirstColumn="0" w:lastRowLastColumn="0"/>
            <w:tcW w:w="187" w:type="pct"/>
          </w:tcPr>
          <w:p w14:paraId="3131D9E7" w14:textId="77777777" w:rsidR="00B72DCD" w:rsidRPr="001B1549" w:rsidRDefault="00B72DCD" w:rsidP="009D44E3">
            <w:pPr>
              <w:rPr>
                <w:b w:val="0"/>
                <w:iCs/>
                <w:spacing w:val="-1"/>
                <w:w w:val="105"/>
              </w:rPr>
            </w:pPr>
            <w:r>
              <w:rPr>
                <w:b w:val="0"/>
                <w:iCs/>
                <w:spacing w:val="-1"/>
                <w:w w:val="105"/>
              </w:rPr>
              <w:t>12</w:t>
            </w:r>
          </w:p>
        </w:tc>
        <w:tc>
          <w:tcPr>
            <w:tcW w:w="1123" w:type="pct"/>
          </w:tcPr>
          <w:p w14:paraId="60813A9F" w14:textId="77777777" w:rsidR="00B72DCD" w:rsidRPr="00241895"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Pr>
                <w:iCs/>
                <w:spacing w:val="-1"/>
                <w:w w:val="105"/>
              </w:rPr>
              <w:t>Pione Tagoriko Boso-Lalao</w:t>
            </w:r>
          </w:p>
        </w:tc>
        <w:tc>
          <w:tcPr>
            <w:tcW w:w="816" w:type="pct"/>
          </w:tcPr>
          <w:p w14:paraId="58B2DF72" w14:textId="77777777" w:rsidR="00B72DCD" w:rsidRPr="00241895"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Pr>
                <w:iCs/>
                <w:spacing w:val="-1"/>
                <w:w w:val="105"/>
              </w:rPr>
              <w:t>Solomon Islands</w:t>
            </w:r>
          </w:p>
        </w:tc>
        <w:tc>
          <w:tcPr>
            <w:tcW w:w="2415" w:type="pct"/>
          </w:tcPr>
          <w:p w14:paraId="6132F1A7" w14:textId="77777777" w:rsidR="00B72DCD" w:rsidRPr="00241895"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Pr>
                <w:iCs/>
                <w:spacing w:val="-1"/>
                <w:w w:val="105"/>
              </w:rPr>
              <w:t>Women’s Rights Action Movement</w:t>
            </w:r>
          </w:p>
        </w:tc>
        <w:tc>
          <w:tcPr>
            <w:tcW w:w="458" w:type="pct"/>
          </w:tcPr>
          <w:p w14:paraId="7A6D7A51" w14:textId="77777777" w:rsidR="00B72DCD" w:rsidRDefault="00B72DCD" w:rsidP="009D44E3">
            <w:pPr>
              <w:jc w:val="center"/>
              <w:cnfStyle w:val="000000000000" w:firstRow="0" w:lastRow="0" w:firstColumn="0" w:lastColumn="0" w:oddVBand="0" w:evenVBand="0" w:oddHBand="0" w:evenHBand="0" w:firstRowFirstColumn="0" w:firstRowLastColumn="0" w:lastRowFirstColumn="0" w:lastRowLastColumn="0"/>
              <w:rPr>
                <w:iCs/>
                <w:spacing w:val="-1"/>
                <w:w w:val="105"/>
              </w:rPr>
            </w:pPr>
          </w:p>
        </w:tc>
      </w:tr>
      <w:tr w:rsidR="00B72DCD" w14:paraId="28940BD4" w14:textId="77777777" w:rsidTr="009D4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 w:type="pct"/>
          </w:tcPr>
          <w:p w14:paraId="269F3D53" w14:textId="77777777" w:rsidR="00B72DCD" w:rsidRPr="001B1549" w:rsidRDefault="00B72DCD" w:rsidP="009D44E3">
            <w:pPr>
              <w:rPr>
                <w:b w:val="0"/>
                <w:iCs/>
                <w:spacing w:val="-1"/>
                <w:w w:val="105"/>
              </w:rPr>
            </w:pPr>
            <w:r>
              <w:rPr>
                <w:b w:val="0"/>
                <w:iCs/>
                <w:spacing w:val="-1"/>
                <w:w w:val="105"/>
              </w:rPr>
              <w:t>13</w:t>
            </w:r>
          </w:p>
        </w:tc>
        <w:tc>
          <w:tcPr>
            <w:tcW w:w="1123" w:type="pct"/>
          </w:tcPr>
          <w:p w14:paraId="460061AF" w14:textId="77777777" w:rsidR="00B72DCD" w:rsidRPr="00241895"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Pr>
                <w:iCs/>
                <w:spacing w:val="-1"/>
                <w:w w:val="105"/>
              </w:rPr>
              <w:t>Barbara Miriam Unusu</w:t>
            </w:r>
          </w:p>
        </w:tc>
        <w:tc>
          <w:tcPr>
            <w:tcW w:w="816" w:type="pct"/>
          </w:tcPr>
          <w:p w14:paraId="17B049D3" w14:textId="77777777" w:rsidR="00B72DCD" w:rsidRPr="00241895"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Pr>
                <w:iCs/>
                <w:spacing w:val="-1"/>
                <w:w w:val="105"/>
              </w:rPr>
              <w:t>Solomon Islands</w:t>
            </w:r>
          </w:p>
        </w:tc>
        <w:tc>
          <w:tcPr>
            <w:tcW w:w="2415" w:type="pct"/>
          </w:tcPr>
          <w:p w14:paraId="610CCF8F" w14:textId="77777777" w:rsidR="00B72DCD" w:rsidRPr="00241895"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Pr>
                <w:iCs/>
                <w:spacing w:val="-1"/>
                <w:w w:val="105"/>
              </w:rPr>
              <w:t>Marovo Women’s Association</w:t>
            </w:r>
          </w:p>
        </w:tc>
        <w:tc>
          <w:tcPr>
            <w:tcW w:w="458" w:type="pct"/>
          </w:tcPr>
          <w:p w14:paraId="43838BB9" w14:textId="77777777" w:rsidR="00B72DCD" w:rsidRDefault="00B72DCD" w:rsidP="009D44E3">
            <w:pPr>
              <w:jc w:val="center"/>
              <w:cnfStyle w:val="000000100000" w:firstRow="0" w:lastRow="0" w:firstColumn="0" w:lastColumn="0" w:oddVBand="0" w:evenVBand="0" w:oddHBand="1" w:evenHBand="0" w:firstRowFirstColumn="0" w:firstRowLastColumn="0" w:lastRowFirstColumn="0" w:lastRowLastColumn="0"/>
              <w:rPr>
                <w:iCs/>
                <w:spacing w:val="-1"/>
                <w:w w:val="105"/>
              </w:rPr>
            </w:pPr>
          </w:p>
        </w:tc>
      </w:tr>
      <w:tr w:rsidR="00B72DCD" w14:paraId="67BAA87C" w14:textId="77777777" w:rsidTr="009D44E3">
        <w:tc>
          <w:tcPr>
            <w:cnfStyle w:val="001000000000" w:firstRow="0" w:lastRow="0" w:firstColumn="1" w:lastColumn="0" w:oddVBand="0" w:evenVBand="0" w:oddHBand="0" w:evenHBand="0" w:firstRowFirstColumn="0" w:firstRowLastColumn="0" w:lastRowFirstColumn="0" w:lastRowLastColumn="0"/>
            <w:tcW w:w="187" w:type="pct"/>
          </w:tcPr>
          <w:p w14:paraId="529692C4" w14:textId="77777777" w:rsidR="00B72DCD" w:rsidRDefault="00B72DCD" w:rsidP="009D44E3">
            <w:pPr>
              <w:rPr>
                <w:b w:val="0"/>
                <w:iCs/>
                <w:spacing w:val="-1"/>
                <w:w w:val="105"/>
              </w:rPr>
            </w:pPr>
            <w:r>
              <w:rPr>
                <w:b w:val="0"/>
                <w:iCs/>
                <w:spacing w:val="-1"/>
                <w:w w:val="105"/>
              </w:rPr>
              <w:t>14</w:t>
            </w:r>
          </w:p>
        </w:tc>
        <w:tc>
          <w:tcPr>
            <w:tcW w:w="1123" w:type="pct"/>
          </w:tcPr>
          <w:p w14:paraId="75893F5E" w14:textId="77777777" w:rsidR="00B72DCD"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Pr>
                <w:iCs/>
                <w:spacing w:val="-1"/>
                <w:w w:val="105"/>
              </w:rPr>
              <w:t>Pauline Joslyn Soaki</w:t>
            </w:r>
          </w:p>
        </w:tc>
        <w:tc>
          <w:tcPr>
            <w:tcW w:w="816" w:type="pct"/>
          </w:tcPr>
          <w:p w14:paraId="2D50F502" w14:textId="77777777" w:rsidR="00B72DCD"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Pr>
                <w:iCs/>
                <w:spacing w:val="-1"/>
                <w:w w:val="105"/>
              </w:rPr>
              <w:t>Solomon Islands</w:t>
            </w:r>
          </w:p>
        </w:tc>
        <w:tc>
          <w:tcPr>
            <w:tcW w:w="2415" w:type="pct"/>
          </w:tcPr>
          <w:p w14:paraId="15D40AF2" w14:textId="77777777" w:rsidR="00B72DCD"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Pr>
                <w:iCs/>
                <w:spacing w:val="-1"/>
                <w:w w:val="105"/>
              </w:rPr>
              <w:t xml:space="preserve"> Ministry of Women, Youth, Children &amp; Family Affairs</w:t>
            </w:r>
          </w:p>
        </w:tc>
        <w:tc>
          <w:tcPr>
            <w:tcW w:w="458" w:type="pct"/>
          </w:tcPr>
          <w:p w14:paraId="02B4A8C1" w14:textId="77777777" w:rsidR="00B72DCD" w:rsidRDefault="00B72DCD" w:rsidP="009D44E3">
            <w:pPr>
              <w:jc w:val="center"/>
              <w:cnfStyle w:val="000000000000" w:firstRow="0" w:lastRow="0" w:firstColumn="0" w:lastColumn="0" w:oddVBand="0" w:evenVBand="0" w:oddHBand="0" w:evenHBand="0" w:firstRowFirstColumn="0" w:firstRowLastColumn="0" w:lastRowFirstColumn="0" w:lastRowLastColumn="0"/>
              <w:rPr>
                <w:iCs/>
                <w:spacing w:val="-1"/>
                <w:w w:val="105"/>
              </w:rPr>
            </w:pPr>
          </w:p>
        </w:tc>
      </w:tr>
      <w:tr w:rsidR="00B72DCD" w14:paraId="12865E21" w14:textId="77777777" w:rsidTr="009D4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 w:type="pct"/>
          </w:tcPr>
          <w:p w14:paraId="7EDE9BF9" w14:textId="77777777" w:rsidR="00B72DCD" w:rsidRPr="001B1549" w:rsidRDefault="00B72DCD" w:rsidP="009D44E3">
            <w:pPr>
              <w:rPr>
                <w:b w:val="0"/>
                <w:iCs/>
                <w:spacing w:val="-1"/>
                <w:w w:val="105"/>
              </w:rPr>
            </w:pPr>
            <w:r>
              <w:rPr>
                <w:b w:val="0"/>
                <w:iCs/>
                <w:spacing w:val="-1"/>
                <w:w w:val="105"/>
              </w:rPr>
              <w:t>15</w:t>
            </w:r>
          </w:p>
        </w:tc>
        <w:tc>
          <w:tcPr>
            <w:tcW w:w="1123" w:type="pct"/>
          </w:tcPr>
          <w:p w14:paraId="3D12AB20" w14:textId="77777777" w:rsidR="00B72DCD" w:rsidRPr="00241895"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Pr>
                <w:iCs/>
                <w:spacing w:val="-1"/>
                <w:w w:val="105"/>
              </w:rPr>
              <w:t>Naomi Tai</w:t>
            </w:r>
          </w:p>
        </w:tc>
        <w:tc>
          <w:tcPr>
            <w:tcW w:w="816" w:type="pct"/>
          </w:tcPr>
          <w:p w14:paraId="103BB448" w14:textId="77777777" w:rsidR="00B72DCD" w:rsidRPr="00241895"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Pr>
                <w:iCs/>
                <w:spacing w:val="-1"/>
                <w:w w:val="105"/>
              </w:rPr>
              <w:t>Solomon Islands</w:t>
            </w:r>
          </w:p>
        </w:tc>
        <w:tc>
          <w:tcPr>
            <w:tcW w:w="2415" w:type="pct"/>
          </w:tcPr>
          <w:p w14:paraId="5D7FF6D6" w14:textId="77777777" w:rsidR="00B72DCD" w:rsidRPr="00241895"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Pr>
                <w:iCs/>
                <w:spacing w:val="-1"/>
                <w:w w:val="105"/>
              </w:rPr>
              <w:t>People with Disabilities</w:t>
            </w:r>
          </w:p>
        </w:tc>
        <w:tc>
          <w:tcPr>
            <w:tcW w:w="458" w:type="pct"/>
          </w:tcPr>
          <w:p w14:paraId="112D50ED" w14:textId="77777777" w:rsidR="00B72DCD" w:rsidRDefault="00B72DCD" w:rsidP="009D44E3">
            <w:pPr>
              <w:jc w:val="center"/>
              <w:cnfStyle w:val="000000100000" w:firstRow="0" w:lastRow="0" w:firstColumn="0" w:lastColumn="0" w:oddVBand="0" w:evenVBand="0" w:oddHBand="1" w:evenHBand="0" w:firstRowFirstColumn="0" w:firstRowLastColumn="0" w:lastRowFirstColumn="0" w:lastRowLastColumn="0"/>
              <w:rPr>
                <w:iCs/>
                <w:spacing w:val="-1"/>
                <w:w w:val="105"/>
              </w:rPr>
            </w:pPr>
          </w:p>
        </w:tc>
      </w:tr>
      <w:tr w:rsidR="00B72DCD" w:rsidRPr="009938FB" w14:paraId="0E22CDFD" w14:textId="77777777" w:rsidTr="009D44E3">
        <w:tc>
          <w:tcPr>
            <w:cnfStyle w:val="001000000000" w:firstRow="0" w:lastRow="0" w:firstColumn="1" w:lastColumn="0" w:oddVBand="0" w:evenVBand="0" w:oddHBand="0" w:evenHBand="0" w:firstRowFirstColumn="0" w:firstRowLastColumn="0" w:lastRowFirstColumn="0" w:lastRowLastColumn="0"/>
            <w:tcW w:w="187" w:type="pct"/>
          </w:tcPr>
          <w:p w14:paraId="47D5DD26" w14:textId="77777777" w:rsidR="00B72DCD" w:rsidRPr="009938FB" w:rsidRDefault="00B72DCD" w:rsidP="009D44E3">
            <w:pPr>
              <w:rPr>
                <w:b w:val="0"/>
                <w:iCs/>
                <w:spacing w:val="-1"/>
                <w:w w:val="105"/>
              </w:rPr>
            </w:pPr>
            <w:r w:rsidRPr="009938FB">
              <w:rPr>
                <w:b w:val="0"/>
                <w:iCs/>
                <w:spacing w:val="-1"/>
                <w:w w:val="105"/>
              </w:rPr>
              <w:t>16</w:t>
            </w:r>
          </w:p>
        </w:tc>
        <w:tc>
          <w:tcPr>
            <w:tcW w:w="1123" w:type="pct"/>
          </w:tcPr>
          <w:p w14:paraId="7291C761" w14:textId="77777777" w:rsidR="00B72DCD" w:rsidRPr="009938FB"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9938FB">
              <w:rPr>
                <w:iCs/>
                <w:spacing w:val="-1"/>
                <w:w w:val="105"/>
              </w:rPr>
              <w:t>Juna Kathy Leikona</w:t>
            </w:r>
          </w:p>
        </w:tc>
        <w:tc>
          <w:tcPr>
            <w:tcW w:w="816" w:type="pct"/>
          </w:tcPr>
          <w:p w14:paraId="5D9AC681" w14:textId="77777777" w:rsidR="00B72DCD" w:rsidRPr="009938FB"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9938FB">
              <w:rPr>
                <w:iCs/>
                <w:spacing w:val="-1"/>
                <w:w w:val="105"/>
              </w:rPr>
              <w:t>Solomon Islands</w:t>
            </w:r>
          </w:p>
        </w:tc>
        <w:tc>
          <w:tcPr>
            <w:tcW w:w="2415" w:type="pct"/>
          </w:tcPr>
          <w:p w14:paraId="15BE1CDB" w14:textId="77777777" w:rsidR="00B72DCD" w:rsidRPr="009938FB"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9938FB">
              <w:rPr>
                <w:iCs/>
                <w:spacing w:val="-1"/>
                <w:w w:val="105"/>
              </w:rPr>
              <w:t>Self Help Group, Temotu</w:t>
            </w:r>
          </w:p>
        </w:tc>
        <w:tc>
          <w:tcPr>
            <w:tcW w:w="458" w:type="pct"/>
          </w:tcPr>
          <w:p w14:paraId="3965B6CE" w14:textId="77777777" w:rsidR="00B72DCD" w:rsidRPr="009938FB" w:rsidRDefault="00B72DCD" w:rsidP="009D44E3">
            <w:pPr>
              <w:jc w:val="center"/>
              <w:cnfStyle w:val="000000000000" w:firstRow="0" w:lastRow="0" w:firstColumn="0" w:lastColumn="0" w:oddVBand="0" w:evenVBand="0" w:oddHBand="0" w:evenHBand="0" w:firstRowFirstColumn="0" w:firstRowLastColumn="0" w:lastRowFirstColumn="0" w:lastRowLastColumn="0"/>
              <w:rPr>
                <w:iCs/>
                <w:spacing w:val="-1"/>
                <w:w w:val="105"/>
              </w:rPr>
            </w:pPr>
          </w:p>
        </w:tc>
      </w:tr>
      <w:tr w:rsidR="00B72DCD" w:rsidRPr="009938FB" w14:paraId="7A207D38" w14:textId="77777777" w:rsidTr="009D4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 w:type="pct"/>
          </w:tcPr>
          <w:p w14:paraId="68450B85" w14:textId="77777777" w:rsidR="00B72DCD" w:rsidRPr="009938FB" w:rsidRDefault="00B72DCD" w:rsidP="009D44E3">
            <w:pPr>
              <w:rPr>
                <w:b w:val="0"/>
                <w:iCs/>
                <w:spacing w:val="-1"/>
                <w:w w:val="105"/>
              </w:rPr>
            </w:pPr>
            <w:r w:rsidRPr="009938FB">
              <w:rPr>
                <w:b w:val="0"/>
                <w:iCs/>
                <w:spacing w:val="-1"/>
                <w:w w:val="105"/>
              </w:rPr>
              <w:t>17</w:t>
            </w:r>
          </w:p>
        </w:tc>
        <w:tc>
          <w:tcPr>
            <w:tcW w:w="1123" w:type="pct"/>
          </w:tcPr>
          <w:p w14:paraId="3BD7D864" w14:textId="77777777" w:rsidR="00B72DCD" w:rsidRPr="009938FB"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9938FB">
              <w:rPr>
                <w:iCs/>
                <w:spacing w:val="-1"/>
                <w:w w:val="105"/>
              </w:rPr>
              <w:t>Shadrach Shubu Timothy</w:t>
            </w:r>
          </w:p>
        </w:tc>
        <w:tc>
          <w:tcPr>
            <w:tcW w:w="816" w:type="pct"/>
          </w:tcPr>
          <w:p w14:paraId="62953D75" w14:textId="77777777" w:rsidR="00B72DCD" w:rsidRPr="009938FB"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9938FB">
              <w:rPr>
                <w:iCs/>
                <w:spacing w:val="-1"/>
                <w:w w:val="105"/>
              </w:rPr>
              <w:t>Solomon Islands</w:t>
            </w:r>
          </w:p>
        </w:tc>
        <w:tc>
          <w:tcPr>
            <w:tcW w:w="2415" w:type="pct"/>
          </w:tcPr>
          <w:p w14:paraId="12639623" w14:textId="77777777" w:rsidR="00B72DCD" w:rsidRPr="009938FB"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9938FB">
              <w:rPr>
                <w:iCs/>
                <w:spacing w:val="-1"/>
                <w:w w:val="105"/>
              </w:rPr>
              <w:t>People with Disabilities Solomon Islands</w:t>
            </w:r>
          </w:p>
        </w:tc>
        <w:tc>
          <w:tcPr>
            <w:tcW w:w="458" w:type="pct"/>
          </w:tcPr>
          <w:p w14:paraId="11836E05" w14:textId="77777777" w:rsidR="00B72DCD" w:rsidRPr="009938FB" w:rsidRDefault="00B72DCD" w:rsidP="009D44E3">
            <w:pPr>
              <w:jc w:val="center"/>
              <w:cnfStyle w:val="000000100000" w:firstRow="0" w:lastRow="0" w:firstColumn="0" w:lastColumn="0" w:oddVBand="0" w:evenVBand="0" w:oddHBand="1" w:evenHBand="0" w:firstRowFirstColumn="0" w:firstRowLastColumn="0" w:lastRowFirstColumn="0" w:lastRowLastColumn="0"/>
              <w:rPr>
                <w:iCs/>
                <w:spacing w:val="-1"/>
                <w:w w:val="105"/>
              </w:rPr>
            </w:pPr>
          </w:p>
        </w:tc>
      </w:tr>
      <w:tr w:rsidR="00B72DCD" w:rsidRPr="009938FB" w14:paraId="4A10E9A8" w14:textId="77777777" w:rsidTr="009D44E3">
        <w:tc>
          <w:tcPr>
            <w:cnfStyle w:val="001000000000" w:firstRow="0" w:lastRow="0" w:firstColumn="1" w:lastColumn="0" w:oddVBand="0" w:evenVBand="0" w:oddHBand="0" w:evenHBand="0" w:firstRowFirstColumn="0" w:firstRowLastColumn="0" w:lastRowFirstColumn="0" w:lastRowLastColumn="0"/>
            <w:tcW w:w="187" w:type="pct"/>
          </w:tcPr>
          <w:p w14:paraId="4B70D184" w14:textId="77777777" w:rsidR="00B72DCD" w:rsidRPr="009938FB" w:rsidRDefault="00B72DCD" w:rsidP="009D44E3">
            <w:pPr>
              <w:rPr>
                <w:b w:val="0"/>
                <w:iCs/>
                <w:spacing w:val="-1"/>
                <w:w w:val="105"/>
              </w:rPr>
            </w:pPr>
            <w:r w:rsidRPr="009938FB">
              <w:rPr>
                <w:b w:val="0"/>
                <w:iCs/>
                <w:spacing w:val="-1"/>
                <w:w w:val="105"/>
              </w:rPr>
              <w:t>18</w:t>
            </w:r>
          </w:p>
        </w:tc>
        <w:tc>
          <w:tcPr>
            <w:tcW w:w="1123" w:type="pct"/>
          </w:tcPr>
          <w:p w14:paraId="42229EAD" w14:textId="77777777" w:rsidR="00B72DCD" w:rsidRPr="009938FB"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9938FB">
              <w:rPr>
                <w:iCs/>
                <w:spacing w:val="-1"/>
                <w:w w:val="105"/>
              </w:rPr>
              <w:t>Matakina Simii</w:t>
            </w:r>
          </w:p>
        </w:tc>
        <w:tc>
          <w:tcPr>
            <w:tcW w:w="816" w:type="pct"/>
          </w:tcPr>
          <w:p w14:paraId="452E3800" w14:textId="77777777" w:rsidR="00B72DCD" w:rsidRPr="009938FB"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9938FB">
              <w:rPr>
                <w:iCs/>
                <w:spacing w:val="-1"/>
                <w:w w:val="105"/>
              </w:rPr>
              <w:t>Tuvalu</w:t>
            </w:r>
          </w:p>
        </w:tc>
        <w:tc>
          <w:tcPr>
            <w:tcW w:w="2415" w:type="pct"/>
          </w:tcPr>
          <w:p w14:paraId="19273A15" w14:textId="77777777" w:rsidR="00B72DCD" w:rsidRPr="009938FB"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9938FB">
              <w:rPr>
                <w:iCs/>
                <w:spacing w:val="-1"/>
                <w:w w:val="105"/>
              </w:rPr>
              <w:t>Disabled Persons Organisation</w:t>
            </w:r>
          </w:p>
        </w:tc>
        <w:tc>
          <w:tcPr>
            <w:tcW w:w="458" w:type="pct"/>
          </w:tcPr>
          <w:p w14:paraId="10EC088E" w14:textId="77777777" w:rsidR="00B72DCD" w:rsidRPr="009938FB" w:rsidRDefault="00B72DCD" w:rsidP="009D44E3">
            <w:pPr>
              <w:jc w:val="center"/>
              <w:cnfStyle w:val="000000000000" w:firstRow="0" w:lastRow="0" w:firstColumn="0" w:lastColumn="0" w:oddVBand="0" w:evenVBand="0" w:oddHBand="0" w:evenHBand="0" w:firstRowFirstColumn="0" w:firstRowLastColumn="0" w:lastRowFirstColumn="0" w:lastRowLastColumn="0"/>
              <w:rPr>
                <w:iCs/>
                <w:spacing w:val="-1"/>
                <w:w w:val="105"/>
              </w:rPr>
            </w:pPr>
          </w:p>
        </w:tc>
      </w:tr>
      <w:tr w:rsidR="00B72DCD" w:rsidRPr="009938FB" w14:paraId="26685968" w14:textId="77777777" w:rsidTr="009D4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 w:type="pct"/>
          </w:tcPr>
          <w:p w14:paraId="05E0A31C" w14:textId="77777777" w:rsidR="00B72DCD" w:rsidRPr="009938FB" w:rsidRDefault="00B72DCD" w:rsidP="009D44E3">
            <w:pPr>
              <w:rPr>
                <w:b w:val="0"/>
                <w:iCs/>
                <w:spacing w:val="-1"/>
                <w:w w:val="105"/>
              </w:rPr>
            </w:pPr>
            <w:r w:rsidRPr="009938FB">
              <w:rPr>
                <w:b w:val="0"/>
                <w:iCs/>
                <w:spacing w:val="-1"/>
                <w:w w:val="105"/>
              </w:rPr>
              <w:t>19</w:t>
            </w:r>
          </w:p>
        </w:tc>
        <w:tc>
          <w:tcPr>
            <w:tcW w:w="1123" w:type="pct"/>
          </w:tcPr>
          <w:p w14:paraId="15DE0AD1" w14:textId="77777777" w:rsidR="00B72DCD" w:rsidRPr="009938FB"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9938FB">
              <w:rPr>
                <w:iCs/>
                <w:spacing w:val="-1"/>
                <w:w w:val="105"/>
              </w:rPr>
              <w:t>Iuni Penitusi</w:t>
            </w:r>
          </w:p>
        </w:tc>
        <w:tc>
          <w:tcPr>
            <w:tcW w:w="816" w:type="pct"/>
          </w:tcPr>
          <w:p w14:paraId="0251BCC3" w14:textId="77777777" w:rsidR="00B72DCD" w:rsidRPr="009938FB"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9938FB">
              <w:rPr>
                <w:iCs/>
                <w:spacing w:val="-1"/>
                <w:w w:val="105"/>
              </w:rPr>
              <w:t>Tuvalu</w:t>
            </w:r>
          </w:p>
        </w:tc>
        <w:tc>
          <w:tcPr>
            <w:tcW w:w="2415" w:type="pct"/>
          </w:tcPr>
          <w:p w14:paraId="14C3273C" w14:textId="77777777" w:rsidR="00B72DCD" w:rsidRPr="009938FB"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9938FB">
              <w:rPr>
                <w:iCs/>
                <w:spacing w:val="-1"/>
                <w:w w:val="105"/>
              </w:rPr>
              <w:t xml:space="preserve">Police </w:t>
            </w:r>
          </w:p>
        </w:tc>
        <w:tc>
          <w:tcPr>
            <w:tcW w:w="458" w:type="pct"/>
          </w:tcPr>
          <w:p w14:paraId="1DC4EA97" w14:textId="77777777" w:rsidR="00B72DCD" w:rsidRPr="009938FB" w:rsidRDefault="00B72DCD" w:rsidP="009D44E3">
            <w:pPr>
              <w:jc w:val="center"/>
              <w:cnfStyle w:val="000000100000" w:firstRow="0" w:lastRow="0" w:firstColumn="0" w:lastColumn="0" w:oddVBand="0" w:evenVBand="0" w:oddHBand="1" w:evenHBand="0" w:firstRowFirstColumn="0" w:firstRowLastColumn="0" w:lastRowFirstColumn="0" w:lastRowLastColumn="0"/>
              <w:rPr>
                <w:iCs/>
                <w:spacing w:val="-1"/>
                <w:w w:val="105"/>
              </w:rPr>
            </w:pPr>
          </w:p>
        </w:tc>
      </w:tr>
      <w:tr w:rsidR="00B72DCD" w:rsidRPr="009938FB" w14:paraId="7EA44CF3" w14:textId="77777777" w:rsidTr="009D44E3">
        <w:tc>
          <w:tcPr>
            <w:cnfStyle w:val="001000000000" w:firstRow="0" w:lastRow="0" w:firstColumn="1" w:lastColumn="0" w:oddVBand="0" w:evenVBand="0" w:oddHBand="0" w:evenHBand="0" w:firstRowFirstColumn="0" w:firstRowLastColumn="0" w:lastRowFirstColumn="0" w:lastRowLastColumn="0"/>
            <w:tcW w:w="187" w:type="pct"/>
          </w:tcPr>
          <w:p w14:paraId="0C3AA740" w14:textId="77777777" w:rsidR="00B72DCD" w:rsidRPr="009938FB" w:rsidRDefault="00B72DCD" w:rsidP="009D44E3">
            <w:pPr>
              <w:rPr>
                <w:b w:val="0"/>
                <w:iCs/>
                <w:color w:val="000000" w:themeColor="text1"/>
                <w:spacing w:val="-1"/>
                <w:w w:val="105"/>
              </w:rPr>
            </w:pPr>
            <w:bookmarkStart w:id="62" w:name="_Hlk484290604"/>
            <w:r w:rsidRPr="009938FB">
              <w:rPr>
                <w:b w:val="0"/>
                <w:iCs/>
                <w:color w:val="000000" w:themeColor="text1"/>
                <w:spacing w:val="-1"/>
                <w:w w:val="105"/>
              </w:rPr>
              <w:t>20</w:t>
            </w:r>
          </w:p>
        </w:tc>
        <w:tc>
          <w:tcPr>
            <w:tcW w:w="1123" w:type="pct"/>
          </w:tcPr>
          <w:p w14:paraId="412F0C21" w14:textId="77777777" w:rsidR="00B72DCD" w:rsidRPr="009938FB" w:rsidRDefault="00B72DCD" w:rsidP="009D44E3">
            <w:pPr>
              <w:cnfStyle w:val="000000000000" w:firstRow="0" w:lastRow="0" w:firstColumn="0" w:lastColumn="0" w:oddVBand="0" w:evenVBand="0" w:oddHBand="0" w:evenHBand="0" w:firstRowFirstColumn="0" w:firstRowLastColumn="0" w:lastRowFirstColumn="0" w:lastRowLastColumn="0"/>
              <w:rPr>
                <w:iCs/>
                <w:color w:val="000000" w:themeColor="text1"/>
                <w:spacing w:val="-1"/>
                <w:w w:val="105"/>
              </w:rPr>
            </w:pPr>
            <w:r w:rsidRPr="009938FB">
              <w:rPr>
                <w:iCs/>
                <w:color w:val="000000" w:themeColor="text1"/>
                <w:spacing w:val="-1"/>
                <w:w w:val="105"/>
              </w:rPr>
              <w:t>Lako Veikauyaki Ogotia</w:t>
            </w:r>
          </w:p>
        </w:tc>
        <w:tc>
          <w:tcPr>
            <w:tcW w:w="816" w:type="pct"/>
          </w:tcPr>
          <w:p w14:paraId="44F12B93" w14:textId="77777777" w:rsidR="00B72DCD" w:rsidRPr="009938FB" w:rsidRDefault="00B72DCD" w:rsidP="009D44E3">
            <w:pPr>
              <w:cnfStyle w:val="000000000000" w:firstRow="0" w:lastRow="0" w:firstColumn="0" w:lastColumn="0" w:oddVBand="0" w:evenVBand="0" w:oddHBand="0" w:evenHBand="0" w:firstRowFirstColumn="0" w:firstRowLastColumn="0" w:lastRowFirstColumn="0" w:lastRowLastColumn="0"/>
              <w:rPr>
                <w:iCs/>
                <w:color w:val="000000" w:themeColor="text1"/>
                <w:spacing w:val="-1"/>
                <w:w w:val="105"/>
              </w:rPr>
            </w:pPr>
            <w:r w:rsidRPr="009938FB">
              <w:rPr>
                <w:iCs/>
                <w:color w:val="000000" w:themeColor="text1"/>
                <w:spacing w:val="-1"/>
                <w:w w:val="105"/>
              </w:rPr>
              <w:t>Fiji</w:t>
            </w:r>
          </w:p>
        </w:tc>
        <w:tc>
          <w:tcPr>
            <w:tcW w:w="2415" w:type="pct"/>
          </w:tcPr>
          <w:p w14:paraId="73217B38" w14:textId="77777777" w:rsidR="00B72DCD" w:rsidRPr="009938FB" w:rsidRDefault="00B72DCD" w:rsidP="009D44E3">
            <w:pPr>
              <w:cnfStyle w:val="000000000000" w:firstRow="0" w:lastRow="0" w:firstColumn="0" w:lastColumn="0" w:oddVBand="0" w:evenVBand="0" w:oddHBand="0" w:evenHBand="0" w:firstRowFirstColumn="0" w:firstRowLastColumn="0" w:lastRowFirstColumn="0" w:lastRowLastColumn="0"/>
              <w:rPr>
                <w:iCs/>
                <w:color w:val="000000" w:themeColor="text1"/>
                <w:spacing w:val="-1"/>
                <w:w w:val="105"/>
              </w:rPr>
            </w:pPr>
            <w:r w:rsidRPr="009938FB">
              <w:rPr>
                <w:iCs/>
                <w:color w:val="000000" w:themeColor="text1"/>
                <w:spacing w:val="-1"/>
                <w:w w:val="105"/>
              </w:rPr>
              <w:t>Market Venders Association</w:t>
            </w:r>
          </w:p>
        </w:tc>
        <w:tc>
          <w:tcPr>
            <w:tcW w:w="458" w:type="pct"/>
          </w:tcPr>
          <w:p w14:paraId="668104DC" w14:textId="77777777" w:rsidR="00B72DCD" w:rsidRPr="009938FB" w:rsidRDefault="00B72DCD" w:rsidP="009D44E3">
            <w:pPr>
              <w:jc w:val="center"/>
              <w:cnfStyle w:val="000000000000" w:firstRow="0" w:lastRow="0" w:firstColumn="0" w:lastColumn="0" w:oddVBand="0" w:evenVBand="0" w:oddHBand="0" w:evenHBand="0" w:firstRowFirstColumn="0" w:firstRowLastColumn="0" w:lastRowFirstColumn="0" w:lastRowLastColumn="0"/>
              <w:rPr>
                <w:iCs/>
                <w:color w:val="000000" w:themeColor="text1"/>
                <w:spacing w:val="-1"/>
                <w:w w:val="105"/>
              </w:rPr>
            </w:pPr>
          </w:p>
        </w:tc>
      </w:tr>
      <w:tr w:rsidR="00B72DCD" w:rsidRPr="009938FB" w14:paraId="0EB470DD" w14:textId="77777777" w:rsidTr="009D4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 w:type="pct"/>
          </w:tcPr>
          <w:p w14:paraId="00290F1A" w14:textId="77777777" w:rsidR="00B72DCD" w:rsidRPr="009938FB" w:rsidRDefault="00B72DCD" w:rsidP="009D44E3">
            <w:pPr>
              <w:rPr>
                <w:b w:val="0"/>
                <w:iCs/>
                <w:spacing w:val="-1"/>
                <w:w w:val="105"/>
              </w:rPr>
            </w:pPr>
            <w:r w:rsidRPr="009938FB">
              <w:rPr>
                <w:b w:val="0"/>
                <w:iCs/>
                <w:spacing w:val="-1"/>
                <w:w w:val="105"/>
              </w:rPr>
              <w:t>21</w:t>
            </w:r>
          </w:p>
        </w:tc>
        <w:tc>
          <w:tcPr>
            <w:tcW w:w="1123" w:type="pct"/>
          </w:tcPr>
          <w:p w14:paraId="4234FFA2" w14:textId="77777777" w:rsidR="00B72DCD" w:rsidRPr="009938FB"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9938FB">
              <w:rPr>
                <w:iCs/>
                <w:spacing w:val="-1"/>
                <w:w w:val="105"/>
              </w:rPr>
              <w:t>Adi Balewai Maramarua</w:t>
            </w:r>
          </w:p>
        </w:tc>
        <w:tc>
          <w:tcPr>
            <w:tcW w:w="816" w:type="pct"/>
          </w:tcPr>
          <w:p w14:paraId="063FC39F" w14:textId="77777777" w:rsidR="00B72DCD" w:rsidRPr="009938FB"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9938FB">
              <w:rPr>
                <w:iCs/>
                <w:spacing w:val="-1"/>
                <w:w w:val="105"/>
              </w:rPr>
              <w:t>Fiji</w:t>
            </w:r>
          </w:p>
        </w:tc>
        <w:tc>
          <w:tcPr>
            <w:tcW w:w="2415" w:type="pct"/>
          </w:tcPr>
          <w:p w14:paraId="57405D7D" w14:textId="77777777" w:rsidR="00B72DCD" w:rsidRPr="009938FB"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9938FB">
              <w:rPr>
                <w:iCs/>
                <w:spacing w:val="-1"/>
                <w:w w:val="105"/>
              </w:rPr>
              <w:t>Market Venders Association</w:t>
            </w:r>
          </w:p>
        </w:tc>
        <w:tc>
          <w:tcPr>
            <w:tcW w:w="458" w:type="pct"/>
          </w:tcPr>
          <w:p w14:paraId="5B4F5D20" w14:textId="77777777" w:rsidR="00B72DCD" w:rsidRPr="009938FB" w:rsidRDefault="00B72DCD" w:rsidP="009D44E3">
            <w:pPr>
              <w:jc w:val="center"/>
              <w:cnfStyle w:val="000000100000" w:firstRow="0" w:lastRow="0" w:firstColumn="0" w:lastColumn="0" w:oddVBand="0" w:evenVBand="0" w:oddHBand="1" w:evenHBand="0" w:firstRowFirstColumn="0" w:firstRowLastColumn="0" w:lastRowFirstColumn="0" w:lastRowLastColumn="0"/>
              <w:rPr>
                <w:iCs/>
                <w:spacing w:val="-1"/>
                <w:w w:val="105"/>
              </w:rPr>
            </w:pPr>
          </w:p>
        </w:tc>
      </w:tr>
      <w:tr w:rsidR="00B72DCD" w:rsidRPr="009938FB" w14:paraId="4F9D86CF" w14:textId="77777777" w:rsidTr="009D44E3">
        <w:tc>
          <w:tcPr>
            <w:cnfStyle w:val="001000000000" w:firstRow="0" w:lastRow="0" w:firstColumn="1" w:lastColumn="0" w:oddVBand="0" w:evenVBand="0" w:oddHBand="0" w:evenHBand="0" w:firstRowFirstColumn="0" w:firstRowLastColumn="0" w:lastRowFirstColumn="0" w:lastRowLastColumn="0"/>
            <w:tcW w:w="187" w:type="pct"/>
          </w:tcPr>
          <w:p w14:paraId="3B5A98C4" w14:textId="77777777" w:rsidR="00B72DCD" w:rsidRPr="009938FB" w:rsidRDefault="00B72DCD" w:rsidP="009D44E3">
            <w:pPr>
              <w:rPr>
                <w:b w:val="0"/>
                <w:iCs/>
                <w:spacing w:val="-1"/>
                <w:w w:val="105"/>
              </w:rPr>
            </w:pPr>
            <w:r w:rsidRPr="009938FB">
              <w:rPr>
                <w:b w:val="0"/>
                <w:iCs/>
                <w:spacing w:val="-1"/>
                <w:w w:val="105"/>
              </w:rPr>
              <w:t>22</w:t>
            </w:r>
          </w:p>
        </w:tc>
        <w:tc>
          <w:tcPr>
            <w:tcW w:w="1123" w:type="pct"/>
          </w:tcPr>
          <w:p w14:paraId="1DA35FD0" w14:textId="77777777" w:rsidR="00B72DCD" w:rsidRPr="009938FB"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9938FB">
              <w:rPr>
                <w:iCs/>
                <w:spacing w:val="-1"/>
                <w:w w:val="105"/>
              </w:rPr>
              <w:t>Semesa Doidoi</w:t>
            </w:r>
          </w:p>
        </w:tc>
        <w:tc>
          <w:tcPr>
            <w:tcW w:w="816" w:type="pct"/>
          </w:tcPr>
          <w:p w14:paraId="1F9F626A" w14:textId="77777777" w:rsidR="00B72DCD" w:rsidRPr="009938FB"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9938FB">
              <w:rPr>
                <w:iCs/>
                <w:spacing w:val="-1"/>
                <w:w w:val="105"/>
              </w:rPr>
              <w:t>Fiji</w:t>
            </w:r>
          </w:p>
        </w:tc>
        <w:tc>
          <w:tcPr>
            <w:tcW w:w="2415" w:type="pct"/>
          </w:tcPr>
          <w:p w14:paraId="408F4AA9" w14:textId="77777777" w:rsidR="00B72DCD" w:rsidRPr="009938FB"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9938FB">
              <w:rPr>
                <w:iCs/>
                <w:spacing w:val="-1"/>
                <w:w w:val="105"/>
              </w:rPr>
              <w:t>Market Venders Association</w:t>
            </w:r>
          </w:p>
        </w:tc>
        <w:tc>
          <w:tcPr>
            <w:tcW w:w="458" w:type="pct"/>
          </w:tcPr>
          <w:p w14:paraId="542FFA2E" w14:textId="77777777" w:rsidR="00B72DCD" w:rsidRPr="009938FB" w:rsidRDefault="00B72DCD" w:rsidP="009D44E3">
            <w:pPr>
              <w:jc w:val="center"/>
              <w:cnfStyle w:val="000000000000" w:firstRow="0" w:lastRow="0" w:firstColumn="0" w:lastColumn="0" w:oddVBand="0" w:evenVBand="0" w:oddHBand="0" w:evenHBand="0" w:firstRowFirstColumn="0" w:firstRowLastColumn="0" w:lastRowFirstColumn="0" w:lastRowLastColumn="0"/>
              <w:rPr>
                <w:iCs/>
                <w:spacing w:val="-1"/>
                <w:w w:val="105"/>
              </w:rPr>
            </w:pPr>
          </w:p>
        </w:tc>
      </w:tr>
      <w:bookmarkEnd w:id="62"/>
      <w:tr w:rsidR="00B72DCD" w:rsidRPr="009938FB" w14:paraId="6C6021EF" w14:textId="77777777" w:rsidTr="009D4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 w:type="pct"/>
          </w:tcPr>
          <w:p w14:paraId="694993B4" w14:textId="77777777" w:rsidR="00B72DCD" w:rsidRPr="009938FB" w:rsidRDefault="00B72DCD" w:rsidP="009D44E3">
            <w:pPr>
              <w:rPr>
                <w:b w:val="0"/>
                <w:iCs/>
                <w:spacing w:val="-1"/>
                <w:w w:val="105"/>
              </w:rPr>
            </w:pPr>
            <w:r w:rsidRPr="009938FB">
              <w:rPr>
                <w:b w:val="0"/>
                <w:iCs/>
                <w:spacing w:val="-1"/>
                <w:w w:val="105"/>
              </w:rPr>
              <w:t>23</w:t>
            </w:r>
          </w:p>
        </w:tc>
        <w:tc>
          <w:tcPr>
            <w:tcW w:w="1123" w:type="pct"/>
          </w:tcPr>
          <w:p w14:paraId="46B45ECB" w14:textId="77777777" w:rsidR="00B72DCD" w:rsidRPr="009938FB"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9938FB">
              <w:rPr>
                <w:iCs/>
                <w:spacing w:val="-1"/>
                <w:w w:val="105"/>
              </w:rPr>
              <w:t>Miki Faga Daniel Wali</w:t>
            </w:r>
          </w:p>
        </w:tc>
        <w:tc>
          <w:tcPr>
            <w:tcW w:w="816" w:type="pct"/>
          </w:tcPr>
          <w:p w14:paraId="10A57BFF" w14:textId="77777777" w:rsidR="00B72DCD" w:rsidRPr="009938FB"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9938FB">
              <w:rPr>
                <w:iCs/>
                <w:spacing w:val="-1"/>
                <w:w w:val="105"/>
              </w:rPr>
              <w:t>Fiji</w:t>
            </w:r>
          </w:p>
        </w:tc>
        <w:tc>
          <w:tcPr>
            <w:tcW w:w="2415" w:type="pct"/>
          </w:tcPr>
          <w:p w14:paraId="3792AED8" w14:textId="77777777" w:rsidR="00B72DCD" w:rsidRPr="009938FB"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9938FB">
              <w:rPr>
                <w:iCs/>
                <w:spacing w:val="-1"/>
                <w:w w:val="105"/>
              </w:rPr>
              <w:t>House of Khameleon</w:t>
            </w:r>
          </w:p>
        </w:tc>
        <w:tc>
          <w:tcPr>
            <w:tcW w:w="458" w:type="pct"/>
          </w:tcPr>
          <w:p w14:paraId="114A59B5" w14:textId="77777777" w:rsidR="00B72DCD" w:rsidRPr="009938FB" w:rsidRDefault="00B72DCD" w:rsidP="009D44E3">
            <w:pPr>
              <w:jc w:val="center"/>
              <w:cnfStyle w:val="000000100000" w:firstRow="0" w:lastRow="0" w:firstColumn="0" w:lastColumn="0" w:oddVBand="0" w:evenVBand="0" w:oddHBand="1" w:evenHBand="0" w:firstRowFirstColumn="0" w:firstRowLastColumn="0" w:lastRowFirstColumn="0" w:lastRowLastColumn="0"/>
              <w:rPr>
                <w:iCs/>
                <w:spacing w:val="-1"/>
                <w:w w:val="105"/>
              </w:rPr>
            </w:pPr>
          </w:p>
        </w:tc>
      </w:tr>
      <w:tr w:rsidR="00B72DCD" w:rsidRPr="009938FB" w14:paraId="770367A3" w14:textId="77777777" w:rsidTr="009D44E3">
        <w:tc>
          <w:tcPr>
            <w:cnfStyle w:val="001000000000" w:firstRow="0" w:lastRow="0" w:firstColumn="1" w:lastColumn="0" w:oddVBand="0" w:evenVBand="0" w:oddHBand="0" w:evenHBand="0" w:firstRowFirstColumn="0" w:firstRowLastColumn="0" w:lastRowFirstColumn="0" w:lastRowLastColumn="0"/>
            <w:tcW w:w="187" w:type="pct"/>
          </w:tcPr>
          <w:p w14:paraId="3F02BBF8" w14:textId="77777777" w:rsidR="00B72DCD" w:rsidRPr="009938FB" w:rsidRDefault="00B72DCD" w:rsidP="009D44E3">
            <w:pPr>
              <w:rPr>
                <w:b w:val="0"/>
                <w:iCs/>
                <w:spacing w:val="-1"/>
                <w:w w:val="105"/>
              </w:rPr>
            </w:pPr>
            <w:r w:rsidRPr="009938FB">
              <w:rPr>
                <w:b w:val="0"/>
                <w:iCs/>
                <w:spacing w:val="-1"/>
                <w:w w:val="105"/>
              </w:rPr>
              <w:t>24</w:t>
            </w:r>
          </w:p>
        </w:tc>
        <w:tc>
          <w:tcPr>
            <w:tcW w:w="1123" w:type="pct"/>
          </w:tcPr>
          <w:p w14:paraId="66F1F388" w14:textId="77777777" w:rsidR="00B72DCD" w:rsidRPr="009938FB"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9938FB">
              <w:rPr>
                <w:iCs/>
                <w:spacing w:val="-1"/>
                <w:w w:val="105"/>
              </w:rPr>
              <w:t>Michelle May Reddy</w:t>
            </w:r>
          </w:p>
        </w:tc>
        <w:tc>
          <w:tcPr>
            <w:tcW w:w="816" w:type="pct"/>
          </w:tcPr>
          <w:p w14:paraId="6B188B76" w14:textId="77777777" w:rsidR="00B72DCD" w:rsidRPr="009938FB"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9938FB">
              <w:rPr>
                <w:iCs/>
                <w:spacing w:val="-1"/>
                <w:w w:val="105"/>
              </w:rPr>
              <w:t>Fiji</w:t>
            </w:r>
          </w:p>
        </w:tc>
        <w:tc>
          <w:tcPr>
            <w:tcW w:w="2415" w:type="pct"/>
          </w:tcPr>
          <w:p w14:paraId="27AB0CA7" w14:textId="77777777" w:rsidR="00B72DCD" w:rsidRPr="009938FB"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9938FB">
              <w:rPr>
                <w:iCs/>
                <w:spacing w:val="-1"/>
                <w:w w:val="105"/>
              </w:rPr>
              <w:t>Fiji Women’s Rights Movement</w:t>
            </w:r>
          </w:p>
        </w:tc>
        <w:tc>
          <w:tcPr>
            <w:tcW w:w="458" w:type="pct"/>
          </w:tcPr>
          <w:p w14:paraId="681133F7" w14:textId="77777777" w:rsidR="00B72DCD" w:rsidRPr="009938FB" w:rsidRDefault="00B72DCD" w:rsidP="009D44E3">
            <w:pPr>
              <w:jc w:val="center"/>
              <w:cnfStyle w:val="000000000000" w:firstRow="0" w:lastRow="0" w:firstColumn="0" w:lastColumn="0" w:oddVBand="0" w:evenVBand="0" w:oddHBand="0" w:evenHBand="0" w:firstRowFirstColumn="0" w:firstRowLastColumn="0" w:lastRowFirstColumn="0" w:lastRowLastColumn="0"/>
              <w:rPr>
                <w:iCs/>
                <w:spacing w:val="-1"/>
                <w:w w:val="105"/>
              </w:rPr>
            </w:pPr>
          </w:p>
        </w:tc>
      </w:tr>
      <w:tr w:rsidR="00B72DCD" w:rsidRPr="009938FB" w14:paraId="61AC1834" w14:textId="77777777" w:rsidTr="009D4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 w:type="pct"/>
          </w:tcPr>
          <w:p w14:paraId="58ABE168" w14:textId="77777777" w:rsidR="00B72DCD" w:rsidRPr="009938FB" w:rsidRDefault="00B72DCD" w:rsidP="009D44E3">
            <w:pPr>
              <w:rPr>
                <w:b w:val="0"/>
                <w:iCs/>
                <w:spacing w:val="-1"/>
                <w:w w:val="105"/>
              </w:rPr>
            </w:pPr>
            <w:r w:rsidRPr="009938FB">
              <w:rPr>
                <w:b w:val="0"/>
                <w:iCs/>
                <w:spacing w:val="-1"/>
                <w:w w:val="105"/>
              </w:rPr>
              <w:t>25</w:t>
            </w:r>
          </w:p>
        </w:tc>
        <w:tc>
          <w:tcPr>
            <w:tcW w:w="1123" w:type="pct"/>
          </w:tcPr>
          <w:p w14:paraId="54F34319" w14:textId="77777777" w:rsidR="00B72DCD" w:rsidRPr="009938FB"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9938FB">
              <w:rPr>
                <w:iCs/>
                <w:spacing w:val="-1"/>
                <w:w w:val="105"/>
              </w:rPr>
              <w:t>Catherine Pukena</w:t>
            </w:r>
          </w:p>
        </w:tc>
        <w:tc>
          <w:tcPr>
            <w:tcW w:w="816" w:type="pct"/>
          </w:tcPr>
          <w:p w14:paraId="1361FAA4" w14:textId="77777777" w:rsidR="00B72DCD" w:rsidRPr="009938FB"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9938FB">
              <w:rPr>
                <w:iCs/>
                <w:spacing w:val="-1"/>
                <w:w w:val="105"/>
              </w:rPr>
              <w:t>Papua New Guinea</w:t>
            </w:r>
          </w:p>
        </w:tc>
        <w:tc>
          <w:tcPr>
            <w:tcW w:w="2415" w:type="pct"/>
          </w:tcPr>
          <w:p w14:paraId="30D90FEA" w14:textId="77777777" w:rsidR="00B72DCD" w:rsidRPr="009938FB"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9938FB">
              <w:rPr>
                <w:iCs/>
                <w:spacing w:val="-1"/>
                <w:w w:val="105"/>
              </w:rPr>
              <w:t>ABG Dept for Community Development</w:t>
            </w:r>
          </w:p>
        </w:tc>
        <w:tc>
          <w:tcPr>
            <w:tcW w:w="458" w:type="pct"/>
          </w:tcPr>
          <w:p w14:paraId="12444F8A" w14:textId="77777777" w:rsidR="00B72DCD" w:rsidRPr="009938FB" w:rsidRDefault="00B72DCD" w:rsidP="009D44E3">
            <w:pPr>
              <w:jc w:val="center"/>
              <w:cnfStyle w:val="000000100000" w:firstRow="0" w:lastRow="0" w:firstColumn="0" w:lastColumn="0" w:oddVBand="0" w:evenVBand="0" w:oddHBand="1" w:evenHBand="0" w:firstRowFirstColumn="0" w:firstRowLastColumn="0" w:lastRowFirstColumn="0" w:lastRowLastColumn="0"/>
              <w:rPr>
                <w:iCs/>
                <w:spacing w:val="-1"/>
                <w:w w:val="105"/>
              </w:rPr>
            </w:pPr>
          </w:p>
        </w:tc>
      </w:tr>
      <w:tr w:rsidR="00B72DCD" w:rsidRPr="009938FB" w14:paraId="1F4FD2E5" w14:textId="77777777" w:rsidTr="009D44E3">
        <w:tc>
          <w:tcPr>
            <w:cnfStyle w:val="001000000000" w:firstRow="0" w:lastRow="0" w:firstColumn="1" w:lastColumn="0" w:oddVBand="0" w:evenVBand="0" w:oddHBand="0" w:evenHBand="0" w:firstRowFirstColumn="0" w:firstRowLastColumn="0" w:lastRowFirstColumn="0" w:lastRowLastColumn="0"/>
            <w:tcW w:w="187" w:type="pct"/>
          </w:tcPr>
          <w:p w14:paraId="22297023" w14:textId="77777777" w:rsidR="00B72DCD" w:rsidRPr="009938FB" w:rsidRDefault="00B72DCD" w:rsidP="009D44E3">
            <w:pPr>
              <w:rPr>
                <w:b w:val="0"/>
                <w:iCs/>
                <w:spacing w:val="-1"/>
                <w:w w:val="105"/>
              </w:rPr>
            </w:pPr>
            <w:r w:rsidRPr="009938FB">
              <w:rPr>
                <w:b w:val="0"/>
                <w:iCs/>
                <w:spacing w:val="-1"/>
                <w:w w:val="105"/>
              </w:rPr>
              <w:t>26</w:t>
            </w:r>
          </w:p>
        </w:tc>
        <w:tc>
          <w:tcPr>
            <w:tcW w:w="1123" w:type="pct"/>
          </w:tcPr>
          <w:p w14:paraId="2ABFC21D" w14:textId="77777777" w:rsidR="00B72DCD" w:rsidRPr="009938FB"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9938FB">
              <w:rPr>
                <w:iCs/>
                <w:spacing w:val="-1"/>
                <w:w w:val="105"/>
              </w:rPr>
              <w:t>Nelly Willy</w:t>
            </w:r>
          </w:p>
        </w:tc>
        <w:tc>
          <w:tcPr>
            <w:tcW w:w="816" w:type="pct"/>
          </w:tcPr>
          <w:p w14:paraId="19868C62" w14:textId="77777777" w:rsidR="00B72DCD" w:rsidRPr="009938FB"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9938FB">
              <w:rPr>
                <w:iCs/>
                <w:spacing w:val="-1"/>
                <w:w w:val="105"/>
              </w:rPr>
              <w:t>Vanuatu</w:t>
            </w:r>
          </w:p>
        </w:tc>
        <w:tc>
          <w:tcPr>
            <w:tcW w:w="2415" w:type="pct"/>
          </w:tcPr>
          <w:p w14:paraId="59C447C5" w14:textId="77777777" w:rsidR="00B72DCD" w:rsidRPr="009938FB"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9938FB">
              <w:rPr>
                <w:iCs/>
                <w:spacing w:val="-1"/>
                <w:w w:val="105"/>
              </w:rPr>
              <w:t>Pacific Leadership Program</w:t>
            </w:r>
          </w:p>
        </w:tc>
        <w:tc>
          <w:tcPr>
            <w:tcW w:w="458" w:type="pct"/>
          </w:tcPr>
          <w:p w14:paraId="5A0224EF" w14:textId="77777777" w:rsidR="00B72DCD" w:rsidRPr="009938FB" w:rsidRDefault="00B72DCD" w:rsidP="009D44E3">
            <w:pPr>
              <w:jc w:val="center"/>
              <w:cnfStyle w:val="000000000000" w:firstRow="0" w:lastRow="0" w:firstColumn="0" w:lastColumn="0" w:oddVBand="0" w:evenVBand="0" w:oddHBand="0" w:evenHBand="0" w:firstRowFirstColumn="0" w:firstRowLastColumn="0" w:lastRowFirstColumn="0" w:lastRowLastColumn="0"/>
              <w:rPr>
                <w:iCs/>
                <w:spacing w:val="-1"/>
                <w:w w:val="105"/>
              </w:rPr>
            </w:pPr>
            <w:r w:rsidRPr="009938FB">
              <w:rPr>
                <w:iCs/>
                <w:spacing w:val="-1"/>
                <w:w w:val="105"/>
              </w:rPr>
              <w:t>Y</w:t>
            </w:r>
          </w:p>
        </w:tc>
      </w:tr>
      <w:tr w:rsidR="00B72DCD" w:rsidRPr="009938FB" w14:paraId="5BBB708D" w14:textId="77777777" w:rsidTr="009D4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 w:type="pct"/>
          </w:tcPr>
          <w:p w14:paraId="545A6E83" w14:textId="77777777" w:rsidR="00B72DCD" w:rsidRPr="009938FB" w:rsidRDefault="00B72DCD" w:rsidP="009D44E3">
            <w:pPr>
              <w:rPr>
                <w:b w:val="0"/>
                <w:iCs/>
                <w:spacing w:val="-1"/>
                <w:w w:val="105"/>
              </w:rPr>
            </w:pPr>
            <w:r w:rsidRPr="009938FB">
              <w:rPr>
                <w:b w:val="0"/>
                <w:iCs/>
                <w:spacing w:val="-1"/>
                <w:w w:val="105"/>
              </w:rPr>
              <w:t>27</w:t>
            </w:r>
          </w:p>
        </w:tc>
        <w:tc>
          <w:tcPr>
            <w:tcW w:w="1123" w:type="pct"/>
          </w:tcPr>
          <w:p w14:paraId="2C4E70D5" w14:textId="77777777" w:rsidR="00B72DCD" w:rsidRPr="009938FB"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9938FB">
              <w:rPr>
                <w:iCs/>
                <w:spacing w:val="-1"/>
                <w:w w:val="105"/>
              </w:rPr>
              <w:t>Wilson Toa</w:t>
            </w:r>
          </w:p>
        </w:tc>
        <w:tc>
          <w:tcPr>
            <w:tcW w:w="816" w:type="pct"/>
          </w:tcPr>
          <w:p w14:paraId="584B5BAB" w14:textId="77777777" w:rsidR="00B72DCD" w:rsidRPr="009938FB"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9938FB">
              <w:rPr>
                <w:iCs/>
                <w:spacing w:val="-1"/>
                <w:w w:val="105"/>
              </w:rPr>
              <w:t>Vanuatu</w:t>
            </w:r>
          </w:p>
        </w:tc>
        <w:tc>
          <w:tcPr>
            <w:tcW w:w="2415" w:type="pct"/>
          </w:tcPr>
          <w:p w14:paraId="5E08831D" w14:textId="77777777" w:rsidR="00B72DCD" w:rsidRPr="009938FB"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9938FB">
              <w:rPr>
                <w:iCs/>
                <w:spacing w:val="-1"/>
                <w:w w:val="105"/>
              </w:rPr>
              <w:t>Transparency International</w:t>
            </w:r>
          </w:p>
        </w:tc>
        <w:tc>
          <w:tcPr>
            <w:tcW w:w="458" w:type="pct"/>
          </w:tcPr>
          <w:p w14:paraId="079AE121" w14:textId="77777777" w:rsidR="00B72DCD" w:rsidRPr="009938FB" w:rsidRDefault="00B72DCD" w:rsidP="009D44E3">
            <w:pPr>
              <w:jc w:val="center"/>
              <w:cnfStyle w:val="000000100000" w:firstRow="0" w:lastRow="0" w:firstColumn="0" w:lastColumn="0" w:oddVBand="0" w:evenVBand="0" w:oddHBand="1" w:evenHBand="0" w:firstRowFirstColumn="0" w:firstRowLastColumn="0" w:lastRowFirstColumn="0" w:lastRowLastColumn="0"/>
              <w:rPr>
                <w:iCs/>
                <w:spacing w:val="-1"/>
                <w:w w:val="105"/>
              </w:rPr>
            </w:pPr>
            <w:r w:rsidRPr="009938FB">
              <w:rPr>
                <w:iCs/>
                <w:spacing w:val="-1"/>
                <w:w w:val="105"/>
              </w:rPr>
              <w:t>Y</w:t>
            </w:r>
          </w:p>
        </w:tc>
      </w:tr>
      <w:tr w:rsidR="00B72DCD" w:rsidRPr="009938FB" w14:paraId="4030730E" w14:textId="77777777" w:rsidTr="009D44E3">
        <w:tc>
          <w:tcPr>
            <w:cnfStyle w:val="001000000000" w:firstRow="0" w:lastRow="0" w:firstColumn="1" w:lastColumn="0" w:oddVBand="0" w:evenVBand="0" w:oddHBand="0" w:evenHBand="0" w:firstRowFirstColumn="0" w:firstRowLastColumn="0" w:lastRowFirstColumn="0" w:lastRowLastColumn="0"/>
            <w:tcW w:w="187" w:type="pct"/>
          </w:tcPr>
          <w:p w14:paraId="40D9A897" w14:textId="77777777" w:rsidR="00B72DCD" w:rsidRPr="009938FB" w:rsidRDefault="00B72DCD" w:rsidP="009D44E3">
            <w:pPr>
              <w:rPr>
                <w:b w:val="0"/>
                <w:iCs/>
                <w:spacing w:val="-1"/>
                <w:w w:val="105"/>
              </w:rPr>
            </w:pPr>
            <w:r w:rsidRPr="009938FB">
              <w:rPr>
                <w:b w:val="0"/>
                <w:iCs/>
                <w:spacing w:val="-1"/>
                <w:w w:val="105"/>
              </w:rPr>
              <w:t>28</w:t>
            </w:r>
          </w:p>
        </w:tc>
        <w:tc>
          <w:tcPr>
            <w:tcW w:w="1123" w:type="pct"/>
          </w:tcPr>
          <w:p w14:paraId="79257AC0" w14:textId="77777777" w:rsidR="00B72DCD" w:rsidRPr="009938FB"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9938FB">
              <w:rPr>
                <w:iCs/>
                <w:spacing w:val="-1"/>
                <w:w w:val="105"/>
              </w:rPr>
              <w:t>Ungatea Fonua Kata</w:t>
            </w:r>
          </w:p>
        </w:tc>
        <w:tc>
          <w:tcPr>
            <w:tcW w:w="816" w:type="pct"/>
          </w:tcPr>
          <w:p w14:paraId="2DE3060C" w14:textId="77777777" w:rsidR="00B72DCD" w:rsidRPr="009938FB"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9938FB">
              <w:rPr>
                <w:iCs/>
                <w:spacing w:val="-1"/>
                <w:w w:val="105"/>
              </w:rPr>
              <w:t>Tonga</w:t>
            </w:r>
          </w:p>
        </w:tc>
        <w:tc>
          <w:tcPr>
            <w:tcW w:w="2415" w:type="pct"/>
          </w:tcPr>
          <w:p w14:paraId="796BBC38" w14:textId="77777777" w:rsidR="00B72DCD" w:rsidRPr="009938FB"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9938FB">
              <w:rPr>
                <w:iCs/>
                <w:spacing w:val="-1"/>
                <w:w w:val="105"/>
              </w:rPr>
              <w:t>Tupou Tertiary Institute</w:t>
            </w:r>
          </w:p>
        </w:tc>
        <w:tc>
          <w:tcPr>
            <w:tcW w:w="458" w:type="pct"/>
          </w:tcPr>
          <w:p w14:paraId="3520A396" w14:textId="77777777" w:rsidR="00B72DCD" w:rsidRPr="009938FB" w:rsidRDefault="00B72DCD" w:rsidP="009D44E3">
            <w:pPr>
              <w:jc w:val="center"/>
              <w:cnfStyle w:val="000000000000" w:firstRow="0" w:lastRow="0" w:firstColumn="0" w:lastColumn="0" w:oddVBand="0" w:evenVBand="0" w:oddHBand="0" w:evenHBand="0" w:firstRowFirstColumn="0" w:firstRowLastColumn="0" w:lastRowFirstColumn="0" w:lastRowLastColumn="0"/>
              <w:rPr>
                <w:iCs/>
                <w:spacing w:val="-1"/>
                <w:w w:val="105"/>
              </w:rPr>
            </w:pPr>
            <w:r w:rsidRPr="009938FB">
              <w:rPr>
                <w:iCs/>
                <w:spacing w:val="-1"/>
                <w:w w:val="105"/>
              </w:rPr>
              <w:t>Y</w:t>
            </w:r>
          </w:p>
        </w:tc>
      </w:tr>
      <w:tr w:rsidR="00B72DCD" w:rsidRPr="009938FB" w14:paraId="3AAB8181" w14:textId="77777777" w:rsidTr="009D4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 w:type="pct"/>
          </w:tcPr>
          <w:p w14:paraId="1DBAB774" w14:textId="77777777" w:rsidR="00B72DCD" w:rsidRPr="009938FB" w:rsidRDefault="00B72DCD" w:rsidP="009D44E3">
            <w:pPr>
              <w:rPr>
                <w:b w:val="0"/>
                <w:iCs/>
                <w:spacing w:val="-1"/>
                <w:w w:val="105"/>
              </w:rPr>
            </w:pPr>
            <w:r w:rsidRPr="009938FB">
              <w:rPr>
                <w:b w:val="0"/>
                <w:iCs/>
                <w:spacing w:val="-1"/>
                <w:w w:val="105"/>
              </w:rPr>
              <w:t>29</w:t>
            </w:r>
          </w:p>
        </w:tc>
        <w:tc>
          <w:tcPr>
            <w:tcW w:w="1123" w:type="pct"/>
          </w:tcPr>
          <w:p w14:paraId="1F1CAF0A" w14:textId="77777777" w:rsidR="00B72DCD" w:rsidRPr="009938FB"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9938FB">
              <w:rPr>
                <w:iCs/>
                <w:spacing w:val="-1"/>
                <w:w w:val="105"/>
              </w:rPr>
              <w:t>Emeline Siale Ilolahia</w:t>
            </w:r>
          </w:p>
        </w:tc>
        <w:tc>
          <w:tcPr>
            <w:tcW w:w="816" w:type="pct"/>
          </w:tcPr>
          <w:p w14:paraId="2A73DA91" w14:textId="77777777" w:rsidR="00B72DCD" w:rsidRPr="009938FB"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9938FB">
              <w:rPr>
                <w:iCs/>
                <w:spacing w:val="-1"/>
                <w:w w:val="105"/>
              </w:rPr>
              <w:t>Tonga</w:t>
            </w:r>
          </w:p>
        </w:tc>
        <w:tc>
          <w:tcPr>
            <w:tcW w:w="2415" w:type="pct"/>
          </w:tcPr>
          <w:p w14:paraId="3994AE8A" w14:textId="77777777" w:rsidR="00B72DCD" w:rsidRPr="009938FB"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9938FB">
              <w:rPr>
                <w:iCs/>
                <w:spacing w:val="-1"/>
                <w:w w:val="105"/>
              </w:rPr>
              <w:t>Civil Society Forum of Tonga</w:t>
            </w:r>
          </w:p>
        </w:tc>
        <w:tc>
          <w:tcPr>
            <w:tcW w:w="458" w:type="pct"/>
          </w:tcPr>
          <w:p w14:paraId="17F8B103" w14:textId="77777777" w:rsidR="00B72DCD" w:rsidRPr="009938FB" w:rsidRDefault="00B72DCD" w:rsidP="009D44E3">
            <w:pPr>
              <w:jc w:val="center"/>
              <w:cnfStyle w:val="000000100000" w:firstRow="0" w:lastRow="0" w:firstColumn="0" w:lastColumn="0" w:oddVBand="0" w:evenVBand="0" w:oddHBand="1" w:evenHBand="0" w:firstRowFirstColumn="0" w:firstRowLastColumn="0" w:lastRowFirstColumn="0" w:lastRowLastColumn="0"/>
              <w:rPr>
                <w:iCs/>
                <w:spacing w:val="-1"/>
                <w:w w:val="105"/>
              </w:rPr>
            </w:pPr>
            <w:r w:rsidRPr="009938FB">
              <w:rPr>
                <w:iCs/>
                <w:spacing w:val="-1"/>
                <w:w w:val="105"/>
              </w:rPr>
              <w:t>Y</w:t>
            </w:r>
          </w:p>
        </w:tc>
      </w:tr>
      <w:tr w:rsidR="00B72DCD" w:rsidRPr="009938FB" w14:paraId="37DFBE23" w14:textId="77777777" w:rsidTr="009D44E3">
        <w:tc>
          <w:tcPr>
            <w:cnfStyle w:val="001000000000" w:firstRow="0" w:lastRow="0" w:firstColumn="1" w:lastColumn="0" w:oddVBand="0" w:evenVBand="0" w:oddHBand="0" w:evenHBand="0" w:firstRowFirstColumn="0" w:firstRowLastColumn="0" w:lastRowFirstColumn="0" w:lastRowLastColumn="0"/>
            <w:tcW w:w="187" w:type="pct"/>
          </w:tcPr>
          <w:p w14:paraId="6093FB4B" w14:textId="77777777" w:rsidR="00B72DCD" w:rsidRPr="009938FB" w:rsidRDefault="00B72DCD" w:rsidP="009D44E3">
            <w:pPr>
              <w:rPr>
                <w:b w:val="0"/>
                <w:iCs/>
                <w:spacing w:val="-1"/>
                <w:w w:val="105"/>
              </w:rPr>
            </w:pPr>
            <w:r w:rsidRPr="009938FB">
              <w:rPr>
                <w:b w:val="0"/>
                <w:iCs/>
                <w:spacing w:val="-1"/>
                <w:w w:val="105"/>
              </w:rPr>
              <w:t>30</w:t>
            </w:r>
          </w:p>
        </w:tc>
        <w:tc>
          <w:tcPr>
            <w:tcW w:w="1123" w:type="pct"/>
          </w:tcPr>
          <w:p w14:paraId="281C4663" w14:textId="77777777" w:rsidR="00B72DCD" w:rsidRPr="009938FB"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9938FB">
              <w:rPr>
                <w:iCs/>
                <w:spacing w:val="-1"/>
                <w:w w:val="105"/>
              </w:rPr>
              <w:t>Ofa-Ki-Levuka Louise Guttenbeil</w:t>
            </w:r>
          </w:p>
        </w:tc>
        <w:tc>
          <w:tcPr>
            <w:tcW w:w="816" w:type="pct"/>
          </w:tcPr>
          <w:p w14:paraId="5FC50B25" w14:textId="77777777" w:rsidR="00B72DCD" w:rsidRPr="009938FB"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9938FB">
              <w:rPr>
                <w:iCs/>
                <w:spacing w:val="-1"/>
                <w:w w:val="105"/>
              </w:rPr>
              <w:t>Tonga</w:t>
            </w:r>
          </w:p>
        </w:tc>
        <w:tc>
          <w:tcPr>
            <w:tcW w:w="2415" w:type="pct"/>
          </w:tcPr>
          <w:p w14:paraId="254979B6" w14:textId="77777777" w:rsidR="00B72DCD" w:rsidRPr="009938FB"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9938FB">
              <w:rPr>
                <w:iCs/>
                <w:spacing w:val="-1"/>
                <w:w w:val="105"/>
              </w:rPr>
              <w:t>Women and Children Crisis Centre</w:t>
            </w:r>
          </w:p>
        </w:tc>
        <w:tc>
          <w:tcPr>
            <w:tcW w:w="458" w:type="pct"/>
          </w:tcPr>
          <w:p w14:paraId="0ECF0AD8" w14:textId="77777777" w:rsidR="00B72DCD" w:rsidRPr="009938FB" w:rsidRDefault="00B72DCD" w:rsidP="009D44E3">
            <w:pPr>
              <w:jc w:val="center"/>
              <w:cnfStyle w:val="000000000000" w:firstRow="0" w:lastRow="0" w:firstColumn="0" w:lastColumn="0" w:oddVBand="0" w:evenVBand="0" w:oddHBand="0" w:evenHBand="0" w:firstRowFirstColumn="0" w:firstRowLastColumn="0" w:lastRowFirstColumn="0" w:lastRowLastColumn="0"/>
              <w:rPr>
                <w:iCs/>
                <w:spacing w:val="-1"/>
                <w:w w:val="105"/>
              </w:rPr>
            </w:pPr>
            <w:r w:rsidRPr="009938FB">
              <w:rPr>
                <w:iCs/>
                <w:spacing w:val="-1"/>
                <w:w w:val="105"/>
              </w:rPr>
              <w:t>Y</w:t>
            </w:r>
          </w:p>
        </w:tc>
      </w:tr>
      <w:tr w:rsidR="00B72DCD" w:rsidRPr="009938FB" w14:paraId="1AA05009" w14:textId="77777777" w:rsidTr="009D4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 w:type="pct"/>
          </w:tcPr>
          <w:p w14:paraId="1D8E0B00" w14:textId="77777777" w:rsidR="00B72DCD" w:rsidRPr="009938FB" w:rsidRDefault="00B72DCD" w:rsidP="009D44E3">
            <w:pPr>
              <w:rPr>
                <w:b w:val="0"/>
                <w:iCs/>
                <w:spacing w:val="-1"/>
                <w:w w:val="105"/>
              </w:rPr>
            </w:pPr>
            <w:r w:rsidRPr="009938FB">
              <w:rPr>
                <w:b w:val="0"/>
                <w:iCs/>
                <w:spacing w:val="-1"/>
                <w:w w:val="105"/>
              </w:rPr>
              <w:t>31</w:t>
            </w:r>
          </w:p>
        </w:tc>
        <w:tc>
          <w:tcPr>
            <w:tcW w:w="1123" w:type="pct"/>
          </w:tcPr>
          <w:p w14:paraId="6D48C102" w14:textId="77777777" w:rsidR="00B72DCD" w:rsidRPr="009938FB"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9938FB">
              <w:rPr>
                <w:iCs/>
                <w:spacing w:val="-1"/>
                <w:w w:val="105"/>
              </w:rPr>
              <w:t>Potoae Aiafi</w:t>
            </w:r>
          </w:p>
        </w:tc>
        <w:tc>
          <w:tcPr>
            <w:tcW w:w="816" w:type="pct"/>
          </w:tcPr>
          <w:p w14:paraId="1B216AE8" w14:textId="77777777" w:rsidR="00B72DCD" w:rsidRPr="009938FB"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9938FB">
              <w:rPr>
                <w:iCs/>
                <w:spacing w:val="-1"/>
                <w:w w:val="105"/>
              </w:rPr>
              <w:t>Samoa</w:t>
            </w:r>
          </w:p>
        </w:tc>
        <w:tc>
          <w:tcPr>
            <w:tcW w:w="2415" w:type="pct"/>
          </w:tcPr>
          <w:p w14:paraId="6C0EFF73" w14:textId="77777777" w:rsidR="00B72DCD" w:rsidRPr="009938FB"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9938FB">
              <w:rPr>
                <w:iCs/>
                <w:spacing w:val="-1"/>
                <w:w w:val="105"/>
              </w:rPr>
              <w:t>Pacific Leadership Program</w:t>
            </w:r>
          </w:p>
        </w:tc>
        <w:tc>
          <w:tcPr>
            <w:tcW w:w="458" w:type="pct"/>
          </w:tcPr>
          <w:p w14:paraId="166ACF53" w14:textId="77777777" w:rsidR="00B72DCD" w:rsidRPr="009938FB" w:rsidRDefault="00B72DCD" w:rsidP="009D44E3">
            <w:pPr>
              <w:jc w:val="center"/>
              <w:cnfStyle w:val="000000100000" w:firstRow="0" w:lastRow="0" w:firstColumn="0" w:lastColumn="0" w:oddVBand="0" w:evenVBand="0" w:oddHBand="1" w:evenHBand="0" w:firstRowFirstColumn="0" w:firstRowLastColumn="0" w:lastRowFirstColumn="0" w:lastRowLastColumn="0"/>
              <w:rPr>
                <w:iCs/>
                <w:spacing w:val="-1"/>
                <w:w w:val="105"/>
              </w:rPr>
            </w:pPr>
            <w:r w:rsidRPr="009938FB">
              <w:rPr>
                <w:iCs/>
                <w:spacing w:val="-1"/>
                <w:w w:val="105"/>
              </w:rPr>
              <w:t>Y</w:t>
            </w:r>
          </w:p>
        </w:tc>
      </w:tr>
      <w:tr w:rsidR="00B72DCD" w:rsidRPr="009938FB" w14:paraId="0A642040" w14:textId="77777777" w:rsidTr="009D44E3">
        <w:tc>
          <w:tcPr>
            <w:cnfStyle w:val="001000000000" w:firstRow="0" w:lastRow="0" w:firstColumn="1" w:lastColumn="0" w:oddVBand="0" w:evenVBand="0" w:oddHBand="0" w:evenHBand="0" w:firstRowFirstColumn="0" w:firstRowLastColumn="0" w:lastRowFirstColumn="0" w:lastRowLastColumn="0"/>
            <w:tcW w:w="187" w:type="pct"/>
          </w:tcPr>
          <w:p w14:paraId="132B3B8B" w14:textId="77777777" w:rsidR="00B72DCD" w:rsidRPr="009938FB" w:rsidRDefault="00B72DCD" w:rsidP="009D44E3">
            <w:pPr>
              <w:rPr>
                <w:b w:val="0"/>
                <w:iCs/>
                <w:spacing w:val="-1"/>
                <w:w w:val="105"/>
              </w:rPr>
            </w:pPr>
            <w:r w:rsidRPr="009938FB">
              <w:rPr>
                <w:b w:val="0"/>
                <w:iCs/>
                <w:spacing w:val="-1"/>
                <w:w w:val="105"/>
              </w:rPr>
              <w:t>32</w:t>
            </w:r>
          </w:p>
        </w:tc>
        <w:tc>
          <w:tcPr>
            <w:tcW w:w="1123" w:type="pct"/>
          </w:tcPr>
          <w:p w14:paraId="7C9807E7" w14:textId="77777777" w:rsidR="00B72DCD" w:rsidRPr="009938FB"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9938FB">
              <w:rPr>
                <w:iCs/>
                <w:spacing w:val="-1"/>
                <w:w w:val="105"/>
              </w:rPr>
              <w:t>Douglas Lamuel Ruark Ngau Chun</w:t>
            </w:r>
          </w:p>
        </w:tc>
        <w:tc>
          <w:tcPr>
            <w:tcW w:w="816" w:type="pct"/>
          </w:tcPr>
          <w:p w14:paraId="6F7422E6" w14:textId="77777777" w:rsidR="00B72DCD" w:rsidRPr="009938FB"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9938FB">
              <w:rPr>
                <w:iCs/>
                <w:spacing w:val="-1"/>
                <w:w w:val="105"/>
              </w:rPr>
              <w:t>Samoa</w:t>
            </w:r>
          </w:p>
        </w:tc>
        <w:tc>
          <w:tcPr>
            <w:tcW w:w="2415" w:type="pct"/>
          </w:tcPr>
          <w:p w14:paraId="556BC6AB" w14:textId="77777777" w:rsidR="00B72DCD" w:rsidRPr="009938FB"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9938FB">
              <w:rPr>
                <w:iCs/>
                <w:spacing w:val="-1"/>
                <w:w w:val="105"/>
              </w:rPr>
              <w:t>Leadership Samoa</w:t>
            </w:r>
          </w:p>
        </w:tc>
        <w:tc>
          <w:tcPr>
            <w:tcW w:w="458" w:type="pct"/>
          </w:tcPr>
          <w:p w14:paraId="22B1645E" w14:textId="77777777" w:rsidR="00B72DCD" w:rsidRPr="009938FB" w:rsidRDefault="00B72DCD" w:rsidP="009D44E3">
            <w:pPr>
              <w:jc w:val="center"/>
              <w:cnfStyle w:val="000000000000" w:firstRow="0" w:lastRow="0" w:firstColumn="0" w:lastColumn="0" w:oddVBand="0" w:evenVBand="0" w:oddHBand="0" w:evenHBand="0" w:firstRowFirstColumn="0" w:firstRowLastColumn="0" w:lastRowFirstColumn="0" w:lastRowLastColumn="0"/>
              <w:rPr>
                <w:iCs/>
                <w:spacing w:val="-1"/>
                <w:w w:val="105"/>
              </w:rPr>
            </w:pPr>
            <w:r w:rsidRPr="009938FB">
              <w:rPr>
                <w:iCs/>
                <w:spacing w:val="-1"/>
                <w:w w:val="105"/>
              </w:rPr>
              <w:t>Y</w:t>
            </w:r>
          </w:p>
        </w:tc>
      </w:tr>
      <w:tr w:rsidR="00B72DCD" w:rsidRPr="009938FB" w14:paraId="3FA23247" w14:textId="77777777" w:rsidTr="009D4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 w:type="pct"/>
          </w:tcPr>
          <w:p w14:paraId="3E35F045" w14:textId="77777777" w:rsidR="00B72DCD" w:rsidRPr="009938FB" w:rsidRDefault="00B72DCD" w:rsidP="009D44E3">
            <w:pPr>
              <w:rPr>
                <w:b w:val="0"/>
                <w:iCs/>
                <w:spacing w:val="-1"/>
                <w:w w:val="105"/>
              </w:rPr>
            </w:pPr>
            <w:r w:rsidRPr="009938FB">
              <w:rPr>
                <w:b w:val="0"/>
                <w:iCs/>
                <w:spacing w:val="-1"/>
                <w:w w:val="105"/>
              </w:rPr>
              <w:t>33</w:t>
            </w:r>
          </w:p>
        </w:tc>
        <w:tc>
          <w:tcPr>
            <w:tcW w:w="1123" w:type="pct"/>
          </w:tcPr>
          <w:p w14:paraId="364F69AC" w14:textId="77777777" w:rsidR="00B72DCD" w:rsidRPr="009938FB"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9938FB">
              <w:rPr>
                <w:iCs/>
                <w:spacing w:val="-1"/>
                <w:w w:val="105"/>
              </w:rPr>
              <w:t>Samantha Delicia Vildam Tuti</w:t>
            </w:r>
          </w:p>
        </w:tc>
        <w:tc>
          <w:tcPr>
            <w:tcW w:w="816" w:type="pct"/>
          </w:tcPr>
          <w:p w14:paraId="1F95C6D3" w14:textId="77777777" w:rsidR="00B72DCD" w:rsidRPr="009938FB"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9938FB">
              <w:rPr>
                <w:iCs/>
                <w:spacing w:val="-1"/>
                <w:w w:val="105"/>
              </w:rPr>
              <w:t>Solomon Islands</w:t>
            </w:r>
          </w:p>
        </w:tc>
        <w:tc>
          <w:tcPr>
            <w:tcW w:w="2415" w:type="pct"/>
          </w:tcPr>
          <w:p w14:paraId="4FF9503D" w14:textId="77777777" w:rsidR="00B72DCD" w:rsidRPr="009938FB"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9938FB">
              <w:rPr>
                <w:iCs/>
                <w:spacing w:val="-1"/>
                <w:w w:val="105"/>
              </w:rPr>
              <w:t>Pacific Leadership Program</w:t>
            </w:r>
          </w:p>
        </w:tc>
        <w:tc>
          <w:tcPr>
            <w:tcW w:w="458" w:type="pct"/>
          </w:tcPr>
          <w:p w14:paraId="2A8807DB" w14:textId="77777777" w:rsidR="00B72DCD" w:rsidRPr="009938FB" w:rsidRDefault="00B72DCD" w:rsidP="009D44E3">
            <w:pPr>
              <w:jc w:val="center"/>
              <w:cnfStyle w:val="000000100000" w:firstRow="0" w:lastRow="0" w:firstColumn="0" w:lastColumn="0" w:oddVBand="0" w:evenVBand="0" w:oddHBand="1" w:evenHBand="0" w:firstRowFirstColumn="0" w:firstRowLastColumn="0" w:lastRowFirstColumn="0" w:lastRowLastColumn="0"/>
              <w:rPr>
                <w:iCs/>
                <w:spacing w:val="-1"/>
                <w:w w:val="105"/>
              </w:rPr>
            </w:pPr>
            <w:r w:rsidRPr="009938FB">
              <w:rPr>
                <w:iCs/>
                <w:spacing w:val="-1"/>
                <w:w w:val="105"/>
              </w:rPr>
              <w:t>Y</w:t>
            </w:r>
          </w:p>
        </w:tc>
      </w:tr>
      <w:tr w:rsidR="00B72DCD" w:rsidRPr="009938FB" w14:paraId="36AC599A" w14:textId="77777777" w:rsidTr="009D44E3">
        <w:tc>
          <w:tcPr>
            <w:cnfStyle w:val="001000000000" w:firstRow="0" w:lastRow="0" w:firstColumn="1" w:lastColumn="0" w:oddVBand="0" w:evenVBand="0" w:oddHBand="0" w:evenHBand="0" w:firstRowFirstColumn="0" w:firstRowLastColumn="0" w:lastRowFirstColumn="0" w:lastRowLastColumn="0"/>
            <w:tcW w:w="187" w:type="pct"/>
          </w:tcPr>
          <w:p w14:paraId="4C6F9FD7" w14:textId="77777777" w:rsidR="00B72DCD" w:rsidRPr="009938FB" w:rsidRDefault="00B72DCD" w:rsidP="009D44E3">
            <w:pPr>
              <w:rPr>
                <w:b w:val="0"/>
                <w:iCs/>
                <w:spacing w:val="-1"/>
                <w:w w:val="105"/>
              </w:rPr>
            </w:pPr>
            <w:r w:rsidRPr="009938FB">
              <w:rPr>
                <w:b w:val="0"/>
                <w:iCs/>
                <w:spacing w:val="-1"/>
                <w:w w:val="105"/>
              </w:rPr>
              <w:t>34</w:t>
            </w:r>
          </w:p>
        </w:tc>
        <w:tc>
          <w:tcPr>
            <w:tcW w:w="1123" w:type="pct"/>
          </w:tcPr>
          <w:p w14:paraId="7153D0F8" w14:textId="77777777" w:rsidR="00B72DCD" w:rsidRPr="009938FB"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9938FB">
              <w:rPr>
                <w:iCs/>
                <w:spacing w:val="-1"/>
                <w:w w:val="105"/>
              </w:rPr>
              <w:t>Seema Naidu</w:t>
            </w:r>
          </w:p>
        </w:tc>
        <w:tc>
          <w:tcPr>
            <w:tcW w:w="816" w:type="pct"/>
          </w:tcPr>
          <w:p w14:paraId="3784C071" w14:textId="77777777" w:rsidR="00B72DCD" w:rsidRPr="009938FB"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9938FB">
              <w:rPr>
                <w:iCs/>
                <w:spacing w:val="-1"/>
                <w:w w:val="105"/>
              </w:rPr>
              <w:t>Fiji</w:t>
            </w:r>
          </w:p>
        </w:tc>
        <w:tc>
          <w:tcPr>
            <w:tcW w:w="2415" w:type="pct"/>
          </w:tcPr>
          <w:p w14:paraId="7AD77CC0" w14:textId="77777777" w:rsidR="00B72DCD" w:rsidRPr="009938FB"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9938FB">
              <w:rPr>
                <w:iCs/>
                <w:spacing w:val="-1"/>
                <w:w w:val="105"/>
              </w:rPr>
              <w:t>Pacific Islands Forum Secretariat</w:t>
            </w:r>
          </w:p>
        </w:tc>
        <w:tc>
          <w:tcPr>
            <w:tcW w:w="458" w:type="pct"/>
          </w:tcPr>
          <w:p w14:paraId="37D9B974" w14:textId="77777777" w:rsidR="00B72DCD" w:rsidRPr="009938FB" w:rsidRDefault="00B72DCD" w:rsidP="009D44E3">
            <w:pPr>
              <w:jc w:val="center"/>
              <w:cnfStyle w:val="000000000000" w:firstRow="0" w:lastRow="0" w:firstColumn="0" w:lastColumn="0" w:oddVBand="0" w:evenVBand="0" w:oddHBand="0" w:evenHBand="0" w:firstRowFirstColumn="0" w:firstRowLastColumn="0" w:lastRowFirstColumn="0" w:lastRowLastColumn="0"/>
              <w:rPr>
                <w:iCs/>
                <w:spacing w:val="-1"/>
                <w:w w:val="105"/>
              </w:rPr>
            </w:pPr>
            <w:r w:rsidRPr="009938FB">
              <w:rPr>
                <w:iCs/>
                <w:spacing w:val="-1"/>
                <w:w w:val="105"/>
              </w:rPr>
              <w:t>Y</w:t>
            </w:r>
          </w:p>
        </w:tc>
      </w:tr>
      <w:tr w:rsidR="00B72DCD" w:rsidRPr="009938FB" w14:paraId="5395B070" w14:textId="77777777" w:rsidTr="009D4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 w:type="pct"/>
          </w:tcPr>
          <w:p w14:paraId="0CF64735" w14:textId="77777777" w:rsidR="00B72DCD" w:rsidRPr="009938FB" w:rsidRDefault="00B72DCD" w:rsidP="009D44E3">
            <w:pPr>
              <w:rPr>
                <w:b w:val="0"/>
                <w:iCs/>
                <w:spacing w:val="-1"/>
                <w:w w:val="105"/>
              </w:rPr>
            </w:pPr>
            <w:r w:rsidRPr="009938FB">
              <w:rPr>
                <w:b w:val="0"/>
                <w:iCs/>
                <w:spacing w:val="-1"/>
                <w:w w:val="105"/>
              </w:rPr>
              <w:t>35</w:t>
            </w:r>
          </w:p>
        </w:tc>
        <w:tc>
          <w:tcPr>
            <w:tcW w:w="1123" w:type="pct"/>
          </w:tcPr>
          <w:p w14:paraId="5F16830F" w14:textId="77777777" w:rsidR="00B72DCD" w:rsidRPr="009938FB"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9938FB">
              <w:rPr>
                <w:iCs/>
                <w:spacing w:val="-1"/>
                <w:w w:val="105"/>
              </w:rPr>
              <w:t>Evan Naqiolevu</w:t>
            </w:r>
          </w:p>
        </w:tc>
        <w:tc>
          <w:tcPr>
            <w:tcW w:w="816" w:type="pct"/>
          </w:tcPr>
          <w:p w14:paraId="7DAEC93C" w14:textId="77777777" w:rsidR="00B72DCD" w:rsidRPr="009938FB"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9938FB">
              <w:rPr>
                <w:iCs/>
                <w:spacing w:val="-1"/>
                <w:w w:val="105"/>
              </w:rPr>
              <w:t>Fiji</w:t>
            </w:r>
          </w:p>
        </w:tc>
        <w:tc>
          <w:tcPr>
            <w:tcW w:w="2415" w:type="pct"/>
          </w:tcPr>
          <w:p w14:paraId="356B0D7D" w14:textId="77777777" w:rsidR="00B72DCD" w:rsidRPr="009938FB" w:rsidRDefault="00B72DCD" w:rsidP="009D44E3">
            <w:pPr>
              <w:cnfStyle w:val="000000100000" w:firstRow="0" w:lastRow="0" w:firstColumn="0" w:lastColumn="0" w:oddVBand="0" w:evenVBand="0" w:oddHBand="1" w:evenHBand="0" w:firstRowFirstColumn="0" w:firstRowLastColumn="0" w:lastRowFirstColumn="0" w:lastRowLastColumn="0"/>
              <w:rPr>
                <w:iCs/>
                <w:spacing w:val="-1"/>
                <w:w w:val="105"/>
              </w:rPr>
            </w:pPr>
            <w:r w:rsidRPr="009938FB">
              <w:rPr>
                <w:iCs/>
                <w:spacing w:val="-1"/>
                <w:w w:val="105"/>
              </w:rPr>
              <w:t>Pacific Leadership Program</w:t>
            </w:r>
          </w:p>
        </w:tc>
        <w:tc>
          <w:tcPr>
            <w:tcW w:w="458" w:type="pct"/>
          </w:tcPr>
          <w:p w14:paraId="66F156A4" w14:textId="77777777" w:rsidR="00B72DCD" w:rsidRPr="009938FB" w:rsidRDefault="00B72DCD" w:rsidP="009D44E3">
            <w:pPr>
              <w:jc w:val="center"/>
              <w:cnfStyle w:val="000000100000" w:firstRow="0" w:lastRow="0" w:firstColumn="0" w:lastColumn="0" w:oddVBand="0" w:evenVBand="0" w:oddHBand="1" w:evenHBand="0" w:firstRowFirstColumn="0" w:firstRowLastColumn="0" w:lastRowFirstColumn="0" w:lastRowLastColumn="0"/>
              <w:rPr>
                <w:iCs/>
                <w:spacing w:val="-1"/>
                <w:w w:val="105"/>
              </w:rPr>
            </w:pPr>
            <w:r w:rsidRPr="009938FB">
              <w:rPr>
                <w:iCs/>
                <w:spacing w:val="-1"/>
                <w:w w:val="105"/>
              </w:rPr>
              <w:t>Y</w:t>
            </w:r>
          </w:p>
        </w:tc>
      </w:tr>
      <w:tr w:rsidR="00B72DCD" w:rsidRPr="009938FB" w14:paraId="79BD001D" w14:textId="77777777" w:rsidTr="009D44E3">
        <w:tc>
          <w:tcPr>
            <w:cnfStyle w:val="001000000000" w:firstRow="0" w:lastRow="0" w:firstColumn="1" w:lastColumn="0" w:oddVBand="0" w:evenVBand="0" w:oddHBand="0" w:evenHBand="0" w:firstRowFirstColumn="0" w:firstRowLastColumn="0" w:lastRowFirstColumn="0" w:lastRowLastColumn="0"/>
            <w:tcW w:w="187" w:type="pct"/>
          </w:tcPr>
          <w:p w14:paraId="309E90E1" w14:textId="77777777" w:rsidR="00B72DCD" w:rsidRPr="009938FB" w:rsidRDefault="00B72DCD" w:rsidP="009D44E3">
            <w:pPr>
              <w:rPr>
                <w:b w:val="0"/>
                <w:iCs/>
                <w:spacing w:val="-1"/>
                <w:w w:val="105"/>
              </w:rPr>
            </w:pPr>
            <w:r w:rsidRPr="009938FB">
              <w:rPr>
                <w:b w:val="0"/>
                <w:iCs/>
                <w:spacing w:val="-1"/>
                <w:w w:val="105"/>
              </w:rPr>
              <w:t>36</w:t>
            </w:r>
          </w:p>
        </w:tc>
        <w:tc>
          <w:tcPr>
            <w:tcW w:w="1123" w:type="pct"/>
          </w:tcPr>
          <w:p w14:paraId="4E28D98F" w14:textId="77777777" w:rsidR="00B72DCD" w:rsidRPr="009938FB"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9938FB">
              <w:rPr>
                <w:iCs/>
                <w:spacing w:val="-1"/>
                <w:w w:val="105"/>
              </w:rPr>
              <w:t>Angie Fatiaki</w:t>
            </w:r>
          </w:p>
        </w:tc>
        <w:tc>
          <w:tcPr>
            <w:tcW w:w="816" w:type="pct"/>
          </w:tcPr>
          <w:p w14:paraId="102F2A47" w14:textId="77777777" w:rsidR="00B72DCD" w:rsidRPr="009938FB"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9938FB">
              <w:rPr>
                <w:iCs/>
                <w:spacing w:val="-1"/>
                <w:w w:val="105"/>
              </w:rPr>
              <w:t>Fiji</w:t>
            </w:r>
          </w:p>
        </w:tc>
        <w:tc>
          <w:tcPr>
            <w:tcW w:w="2415" w:type="pct"/>
          </w:tcPr>
          <w:p w14:paraId="7C75ABC6" w14:textId="77777777" w:rsidR="00B72DCD" w:rsidRPr="009938FB" w:rsidRDefault="00B72DCD" w:rsidP="009D44E3">
            <w:pPr>
              <w:cnfStyle w:val="000000000000" w:firstRow="0" w:lastRow="0" w:firstColumn="0" w:lastColumn="0" w:oddVBand="0" w:evenVBand="0" w:oddHBand="0" w:evenHBand="0" w:firstRowFirstColumn="0" w:firstRowLastColumn="0" w:lastRowFirstColumn="0" w:lastRowLastColumn="0"/>
              <w:rPr>
                <w:iCs/>
                <w:spacing w:val="-1"/>
                <w:w w:val="105"/>
              </w:rPr>
            </w:pPr>
            <w:r w:rsidRPr="009938FB">
              <w:rPr>
                <w:iCs/>
                <w:spacing w:val="-1"/>
                <w:w w:val="105"/>
              </w:rPr>
              <w:t>Pacific Leadership Program</w:t>
            </w:r>
          </w:p>
        </w:tc>
        <w:tc>
          <w:tcPr>
            <w:tcW w:w="458" w:type="pct"/>
          </w:tcPr>
          <w:p w14:paraId="494BBDCB" w14:textId="77777777" w:rsidR="00B72DCD" w:rsidRPr="009938FB" w:rsidRDefault="00B72DCD" w:rsidP="009D44E3">
            <w:pPr>
              <w:jc w:val="center"/>
              <w:cnfStyle w:val="000000000000" w:firstRow="0" w:lastRow="0" w:firstColumn="0" w:lastColumn="0" w:oddVBand="0" w:evenVBand="0" w:oddHBand="0" w:evenHBand="0" w:firstRowFirstColumn="0" w:firstRowLastColumn="0" w:lastRowFirstColumn="0" w:lastRowLastColumn="0"/>
              <w:rPr>
                <w:iCs/>
                <w:spacing w:val="-1"/>
                <w:w w:val="105"/>
              </w:rPr>
            </w:pPr>
            <w:r w:rsidRPr="009938FB">
              <w:rPr>
                <w:iCs/>
                <w:spacing w:val="-1"/>
                <w:w w:val="105"/>
              </w:rPr>
              <w:t>Y</w:t>
            </w:r>
          </w:p>
        </w:tc>
      </w:tr>
    </w:tbl>
    <w:p w14:paraId="62BA63E6" w14:textId="77777777" w:rsidR="00F24FB0" w:rsidRDefault="00F24FB0">
      <w:pPr>
        <w:rPr>
          <w:rFonts w:ascii="Calibri" w:eastAsiaTheme="majorEastAsia" w:hAnsi="Calibri" w:cstheme="majorBidi"/>
          <w:b/>
          <w:bCs/>
          <w:color w:val="757575"/>
          <w:sz w:val="50"/>
          <w:szCs w:val="26"/>
        </w:rPr>
      </w:pPr>
      <w:r>
        <w:br w:type="page"/>
      </w:r>
    </w:p>
    <w:p w14:paraId="23976911" w14:textId="77777777" w:rsidR="00BC051C" w:rsidRDefault="00BC051C" w:rsidP="00337E1A">
      <w:pPr>
        <w:pStyle w:val="Heading2"/>
        <w:numPr>
          <w:ilvl w:val="0"/>
          <w:numId w:val="0"/>
        </w:numPr>
        <w:spacing w:before="240" w:after="120"/>
        <w:ind w:left="431" w:hanging="431"/>
      </w:pPr>
      <w:bookmarkStart w:id="63" w:name="_Toc486247224"/>
      <w:r w:rsidRPr="00D67E75">
        <w:t xml:space="preserve">Annex </w:t>
      </w:r>
      <w:r>
        <w:t>7</w:t>
      </w:r>
      <w:r w:rsidRPr="00D67E75">
        <w:t xml:space="preserve">: </w:t>
      </w:r>
      <w:r>
        <w:t>Research Products</w:t>
      </w:r>
      <w:bookmarkEnd w:id="63"/>
    </w:p>
    <w:p w14:paraId="02A663FB" w14:textId="77777777" w:rsidR="00BC051C" w:rsidRPr="00BA2B99" w:rsidRDefault="00BC051C" w:rsidP="00BC051C">
      <w:pPr>
        <w:rPr>
          <w:i/>
        </w:rPr>
      </w:pPr>
      <w:r>
        <w:rPr>
          <w:i/>
        </w:rPr>
        <w:t xml:space="preserve">Updated 10 May 2017 </w:t>
      </w:r>
    </w:p>
    <w:tbl>
      <w:tblPr>
        <w:tblW w:w="95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817"/>
        <w:gridCol w:w="7229"/>
        <w:gridCol w:w="1499"/>
      </w:tblGrid>
      <w:tr w:rsidR="00BC051C" w:rsidRPr="00E72304" w14:paraId="0E05F00B" w14:textId="77777777" w:rsidTr="003E18A4">
        <w:tc>
          <w:tcPr>
            <w:tcW w:w="817" w:type="dxa"/>
            <w:shd w:val="clear" w:color="auto" w:fill="E5DFEC" w:themeFill="accent4" w:themeFillTint="33"/>
          </w:tcPr>
          <w:p w14:paraId="44564D81" w14:textId="77777777" w:rsidR="00BC051C" w:rsidRPr="00E72304" w:rsidRDefault="00BC051C" w:rsidP="003E18A4">
            <w:pPr>
              <w:pStyle w:val="TableHeading"/>
              <w:spacing w:before="0" w:after="0" w:line="276" w:lineRule="auto"/>
              <w:rPr>
                <w:szCs w:val="16"/>
              </w:rPr>
            </w:pPr>
          </w:p>
        </w:tc>
        <w:tc>
          <w:tcPr>
            <w:tcW w:w="8728" w:type="dxa"/>
            <w:gridSpan w:val="2"/>
            <w:shd w:val="clear" w:color="auto" w:fill="E5DFEC" w:themeFill="accent4" w:themeFillTint="33"/>
          </w:tcPr>
          <w:p w14:paraId="3DE825FB" w14:textId="77777777" w:rsidR="00BC051C" w:rsidRPr="00E72304" w:rsidRDefault="00BC051C" w:rsidP="003E18A4">
            <w:pPr>
              <w:pStyle w:val="TableHeading"/>
              <w:spacing w:before="0" w:after="0" w:line="276" w:lineRule="auto"/>
              <w:rPr>
                <w:szCs w:val="16"/>
              </w:rPr>
            </w:pPr>
            <w:r w:rsidRPr="00E72304">
              <w:rPr>
                <w:szCs w:val="16"/>
              </w:rPr>
              <w:t xml:space="preserve">PLP Commissioned Research and Knowledge </w:t>
            </w:r>
          </w:p>
        </w:tc>
      </w:tr>
      <w:tr w:rsidR="00BC051C" w:rsidRPr="00E72304" w14:paraId="4C7B2A14" w14:textId="77777777" w:rsidTr="003E18A4">
        <w:tc>
          <w:tcPr>
            <w:tcW w:w="817" w:type="dxa"/>
          </w:tcPr>
          <w:p w14:paraId="14D69204" w14:textId="77777777" w:rsidR="00BC051C" w:rsidRDefault="00BC051C" w:rsidP="003E18A4">
            <w:pPr>
              <w:pStyle w:val="TableText"/>
              <w:spacing w:before="0" w:after="0" w:line="276" w:lineRule="auto"/>
              <w:rPr>
                <w:szCs w:val="16"/>
              </w:rPr>
            </w:pPr>
            <w:r>
              <w:rPr>
                <w:szCs w:val="16"/>
              </w:rPr>
              <w:t>1</w:t>
            </w:r>
          </w:p>
        </w:tc>
        <w:tc>
          <w:tcPr>
            <w:tcW w:w="7229" w:type="dxa"/>
            <w:shd w:val="clear" w:color="auto" w:fill="auto"/>
          </w:tcPr>
          <w:p w14:paraId="06AC69E4" w14:textId="77777777" w:rsidR="00BC051C" w:rsidRPr="00027D83" w:rsidRDefault="00BC051C" w:rsidP="003E18A4">
            <w:pPr>
              <w:pStyle w:val="TableText"/>
              <w:spacing w:before="0" w:after="0" w:line="276" w:lineRule="auto"/>
              <w:rPr>
                <w:szCs w:val="16"/>
              </w:rPr>
            </w:pPr>
            <w:r>
              <w:rPr>
                <w:szCs w:val="16"/>
              </w:rPr>
              <w:t>Analysis report on Tonga National Leadership Development Forum (TNLDF) and PLP support for the</w:t>
            </w:r>
            <w:r w:rsidRPr="0037191A">
              <w:rPr>
                <w:szCs w:val="16"/>
              </w:rPr>
              <w:t xml:space="preserve"> </w:t>
            </w:r>
            <w:r w:rsidRPr="0037191A">
              <w:rPr>
                <w:i/>
                <w:szCs w:val="16"/>
              </w:rPr>
              <w:t>Namoa</w:t>
            </w:r>
            <w:r w:rsidRPr="0037191A">
              <w:rPr>
                <w:szCs w:val="16"/>
              </w:rPr>
              <w:t xml:space="preserve"> </w:t>
            </w:r>
            <w:r>
              <w:rPr>
                <w:szCs w:val="16"/>
              </w:rPr>
              <w:t>(young traditional Tongan leaders) – working title (H Lee/ La Trobe)</w:t>
            </w:r>
          </w:p>
        </w:tc>
        <w:tc>
          <w:tcPr>
            <w:tcW w:w="1499" w:type="dxa"/>
            <w:shd w:val="clear" w:color="auto" w:fill="auto"/>
          </w:tcPr>
          <w:p w14:paraId="1F66F96A" w14:textId="77777777" w:rsidR="00BC051C" w:rsidRPr="00E72304" w:rsidRDefault="00BC051C" w:rsidP="003E18A4">
            <w:pPr>
              <w:pStyle w:val="TableText"/>
              <w:spacing w:before="0" w:after="0" w:line="276" w:lineRule="auto"/>
              <w:rPr>
                <w:szCs w:val="16"/>
              </w:rPr>
            </w:pPr>
            <w:r>
              <w:rPr>
                <w:szCs w:val="16"/>
              </w:rPr>
              <w:t>Forthcoming June 2017</w:t>
            </w:r>
          </w:p>
        </w:tc>
      </w:tr>
      <w:tr w:rsidR="00BC051C" w:rsidRPr="00E72304" w14:paraId="4E70CC91" w14:textId="77777777" w:rsidTr="003E18A4">
        <w:tc>
          <w:tcPr>
            <w:tcW w:w="817" w:type="dxa"/>
          </w:tcPr>
          <w:p w14:paraId="2C0A218D" w14:textId="77777777" w:rsidR="00BC051C" w:rsidRDefault="00BC051C" w:rsidP="003E18A4">
            <w:pPr>
              <w:pStyle w:val="TableText"/>
              <w:spacing w:before="0" w:after="0" w:line="276" w:lineRule="auto"/>
              <w:rPr>
                <w:szCs w:val="16"/>
              </w:rPr>
            </w:pPr>
            <w:r>
              <w:rPr>
                <w:szCs w:val="16"/>
              </w:rPr>
              <w:t>2</w:t>
            </w:r>
          </w:p>
        </w:tc>
        <w:tc>
          <w:tcPr>
            <w:tcW w:w="7229" w:type="dxa"/>
            <w:shd w:val="clear" w:color="auto" w:fill="auto"/>
          </w:tcPr>
          <w:p w14:paraId="1BB5E15C" w14:textId="77777777" w:rsidR="00BC051C" w:rsidRPr="00E72304" w:rsidRDefault="00BC051C" w:rsidP="003E18A4">
            <w:pPr>
              <w:pStyle w:val="TableText"/>
              <w:spacing w:before="0" w:after="0" w:line="276" w:lineRule="auto"/>
              <w:rPr>
                <w:szCs w:val="16"/>
              </w:rPr>
            </w:pPr>
            <w:r>
              <w:rPr>
                <w:szCs w:val="16"/>
              </w:rPr>
              <w:t>Case Study of the Simbo for change partnership – women’s economic empowerment and local economic development (L Hoatson/ La Trobe)</w:t>
            </w:r>
          </w:p>
        </w:tc>
        <w:tc>
          <w:tcPr>
            <w:tcW w:w="1499" w:type="dxa"/>
            <w:shd w:val="clear" w:color="auto" w:fill="auto"/>
          </w:tcPr>
          <w:p w14:paraId="2B9356AC" w14:textId="77777777" w:rsidR="00BC051C" w:rsidRPr="00E72304" w:rsidRDefault="00BC051C" w:rsidP="003E18A4">
            <w:pPr>
              <w:pStyle w:val="TableText"/>
              <w:spacing w:before="0" w:after="0" w:line="276" w:lineRule="auto"/>
              <w:rPr>
                <w:szCs w:val="16"/>
              </w:rPr>
            </w:pPr>
            <w:r>
              <w:rPr>
                <w:szCs w:val="16"/>
              </w:rPr>
              <w:t>May 2017</w:t>
            </w:r>
          </w:p>
        </w:tc>
      </w:tr>
      <w:tr w:rsidR="00BC051C" w:rsidRPr="00E72304" w14:paraId="2CE5D302" w14:textId="77777777" w:rsidTr="003E18A4">
        <w:tc>
          <w:tcPr>
            <w:tcW w:w="817" w:type="dxa"/>
          </w:tcPr>
          <w:p w14:paraId="5864A679" w14:textId="77777777" w:rsidR="00BC051C" w:rsidRDefault="00BC051C" w:rsidP="003E18A4">
            <w:pPr>
              <w:pStyle w:val="TableText"/>
              <w:spacing w:before="0" w:after="0" w:line="276" w:lineRule="auto"/>
              <w:rPr>
                <w:szCs w:val="16"/>
              </w:rPr>
            </w:pPr>
            <w:r>
              <w:rPr>
                <w:szCs w:val="16"/>
              </w:rPr>
              <w:t>3</w:t>
            </w:r>
          </w:p>
        </w:tc>
        <w:tc>
          <w:tcPr>
            <w:tcW w:w="7229" w:type="dxa"/>
            <w:shd w:val="clear" w:color="auto" w:fill="auto"/>
          </w:tcPr>
          <w:p w14:paraId="28535AF5" w14:textId="77777777" w:rsidR="00BC051C" w:rsidRPr="00E72304" w:rsidRDefault="00BC051C" w:rsidP="003E18A4">
            <w:pPr>
              <w:pStyle w:val="TableText"/>
              <w:spacing w:before="0" w:after="0" w:line="276" w:lineRule="auto"/>
              <w:rPr>
                <w:szCs w:val="16"/>
              </w:rPr>
            </w:pPr>
            <w:r w:rsidRPr="00027D83">
              <w:rPr>
                <w:szCs w:val="16"/>
              </w:rPr>
              <w:t xml:space="preserve">The </w:t>
            </w:r>
            <w:r>
              <w:rPr>
                <w:szCs w:val="16"/>
              </w:rPr>
              <w:t xml:space="preserve">Green Growth Leaders’ Coalition (GGLC) </w:t>
            </w:r>
            <w:r w:rsidRPr="00027D83">
              <w:rPr>
                <w:szCs w:val="16"/>
              </w:rPr>
              <w:t>Interim/ Baseline Report</w:t>
            </w:r>
            <w:r>
              <w:rPr>
                <w:szCs w:val="16"/>
              </w:rPr>
              <w:t xml:space="preserve"> – will be tabled at 2017 GGLC Leaders’ retreat and then made publicly available (A Craney and D Hudson/ La Trobe DLP)</w:t>
            </w:r>
          </w:p>
        </w:tc>
        <w:tc>
          <w:tcPr>
            <w:tcW w:w="1499" w:type="dxa"/>
            <w:shd w:val="clear" w:color="auto" w:fill="auto"/>
          </w:tcPr>
          <w:p w14:paraId="20D52B2B" w14:textId="77777777" w:rsidR="00BC051C" w:rsidRPr="00E72304" w:rsidRDefault="00BC051C" w:rsidP="003E18A4">
            <w:pPr>
              <w:pStyle w:val="TableText"/>
              <w:spacing w:before="0" w:after="0" w:line="276" w:lineRule="auto"/>
              <w:rPr>
                <w:szCs w:val="16"/>
              </w:rPr>
            </w:pPr>
            <w:r>
              <w:rPr>
                <w:szCs w:val="16"/>
              </w:rPr>
              <w:t>October 2016</w:t>
            </w:r>
          </w:p>
        </w:tc>
      </w:tr>
      <w:tr w:rsidR="00BC051C" w:rsidRPr="00E72304" w14:paraId="1390DE89" w14:textId="77777777" w:rsidTr="003E18A4">
        <w:tc>
          <w:tcPr>
            <w:tcW w:w="817" w:type="dxa"/>
          </w:tcPr>
          <w:p w14:paraId="07DCCB06" w14:textId="77777777" w:rsidR="00BC051C" w:rsidRPr="00E72304" w:rsidRDefault="00BC051C" w:rsidP="003E18A4">
            <w:pPr>
              <w:pStyle w:val="TableText"/>
              <w:spacing w:before="0" w:after="0" w:line="276" w:lineRule="auto"/>
              <w:rPr>
                <w:szCs w:val="16"/>
              </w:rPr>
            </w:pPr>
            <w:r>
              <w:rPr>
                <w:szCs w:val="16"/>
              </w:rPr>
              <w:t>4</w:t>
            </w:r>
          </w:p>
        </w:tc>
        <w:tc>
          <w:tcPr>
            <w:tcW w:w="7229" w:type="dxa"/>
            <w:shd w:val="clear" w:color="auto" w:fill="auto"/>
          </w:tcPr>
          <w:p w14:paraId="3C6549BF" w14:textId="77777777" w:rsidR="00BC051C" w:rsidRPr="00E72304" w:rsidRDefault="00BC051C" w:rsidP="003E18A4">
            <w:pPr>
              <w:pStyle w:val="TableText"/>
              <w:spacing w:before="0" w:after="0" w:line="276" w:lineRule="auto"/>
              <w:rPr>
                <w:szCs w:val="16"/>
              </w:rPr>
            </w:pPr>
            <w:r>
              <w:rPr>
                <w:szCs w:val="16"/>
              </w:rPr>
              <w:t xml:space="preserve">Lessons learned on thinking and working politically for the ratification of CEDAW in Tonga </w:t>
            </w:r>
          </w:p>
          <w:p w14:paraId="14CAF071" w14:textId="77777777" w:rsidR="00BC051C" w:rsidRPr="00E72304" w:rsidRDefault="00BC051C" w:rsidP="003E18A4">
            <w:pPr>
              <w:pStyle w:val="TableText"/>
              <w:spacing w:before="0" w:after="0" w:line="276" w:lineRule="auto"/>
              <w:rPr>
                <w:szCs w:val="16"/>
              </w:rPr>
            </w:pPr>
            <w:r w:rsidRPr="00E72304">
              <w:rPr>
                <w:szCs w:val="16"/>
              </w:rPr>
              <w:t xml:space="preserve">(O Ward and J Hudson / </w:t>
            </w:r>
            <w:r w:rsidRPr="00E72304">
              <w:t>University College London</w:t>
            </w:r>
            <w:r w:rsidRPr="00E72304">
              <w:rPr>
                <w:szCs w:val="16"/>
              </w:rPr>
              <w:t>)</w:t>
            </w:r>
            <w:r>
              <w:rPr>
                <w:szCs w:val="16"/>
              </w:rPr>
              <w:t xml:space="preserve"> – abridged version of full research report</w:t>
            </w:r>
            <w:r w:rsidRPr="00E72304">
              <w:rPr>
                <w:szCs w:val="16"/>
              </w:rPr>
              <w:t xml:space="preserve"> </w:t>
            </w:r>
            <w:r>
              <w:rPr>
                <w:szCs w:val="16"/>
              </w:rPr>
              <w:t xml:space="preserve"> </w:t>
            </w:r>
            <w:hyperlink r:id="rId28" w:history="1">
              <w:r w:rsidRPr="00F81E11">
                <w:rPr>
                  <w:rStyle w:val="Hyperlink"/>
                  <w:rFonts w:eastAsiaTheme="majorEastAsia"/>
                  <w:szCs w:val="16"/>
                </w:rPr>
                <w:t>http://www.plp.org.fj/wp-content/uploads/2017/03/PLP-Report-Tonga-CEDAW-Report.pdf</w:t>
              </w:r>
            </w:hyperlink>
            <w:r>
              <w:t xml:space="preserve">     </w:t>
            </w:r>
          </w:p>
        </w:tc>
        <w:tc>
          <w:tcPr>
            <w:tcW w:w="1499" w:type="dxa"/>
            <w:shd w:val="clear" w:color="auto" w:fill="auto"/>
          </w:tcPr>
          <w:p w14:paraId="4876E08A" w14:textId="77777777" w:rsidR="00BC051C" w:rsidRPr="00E72304" w:rsidRDefault="00BC051C" w:rsidP="003E18A4">
            <w:pPr>
              <w:pStyle w:val="TableText"/>
              <w:spacing w:before="0" w:after="0" w:line="276" w:lineRule="auto"/>
              <w:rPr>
                <w:szCs w:val="16"/>
              </w:rPr>
            </w:pPr>
            <w:r w:rsidRPr="00E72304">
              <w:rPr>
                <w:szCs w:val="16"/>
              </w:rPr>
              <w:t>June 2016</w:t>
            </w:r>
          </w:p>
        </w:tc>
      </w:tr>
      <w:tr w:rsidR="00BC051C" w:rsidRPr="00E72304" w14:paraId="776CDF7D" w14:textId="77777777" w:rsidTr="003E18A4">
        <w:tc>
          <w:tcPr>
            <w:tcW w:w="817" w:type="dxa"/>
          </w:tcPr>
          <w:p w14:paraId="37B5DD6D" w14:textId="77777777" w:rsidR="00BC051C" w:rsidRPr="00E72304" w:rsidRDefault="00BC051C" w:rsidP="003E18A4">
            <w:pPr>
              <w:pStyle w:val="TableText"/>
              <w:spacing w:before="0" w:after="0" w:line="276" w:lineRule="auto"/>
              <w:rPr>
                <w:szCs w:val="16"/>
              </w:rPr>
            </w:pPr>
            <w:r>
              <w:rPr>
                <w:szCs w:val="16"/>
              </w:rPr>
              <w:t>5</w:t>
            </w:r>
          </w:p>
        </w:tc>
        <w:tc>
          <w:tcPr>
            <w:tcW w:w="7229" w:type="dxa"/>
            <w:shd w:val="clear" w:color="auto" w:fill="auto"/>
          </w:tcPr>
          <w:p w14:paraId="56FC6627" w14:textId="77777777" w:rsidR="00BC051C" w:rsidRPr="00E72304" w:rsidRDefault="00BC051C" w:rsidP="003E18A4">
            <w:pPr>
              <w:pStyle w:val="TableText"/>
              <w:spacing w:before="0" w:after="0" w:line="276" w:lineRule="auto"/>
              <w:rPr>
                <w:szCs w:val="16"/>
              </w:rPr>
            </w:pPr>
            <w:r w:rsidRPr="00E72304">
              <w:rPr>
                <w:szCs w:val="16"/>
              </w:rPr>
              <w:t>Analysis of Women Councillors’ Experiences and WISDM Activities in Luganville and Port Vila: Case Study (T Newton Cain)</w:t>
            </w:r>
            <w:r>
              <w:rPr>
                <w:szCs w:val="16"/>
              </w:rPr>
              <w:t xml:space="preserve"> </w:t>
            </w:r>
            <w:hyperlink r:id="rId29" w:history="1">
              <w:r w:rsidRPr="00F81E11">
                <w:rPr>
                  <w:rStyle w:val="Hyperlink"/>
                  <w:rFonts w:eastAsiaTheme="majorEastAsia"/>
                  <w:szCs w:val="16"/>
                </w:rPr>
                <w:t>http://www.plp.org.fj/wp-content/uploads/2016/06/PLP_WISDM_Discussion-Paper-June-2016.pdf</w:t>
              </w:r>
            </w:hyperlink>
          </w:p>
        </w:tc>
        <w:tc>
          <w:tcPr>
            <w:tcW w:w="1499" w:type="dxa"/>
            <w:shd w:val="clear" w:color="auto" w:fill="auto"/>
          </w:tcPr>
          <w:p w14:paraId="2BE7D1EB" w14:textId="77777777" w:rsidR="00BC051C" w:rsidRPr="00E72304" w:rsidRDefault="00BC051C" w:rsidP="003E18A4">
            <w:pPr>
              <w:pStyle w:val="TableText"/>
              <w:spacing w:before="0" w:after="0" w:line="276" w:lineRule="auto"/>
              <w:rPr>
                <w:szCs w:val="16"/>
              </w:rPr>
            </w:pPr>
            <w:r w:rsidRPr="00E72304">
              <w:rPr>
                <w:szCs w:val="16"/>
              </w:rPr>
              <w:t>June 2016</w:t>
            </w:r>
          </w:p>
        </w:tc>
      </w:tr>
      <w:tr w:rsidR="00BC051C" w:rsidRPr="00E72304" w14:paraId="4EBEA57F" w14:textId="77777777" w:rsidTr="003E18A4">
        <w:tc>
          <w:tcPr>
            <w:tcW w:w="817" w:type="dxa"/>
          </w:tcPr>
          <w:p w14:paraId="26C6A451" w14:textId="77777777" w:rsidR="00BC051C" w:rsidRPr="00E72304" w:rsidRDefault="00BC051C" w:rsidP="003E18A4">
            <w:pPr>
              <w:pStyle w:val="TableText"/>
              <w:spacing w:before="0" w:after="0" w:line="276" w:lineRule="auto"/>
              <w:rPr>
                <w:szCs w:val="16"/>
              </w:rPr>
            </w:pPr>
            <w:r>
              <w:rPr>
                <w:szCs w:val="16"/>
              </w:rPr>
              <w:t>6</w:t>
            </w:r>
          </w:p>
        </w:tc>
        <w:tc>
          <w:tcPr>
            <w:tcW w:w="7229" w:type="dxa"/>
            <w:shd w:val="clear" w:color="auto" w:fill="auto"/>
          </w:tcPr>
          <w:p w14:paraId="2D9A6C1A" w14:textId="77777777" w:rsidR="00BC051C" w:rsidRPr="00E72304" w:rsidRDefault="00BC051C" w:rsidP="003E18A4">
            <w:pPr>
              <w:pStyle w:val="TableText"/>
              <w:spacing w:before="0" w:after="0" w:line="276" w:lineRule="auto"/>
              <w:rPr>
                <w:szCs w:val="16"/>
              </w:rPr>
            </w:pPr>
            <w:r w:rsidRPr="00E72304">
              <w:rPr>
                <w:szCs w:val="16"/>
              </w:rPr>
              <w:t>Action Research on Regional Green Growth Leaders’ Coalition (</w:t>
            </w:r>
            <w:r>
              <w:rPr>
                <w:szCs w:val="16"/>
              </w:rPr>
              <w:t xml:space="preserve">M O’Keefe, </w:t>
            </w:r>
            <w:r w:rsidRPr="00E72304">
              <w:rPr>
                <w:szCs w:val="16"/>
              </w:rPr>
              <w:t xml:space="preserve">D Hudson and A Craney / </w:t>
            </w:r>
            <w:r w:rsidRPr="00E72304">
              <w:t>University College London</w:t>
            </w:r>
            <w:r w:rsidRPr="00E72304">
              <w:rPr>
                <w:szCs w:val="16"/>
              </w:rPr>
              <w:t xml:space="preserve"> and La Trobe)</w:t>
            </w:r>
            <w:r>
              <w:rPr>
                <w:szCs w:val="16"/>
              </w:rPr>
              <w:t xml:space="preserve"> Field and other reports</w:t>
            </w:r>
            <w:r w:rsidRPr="000B7819">
              <w:rPr>
                <w:szCs w:val="16"/>
              </w:rPr>
              <w:t xml:space="preserve"> available on request</w:t>
            </w:r>
          </w:p>
        </w:tc>
        <w:tc>
          <w:tcPr>
            <w:tcW w:w="1499" w:type="dxa"/>
            <w:shd w:val="clear" w:color="auto" w:fill="auto"/>
          </w:tcPr>
          <w:p w14:paraId="1831EF86" w14:textId="77777777" w:rsidR="00BC051C" w:rsidRPr="00E72304" w:rsidRDefault="00BC051C" w:rsidP="003E18A4">
            <w:pPr>
              <w:pStyle w:val="TableText"/>
              <w:spacing w:before="0" w:after="0" w:line="276" w:lineRule="auto"/>
              <w:rPr>
                <w:szCs w:val="16"/>
              </w:rPr>
            </w:pPr>
            <w:r>
              <w:rPr>
                <w:szCs w:val="16"/>
              </w:rPr>
              <w:t xml:space="preserve">2014 – present (ongoing) </w:t>
            </w:r>
          </w:p>
        </w:tc>
      </w:tr>
      <w:tr w:rsidR="00BC051C" w:rsidRPr="00E72304" w14:paraId="66124247" w14:textId="77777777" w:rsidTr="003E18A4">
        <w:tc>
          <w:tcPr>
            <w:tcW w:w="817" w:type="dxa"/>
          </w:tcPr>
          <w:p w14:paraId="02DFCD5C" w14:textId="77777777" w:rsidR="00BC051C" w:rsidRPr="00137A5F" w:rsidRDefault="00BC051C" w:rsidP="003E18A4">
            <w:pPr>
              <w:pStyle w:val="TableText"/>
              <w:spacing w:before="0" w:after="0" w:line="276" w:lineRule="auto"/>
              <w:rPr>
                <w:szCs w:val="16"/>
              </w:rPr>
            </w:pPr>
            <w:r>
              <w:rPr>
                <w:szCs w:val="16"/>
              </w:rPr>
              <w:t>7</w:t>
            </w:r>
          </w:p>
        </w:tc>
        <w:tc>
          <w:tcPr>
            <w:tcW w:w="7229" w:type="dxa"/>
            <w:shd w:val="clear" w:color="auto" w:fill="auto"/>
          </w:tcPr>
          <w:p w14:paraId="5ED5FC31" w14:textId="77777777" w:rsidR="00BC051C" w:rsidRPr="00137A5F" w:rsidRDefault="00BC051C" w:rsidP="003E18A4">
            <w:pPr>
              <w:pStyle w:val="TableText"/>
              <w:spacing w:before="0" w:after="0" w:line="276" w:lineRule="auto"/>
              <w:rPr>
                <w:szCs w:val="16"/>
              </w:rPr>
            </w:pPr>
            <w:r w:rsidRPr="00137A5F">
              <w:rPr>
                <w:szCs w:val="16"/>
              </w:rPr>
              <w:t>Action Research on ‘Simbo for Change’ Women’s Economic Empowerment Pilot Initiative – ongoing from Year 1 (L Hoatson / La Trobe)</w:t>
            </w:r>
            <w:r w:rsidRPr="000B7819">
              <w:rPr>
                <w:szCs w:val="16"/>
              </w:rPr>
              <w:t xml:space="preserve"> </w:t>
            </w:r>
            <w:r>
              <w:rPr>
                <w:szCs w:val="16"/>
              </w:rPr>
              <w:t>Baseline and field reports</w:t>
            </w:r>
            <w:r w:rsidRPr="000B7819">
              <w:rPr>
                <w:szCs w:val="16"/>
              </w:rPr>
              <w:t xml:space="preserve"> available on request</w:t>
            </w:r>
          </w:p>
        </w:tc>
        <w:tc>
          <w:tcPr>
            <w:tcW w:w="1499" w:type="dxa"/>
            <w:shd w:val="clear" w:color="auto" w:fill="auto"/>
          </w:tcPr>
          <w:p w14:paraId="5238BF5D" w14:textId="77777777" w:rsidR="00BC051C" w:rsidRPr="00137A5F" w:rsidRDefault="00BC051C" w:rsidP="003E18A4">
            <w:pPr>
              <w:pStyle w:val="TableText"/>
              <w:spacing w:before="0" w:after="0" w:line="276" w:lineRule="auto"/>
              <w:rPr>
                <w:szCs w:val="16"/>
              </w:rPr>
            </w:pPr>
            <w:r>
              <w:rPr>
                <w:szCs w:val="16"/>
              </w:rPr>
              <w:t>2015 – present (ongoing)</w:t>
            </w:r>
          </w:p>
        </w:tc>
      </w:tr>
      <w:tr w:rsidR="00BC051C" w:rsidRPr="00E72304" w14:paraId="24B23EF7" w14:textId="77777777" w:rsidTr="003E18A4">
        <w:tc>
          <w:tcPr>
            <w:tcW w:w="817" w:type="dxa"/>
          </w:tcPr>
          <w:p w14:paraId="6585826B" w14:textId="77777777" w:rsidR="00BC051C" w:rsidRPr="00137A5F" w:rsidRDefault="00BC051C" w:rsidP="003E18A4">
            <w:pPr>
              <w:pStyle w:val="TableText"/>
              <w:spacing w:before="0" w:after="0" w:line="276" w:lineRule="auto"/>
              <w:rPr>
                <w:szCs w:val="16"/>
              </w:rPr>
            </w:pPr>
            <w:r>
              <w:rPr>
                <w:szCs w:val="16"/>
              </w:rPr>
              <w:t>8</w:t>
            </w:r>
          </w:p>
        </w:tc>
        <w:tc>
          <w:tcPr>
            <w:tcW w:w="7229" w:type="dxa"/>
            <w:shd w:val="clear" w:color="auto" w:fill="auto"/>
          </w:tcPr>
          <w:p w14:paraId="4DE940E6" w14:textId="77777777" w:rsidR="00BC051C" w:rsidRPr="00137A5F" w:rsidRDefault="00BC051C" w:rsidP="003E18A4">
            <w:pPr>
              <w:pStyle w:val="TableText"/>
              <w:spacing w:before="0" w:after="0" w:line="276" w:lineRule="auto"/>
              <w:rPr>
                <w:szCs w:val="16"/>
              </w:rPr>
            </w:pPr>
            <w:r w:rsidRPr="00137A5F">
              <w:rPr>
                <w:szCs w:val="16"/>
              </w:rPr>
              <w:t>Action Research on Tonga National Leadership Development Forum (H Lee / La Trobe)</w:t>
            </w:r>
            <w:r>
              <w:rPr>
                <w:szCs w:val="16"/>
              </w:rPr>
              <w:t xml:space="preserve"> Field reports available on request</w:t>
            </w:r>
          </w:p>
        </w:tc>
        <w:tc>
          <w:tcPr>
            <w:tcW w:w="1499" w:type="dxa"/>
            <w:shd w:val="clear" w:color="auto" w:fill="auto"/>
          </w:tcPr>
          <w:p w14:paraId="086BA554" w14:textId="77777777" w:rsidR="00BC051C" w:rsidRPr="00137A5F" w:rsidRDefault="00BC051C" w:rsidP="003E18A4">
            <w:pPr>
              <w:pStyle w:val="TableText"/>
              <w:spacing w:before="0" w:after="0" w:line="276" w:lineRule="auto"/>
              <w:rPr>
                <w:szCs w:val="16"/>
              </w:rPr>
            </w:pPr>
            <w:r>
              <w:rPr>
                <w:szCs w:val="16"/>
              </w:rPr>
              <w:t xml:space="preserve">2014 – present (ongoing) </w:t>
            </w:r>
          </w:p>
        </w:tc>
      </w:tr>
      <w:tr w:rsidR="00BC051C" w:rsidRPr="00E72304" w14:paraId="599F409F" w14:textId="77777777" w:rsidTr="003E18A4">
        <w:tc>
          <w:tcPr>
            <w:tcW w:w="817" w:type="dxa"/>
          </w:tcPr>
          <w:p w14:paraId="65264D17" w14:textId="77777777" w:rsidR="00BC051C" w:rsidRPr="00137A5F" w:rsidRDefault="00BC051C" w:rsidP="003E18A4">
            <w:pPr>
              <w:pStyle w:val="TableText"/>
              <w:spacing w:before="0" w:after="0" w:line="276" w:lineRule="auto"/>
              <w:rPr>
                <w:szCs w:val="16"/>
              </w:rPr>
            </w:pPr>
            <w:r>
              <w:rPr>
                <w:szCs w:val="16"/>
              </w:rPr>
              <w:t>9</w:t>
            </w:r>
          </w:p>
        </w:tc>
        <w:tc>
          <w:tcPr>
            <w:tcW w:w="7229" w:type="dxa"/>
            <w:shd w:val="clear" w:color="auto" w:fill="auto"/>
          </w:tcPr>
          <w:p w14:paraId="09685083" w14:textId="77777777" w:rsidR="00BC051C" w:rsidRPr="00137A5F" w:rsidRDefault="00BC051C" w:rsidP="003E18A4">
            <w:pPr>
              <w:pStyle w:val="TableText"/>
              <w:spacing w:before="0" w:after="0" w:line="276" w:lineRule="auto"/>
              <w:rPr>
                <w:szCs w:val="16"/>
              </w:rPr>
            </w:pPr>
            <w:r w:rsidRPr="00137A5F">
              <w:rPr>
                <w:szCs w:val="16"/>
              </w:rPr>
              <w:t>Action Research on Vanuatu Women in Shared Decision Making (B Rousseau / La Trobe)</w:t>
            </w:r>
            <w:r w:rsidRPr="000B7819">
              <w:rPr>
                <w:szCs w:val="16"/>
              </w:rPr>
              <w:t xml:space="preserve"> Update available on request</w:t>
            </w:r>
          </w:p>
        </w:tc>
        <w:tc>
          <w:tcPr>
            <w:tcW w:w="1499" w:type="dxa"/>
            <w:shd w:val="clear" w:color="auto" w:fill="auto"/>
          </w:tcPr>
          <w:p w14:paraId="01E56D50" w14:textId="77777777" w:rsidR="00BC051C" w:rsidRPr="00137A5F" w:rsidRDefault="00BC051C" w:rsidP="003E18A4">
            <w:pPr>
              <w:pStyle w:val="TableText"/>
              <w:spacing w:before="0" w:after="0" w:line="276" w:lineRule="auto"/>
              <w:rPr>
                <w:szCs w:val="16"/>
              </w:rPr>
            </w:pPr>
            <w:r>
              <w:rPr>
                <w:szCs w:val="16"/>
              </w:rPr>
              <w:t>July 2015 – June 2016</w:t>
            </w:r>
          </w:p>
        </w:tc>
      </w:tr>
      <w:tr w:rsidR="00BC051C" w:rsidRPr="00E72304" w14:paraId="71E2BDE2" w14:textId="77777777" w:rsidTr="003E18A4">
        <w:tc>
          <w:tcPr>
            <w:tcW w:w="817" w:type="dxa"/>
          </w:tcPr>
          <w:p w14:paraId="4D7EF432" w14:textId="77777777" w:rsidR="00BC051C" w:rsidRPr="00E72304" w:rsidRDefault="00BC051C" w:rsidP="003E18A4">
            <w:pPr>
              <w:pStyle w:val="TableText"/>
              <w:spacing w:before="0" w:after="0" w:line="276" w:lineRule="auto"/>
              <w:rPr>
                <w:szCs w:val="16"/>
              </w:rPr>
            </w:pPr>
            <w:r>
              <w:rPr>
                <w:szCs w:val="16"/>
              </w:rPr>
              <w:t>10</w:t>
            </w:r>
          </w:p>
        </w:tc>
        <w:tc>
          <w:tcPr>
            <w:tcW w:w="7229" w:type="dxa"/>
            <w:shd w:val="clear" w:color="auto" w:fill="auto"/>
          </w:tcPr>
          <w:p w14:paraId="1A6B0A3E" w14:textId="77777777" w:rsidR="00BC051C" w:rsidRPr="00E72304" w:rsidRDefault="00BC051C" w:rsidP="003E18A4">
            <w:pPr>
              <w:pStyle w:val="TableText"/>
              <w:spacing w:before="0" w:after="0" w:line="276" w:lineRule="auto"/>
              <w:rPr>
                <w:szCs w:val="16"/>
              </w:rPr>
            </w:pPr>
            <w:r w:rsidRPr="00E72304">
              <w:rPr>
                <w:szCs w:val="16"/>
              </w:rPr>
              <w:t>Evaluation of the Solomon Islands Youth</w:t>
            </w:r>
            <w:r>
              <w:rPr>
                <w:szCs w:val="16"/>
              </w:rPr>
              <w:t>@</w:t>
            </w:r>
            <w:r w:rsidRPr="00E72304">
              <w:rPr>
                <w:szCs w:val="16"/>
              </w:rPr>
              <w:t>Work Program / Report (D McDonald and D Kyloh / La Trobe)</w:t>
            </w:r>
            <w:r>
              <w:rPr>
                <w:szCs w:val="16"/>
              </w:rPr>
              <w:t xml:space="preserve"> </w:t>
            </w:r>
            <w:hyperlink r:id="rId30" w:history="1">
              <w:r w:rsidRPr="00F81E11">
                <w:rPr>
                  <w:rStyle w:val="Hyperlink"/>
                  <w:rFonts w:eastAsiaTheme="majorEastAsia"/>
                  <w:szCs w:val="16"/>
                </w:rPr>
                <w:t>http://www.plp.org.fj/wp-content/uploads/2016/05/PLP_Y@W-Evaluation-Report-Final.pdf</w:t>
              </w:r>
            </w:hyperlink>
          </w:p>
        </w:tc>
        <w:tc>
          <w:tcPr>
            <w:tcW w:w="1499" w:type="dxa"/>
            <w:shd w:val="clear" w:color="auto" w:fill="auto"/>
          </w:tcPr>
          <w:p w14:paraId="1774AB77" w14:textId="77777777" w:rsidR="00BC051C" w:rsidRPr="00E72304" w:rsidRDefault="00BC051C" w:rsidP="003E18A4">
            <w:pPr>
              <w:pStyle w:val="TableText"/>
              <w:spacing w:before="0" w:after="0" w:line="276" w:lineRule="auto"/>
              <w:rPr>
                <w:szCs w:val="16"/>
              </w:rPr>
            </w:pPr>
            <w:r w:rsidRPr="00E72304">
              <w:rPr>
                <w:szCs w:val="16"/>
              </w:rPr>
              <w:t>December 2015</w:t>
            </w:r>
          </w:p>
        </w:tc>
      </w:tr>
      <w:tr w:rsidR="00BC051C" w:rsidRPr="00E72304" w14:paraId="1B7EE579" w14:textId="77777777" w:rsidTr="003E18A4">
        <w:tc>
          <w:tcPr>
            <w:tcW w:w="817" w:type="dxa"/>
          </w:tcPr>
          <w:p w14:paraId="229B7626" w14:textId="77777777" w:rsidR="00BC051C" w:rsidRPr="00F81E11" w:rsidRDefault="00BC051C" w:rsidP="003E18A4">
            <w:pPr>
              <w:rPr>
                <w:sz w:val="16"/>
                <w:szCs w:val="16"/>
              </w:rPr>
            </w:pPr>
            <w:r>
              <w:rPr>
                <w:sz w:val="16"/>
                <w:szCs w:val="16"/>
              </w:rPr>
              <w:t>11</w:t>
            </w:r>
          </w:p>
        </w:tc>
        <w:tc>
          <w:tcPr>
            <w:tcW w:w="7229" w:type="dxa"/>
            <w:shd w:val="clear" w:color="auto" w:fill="auto"/>
          </w:tcPr>
          <w:p w14:paraId="41104AC6" w14:textId="77777777" w:rsidR="00BC051C" w:rsidRPr="00E72304" w:rsidRDefault="00BC051C" w:rsidP="003E18A4">
            <w:pPr>
              <w:pStyle w:val="TableText"/>
              <w:spacing w:before="0" w:after="0" w:line="276" w:lineRule="auto"/>
              <w:rPr>
                <w:szCs w:val="16"/>
              </w:rPr>
            </w:pPr>
            <w:r w:rsidRPr="00E72304">
              <w:rPr>
                <w:szCs w:val="16"/>
              </w:rPr>
              <w:t>Pacific Regional Youth Employment Scan / Report  (J Barbara and H McMahon / ANU SSGM)</w:t>
            </w:r>
            <w:r>
              <w:rPr>
                <w:szCs w:val="16"/>
              </w:rPr>
              <w:t xml:space="preserve">  </w:t>
            </w:r>
            <w:hyperlink r:id="rId31" w:history="1">
              <w:r w:rsidRPr="00F81E11">
                <w:rPr>
                  <w:rStyle w:val="Hyperlink"/>
                  <w:rFonts w:eastAsiaTheme="majorEastAsia"/>
                  <w:szCs w:val="16"/>
                </w:rPr>
                <w:t>http://www.plp.org.fj/wp-content/uploads/2016/05/PLP_Pacific-Region-Youth-Employment-Scan_Final.pdf</w:t>
              </w:r>
            </w:hyperlink>
          </w:p>
        </w:tc>
        <w:tc>
          <w:tcPr>
            <w:tcW w:w="1499" w:type="dxa"/>
            <w:shd w:val="clear" w:color="auto" w:fill="auto"/>
          </w:tcPr>
          <w:p w14:paraId="291165E6" w14:textId="77777777" w:rsidR="00BC051C" w:rsidRPr="00E72304" w:rsidRDefault="00BC051C" w:rsidP="003E18A4">
            <w:pPr>
              <w:pStyle w:val="TableText"/>
              <w:spacing w:before="0" w:after="0" w:line="276" w:lineRule="auto"/>
              <w:rPr>
                <w:szCs w:val="16"/>
              </w:rPr>
            </w:pPr>
            <w:r w:rsidRPr="00E72304">
              <w:rPr>
                <w:szCs w:val="16"/>
              </w:rPr>
              <w:t>December 2015</w:t>
            </w:r>
          </w:p>
        </w:tc>
      </w:tr>
      <w:tr w:rsidR="00BC051C" w:rsidRPr="00E72304" w14:paraId="259A0998" w14:textId="77777777" w:rsidTr="003E18A4">
        <w:tc>
          <w:tcPr>
            <w:tcW w:w="817" w:type="dxa"/>
          </w:tcPr>
          <w:p w14:paraId="6E362048" w14:textId="77777777" w:rsidR="00BC051C" w:rsidRPr="00F81E11" w:rsidRDefault="00BC051C" w:rsidP="003E18A4">
            <w:pPr>
              <w:rPr>
                <w:sz w:val="16"/>
                <w:szCs w:val="16"/>
              </w:rPr>
            </w:pPr>
            <w:r>
              <w:rPr>
                <w:sz w:val="16"/>
                <w:szCs w:val="16"/>
              </w:rPr>
              <w:t>12</w:t>
            </w:r>
          </w:p>
        </w:tc>
        <w:tc>
          <w:tcPr>
            <w:tcW w:w="7229" w:type="dxa"/>
            <w:shd w:val="clear" w:color="auto" w:fill="auto"/>
          </w:tcPr>
          <w:p w14:paraId="2D815561" w14:textId="77777777" w:rsidR="00BC051C" w:rsidRPr="00C108BB" w:rsidRDefault="00BC051C" w:rsidP="003E18A4">
            <w:pPr>
              <w:pStyle w:val="TableText"/>
              <w:spacing w:before="0" w:after="0"/>
            </w:pPr>
            <w:r w:rsidRPr="00C108BB">
              <w:t>The Pacific Leadership Program’s Approach to Action Research (Policy Brief/ Discussion Paper) (M.O’Keefe/</w:t>
            </w:r>
            <w:r>
              <w:t xml:space="preserve"> </w:t>
            </w:r>
            <w:r w:rsidRPr="00C108BB">
              <w:t>LaTrobe)</w:t>
            </w:r>
            <w:r>
              <w:t xml:space="preserve"> </w:t>
            </w:r>
            <w:r w:rsidRPr="00F81E11">
              <w:rPr>
                <w:szCs w:val="16"/>
              </w:rPr>
              <w:t>Available on Request</w:t>
            </w:r>
          </w:p>
        </w:tc>
        <w:tc>
          <w:tcPr>
            <w:tcW w:w="1499" w:type="dxa"/>
            <w:shd w:val="clear" w:color="auto" w:fill="auto"/>
          </w:tcPr>
          <w:p w14:paraId="55B54161" w14:textId="77777777" w:rsidR="00BC051C" w:rsidRPr="00C108BB" w:rsidRDefault="00BC051C" w:rsidP="003E18A4">
            <w:pPr>
              <w:pStyle w:val="TableText"/>
              <w:spacing w:before="0" w:after="0"/>
            </w:pPr>
            <w:r w:rsidRPr="00C108BB">
              <w:t>May 2015</w:t>
            </w:r>
          </w:p>
        </w:tc>
      </w:tr>
      <w:tr w:rsidR="00BC051C" w:rsidRPr="00E72304" w14:paraId="7F6142E3" w14:textId="77777777" w:rsidTr="003E18A4">
        <w:tc>
          <w:tcPr>
            <w:tcW w:w="817" w:type="dxa"/>
          </w:tcPr>
          <w:p w14:paraId="216EE084" w14:textId="77777777" w:rsidR="00BC051C" w:rsidRPr="00F81E11" w:rsidRDefault="00BC051C" w:rsidP="003E18A4">
            <w:pPr>
              <w:rPr>
                <w:sz w:val="16"/>
                <w:szCs w:val="16"/>
              </w:rPr>
            </w:pPr>
            <w:r>
              <w:rPr>
                <w:sz w:val="16"/>
                <w:szCs w:val="16"/>
              </w:rPr>
              <w:t>13</w:t>
            </w:r>
          </w:p>
        </w:tc>
        <w:tc>
          <w:tcPr>
            <w:tcW w:w="7229" w:type="dxa"/>
            <w:shd w:val="clear" w:color="auto" w:fill="auto"/>
          </w:tcPr>
          <w:p w14:paraId="35A7E8B1" w14:textId="77777777" w:rsidR="00BC051C" w:rsidRPr="00E72304" w:rsidRDefault="00BC051C" w:rsidP="003E18A4">
            <w:pPr>
              <w:pStyle w:val="TableText"/>
              <w:spacing w:before="0" w:after="0" w:line="276" w:lineRule="auto"/>
              <w:rPr>
                <w:szCs w:val="16"/>
              </w:rPr>
            </w:pPr>
            <w:r>
              <w:rPr>
                <w:szCs w:val="16"/>
              </w:rPr>
              <w:t xml:space="preserve">Tonga Private Sector Scan Report J Barbara (ANU SSGM)  </w:t>
            </w:r>
            <w:hyperlink r:id="rId32" w:history="1">
              <w:r w:rsidRPr="00137A5F">
                <w:rPr>
                  <w:rStyle w:val="Hyperlink"/>
                  <w:rFonts w:eastAsiaTheme="majorEastAsia"/>
                  <w:szCs w:val="16"/>
                </w:rPr>
                <w:t>http://www.plp.org.fj/wp-content/uploads/2017/03/PLP-Report-Tonga-Private-Sector-Scan-April-2015.pdf</w:t>
              </w:r>
            </w:hyperlink>
          </w:p>
        </w:tc>
        <w:tc>
          <w:tcPr>
            <w:tcW w:w="1499" w:type="dxa"/>
            <w:shd w:val="clear" w:color="auto" w:fill="auto"/>
          </w:tcPr>
          <w:p w14:paraId="0596A5BF" w14:textId="77777777" w:rsidR="00BC051C" w:rsidRPr="00E72304" w:rsidRDefault="00BC051C" w:rsidP="003E18A4">
            <w:pPr>
              <w:pStyle w:val="TableText"/>
              <w:spacing w:before="0" w:after="0" w:line="276" w:lineRule="auto"/>
              <w:rPr>
                <w:szCs w:val="16"/>
              </w:rPr>
            </w:pPr>
            <w:r>
              <w:rPr>
                <w:szCs w:val="16"/>
              </w:rPr>
              <w:t>April 2015</w:t>
            </w:r>
          </w:p>
        </w:tc>
      </w:tr>
      <w:tr w:rsidR="00BC051C" w:rsidRPr="00E72304" w14:paraId="7B461B37" w14:textId="77777777" w:rsidTr="003E18A4">
        <w:tc>
          <w:tcPr>
            <w:tcW w:w="817" w:type="dxa"/>
          </w:tcPr>
          <w:p w14:paraId="514FE8A3" w14:textId="77777777" w:rsidR="00BC051C" w:rsidRPr="00F81E11" w:rsidRDefault="00BC051C" w:rsidP="003E18A4">
            <w:pPr>
              <w:rPr>
                <w:sz w:val="16"/>
                <w:szCs w:val="16"/>
              </w:rPr>
            </w:pPr>
            <w:r>
              <w:rPr>
                <w:sz w:val="16"/>
                <w:szCs w:val="16"/>
              </w:rPr>
              <w:t>14</w:t>
            </w:r>
          </w:p>
        </w:tc>
        <w:tc>
          <w:tcPr>
            <w:tcW w:w="7229" w:type="dxa"/>
            <w:shd w:val="clear" w:color="auto" w:fill="auto"/>
          </w:tcPr>
          <w:p w14:paraId="019C9DE5" w14:textId="77777777" w:rsidR="00BC051C" w:rsidRPr="00F81E11" w:rsidRDefault="00BC051C" w:rsidP="003E18A4">
            <w:pPr>
              <w:rPr>
                <w:sz w:val="16"/>
                <w:szCs w:val="16"/>
              </w:rPr>
            </w:pPr>
            <w:r w:rsidRPr="00F81E11">
              <w:rPr>
                <w:sz w:val="16"/>
                <w:szCs w:val="16"/>
              </w:rPr>
              <w:t xml:space="preserve">Solomon Islands Youth Market Report 3 (Pasifiki Services Limited) </w:t>
            </w:r>
            <w:r w:rsidRPr="000B7819">
              <w:rPr>
                <w:sz w:val="16"/>
                <w:szCs w:val="16"/>
              </w:rPr>
              <w:t>Available on Request</w:t>
            </w:r>
          </w:p>
        </w:tc>
        <w:tc>
          <w:tcPr>
            <w:tcW w:w="1499" w:type="dxa"/>
            <w:shd w:val="clear" w:color="auto" w:fill="auto"/>
          </w:tcPr>
          <w:p w14:paraId="70620426" w14:textId="77777777" w:rsidR="00BC051C" w:rsidRPr="00FE4641" w:rsidRDefault="00BC051C" w:rsidP="003E18A4">
            <w:pPr>
              <w:pStyle w:val="TableText"/>
              <w:tabs>
                <w:tab w:val="center" w:pos="1309"/>
              </w:tabs>
              <w:spacing w:before="0" w:after="0"/>
            </w:pPr>
            <w:r>
              <w:t>September 2014</w:t>
            </w:r>
            <w:r>
              <w:tab/>
            </w:r>
          </w:p>
        </w:tc>
      </w:tr>
      <w:tr w:rsidR="00BC051C" w:rsidRPr="00E72304" w14:paraId="2225F884" w14:textId="77777777" w:rsidTr="003E18A4">
        <w:tc>
          <w:tcPr>
            <w:tcW w:w="817" w:type="dxa"/>
          </w:tcPr>
          <w:p w14:paraId="4B8F0AA3" w14:textId="77777777" w:rsidR="00BC051C" w:rsidRPr="00F81E11" w:rsidRDefault="00BC051C" w:rsidP="003E18A4">
            <w:pPr>
              <w:rPr>
                <w:sz w:val="16"/>
                <w:szCs w:val="16"/>
              </w:rPr>
            </w:pPr>
            <w:r>
              <w:rPr>
                <w:sz w:val="16"/>
                <w:szCs w:val="16"/>
              </w:rPr>
              <w:t>15</w:t>
            </w:r>
          </w:p>
        </w:tc>
        <w:tc>
          <w:tcPr>
            <w:tcW w:w="7229" w:type="dxa"/>
            <w:shd w:val="clear" w:color="auto" w:fill="auto"/>
          </w:tcPr>
          <w:p w14:paraId="4997DA38" w14:textId="77777777" w:rsidR="00BC051C" w:rsidRPr="00F81E11" w:rsidRDefault="00BC051C" w:rsidP="003E18A4">
            <w:pPr>
              <w:rPr>
                <w:sz w:val="16"/>
                <w:szCs w:val="16"/>
              </w:rPr>
            </w:pPr>
            <w:r w:rsidRPr="00F81E11">
              <w:rPr>
                <w:sz w:val="16"/>
                <w:szCs w:val="16"/>
              </w:rPr>
              <w:t xml:space="preserve">Solomon Islands Choiseul Taro YAW Tracer Study 1 (Pasifiki Services Limited) </w:t>
            </w:r>
            <w:r w:rsidRPr="000B7819">
              <w:rPr>
                <w:sz w:val="16"/>
                <w:szCs w:val="16"/>
              </w:rPr>
              <w:t>Available on Request</w:t>
            </w:r>
          </w:p>
        </w:tc>
        <w:tc>
          <w:tcPr>
            <w:tcW w:w="1499" w:type="dxa"/>
            <w:shd w:val="clear" w:color="auto" w:fill="auto"/>
          </w:tcPr>
          <w:p w14:paraId="619B695D" w14:textId="77777777" w:rsidR="00BC051C" w:rsidRPr="00FE4641" w:rsidRDefault="00BC051C" w:rsidP="003E18A4">
            <w:pPr>
              <w:pStyle w:val="TableText"/>
              <w:spacing w:before="0" w:after="0"/>
            </w:pPr>
            <w:r>
              <w:t>September 2014</w:t>
            </w:r>
          </w:p>
        </w:tc>
      </w:tr>
      <w:tr w:rsidR="00BC051C" w:rsidRPr="00E72304" w14:paraId="533D8C08" w14:textId="77777777" w:rsidTr="003E18A4">
        <w:tc>
          <w:tcPr>
            <w:tcW w:w="817" w:type="dxa"/>
          </w:tcPr>
          <w:p w14:paraId="25BBB0BA" w14:textId="77777777" w:rsidR="00BC051C" w:rsidRPr="00F81E11" w:rsidRDefault="00BC051C" w:rsidP="003E18A4">
            <w:pPr>
              <w:rPr>
                <w:sz w:val="16"/>
                <w:szCs w:val="16"/>
              </w:rPr>
            </w:pPr>
            <w:r>
              <w:rPr>
                <w:sz w:val="16"/>
                <w:szCs w:val="16"/>
              </w:rPr>
              <w:t>16</w:t>
            </w:r>
          </w:p>
        </w:tc>
        <w:tc>
          <w:tcPr>
            <w:tcW w:w="7229" w:type="dxa"/>
            <w:shd w:val="clear" w:color="auto" w:fill="auto"/>
          </w:tcPr>
          <w:p w14:paraId="2C77A211" w14:textId="77777777" w:rsidR="00BC051C" w:rsidRPr="00F81E11" w:rsidRDefault="00BC051C" w:rsidP="003E18A4">
            <w:pPr>
              <w:rPr>
                <w:sz w:val="16"/>
                <w:szCs w:val="16"/>
              </w:rPr>
            </w:pPr>
            <w:r w:rsidRPr="00F81E11">
              <w:rPr>
                <w:sz w:val="16"/>
                <w:szCs w:val="16"/>
              </w:rPr>
              <w:t xml:space="preserve">Solomon Islands YAW Entrepreneur Program Report 2 (Pasifiki Services Limited) </w:t>
            </w:r>
            <w:r w:rsidRPr="000B7819">
              <w:rPr>
                <w:sz w:val="16"/>
                <w:szCs w:val="16"/>
              </w:rPr>
              <w:t>Ava</w:t>
            </w:r>
            <w:r>
              <w:rPr>
                <w:sz w:val="16"/>
                <w:szCs w:val="16"/>
              </w:rPr>
              <w:t xml:space="preserve">ilable on </w:t>
            </w:r>
            <w:r w:rsidRPr="000B7819">
              <w:rPr>
                <w:sz w:val="16"/>
                <w:szCs w:val="16"/>
              </w:rPr>
              <w:t>Request</w:t>
            </w:r>
          </w:p>
        </w:tc>
        <w:tc>
          <w:tcPr>
            <w:tcW w:w="1499" w:type="dxa"/>
            <w:shd w:val="clear" w:color="auto" w:fill="auto"/>
          </w:tcPr>
          <w:p w14:paraId="04913F7F" w14:textId="77777777" w:rsidR="00BC051C" w:rsidRPr="002C3607" w:rsidRDefault="00BC051C" w:rsidP="003E18A4">
            <w:pPr>
              <w:pStyle w:val="TableText"/>
              <w:spacing w:before="0" w:after="0"/>
            </w:pPr>
            <w:r>
              <w:t>September 2014</w:t>
            </w:r>
          </w:p>
        </w:tc>
      </w:tr>
      <w:tr w:rsidR="00BC051C" w:rsidRPr="00E72304" w14:paraId="4EC6343C" w14:textId="77777777" w:rsidTr="003E18A4">
        <w:tc>
          <w:tcPr>
            <w:tcW w:w="817" w:type="dxa"/>
            <w:shd w:val="clear" w:color="auto" w:fill="E5DFEC" w:themeFill="accent4" w:themeFillTint="33"/>
          </w:tcPr>
          <w:p w14:paraId="7B31DEC7" w14:textId="77777777" w:rsidR="00BC051C" w:rsidRPr="00E72304" w:rsidRDefault="00BC051C" w:rsidP="003E18A4">
            <w:pPr>
              <w:pStyle w:val="TableText"/>
              <w:spacing w:before="0" w:after="0" w:line="276" w:lineRule="auto"/>
              <w:rPr>
                <w:b/>
                <w:szCs w:val="16"/>
              </w:rPr>
            </w:pPr>
          </w:p>
        </w:tc>
        <w:tc>
          <w:tcPr>
            <w:tcW w:w="7229" w:type="dxa"/>
            <w:shd w:val="clear" w:color="auto" w:fill="E5DFEC" w:themeFill="accent4" w:themeFillTint="33"/>
          </w:tcPr>
          <w:p w14:paraId="433C6A42" w14:textId="77777777" w:rsidR="00BC051C" w:rsidRPr="00E72304" w:rsidRDefault="00BC051C" w:rsidP="003E18A4">
            <w:pPr>
              <w:pStyle w:val="TableText"/>
              <w:spacing w:before="0" w:after="0" w:line="276" w:lineRule="auto"/>
              <w:rPr>
                <w:b/>
                <w:szCs w:val="16"/>
              </w:rPr>
            </w:pPr>
            <w:r>
              <w:rPr>
                <w:b/>
                <w:szCs w:val="16"/>
              </w:rPr>
              <w:t xml:space="preserve">PLP / DLP/ Other </w:t>
            </w:r>
            <w:r w:rsidRPr="00E72304">
              <w:rPr>
                <w:b/>
                <w:szCs w:val="16"/>
              </w:rPr>
              <w:t>Joint Research and Publications</w:t>
            </w:r>
          </w:p>
        </w:tc>
        <w:tc>
          <w:tcPr>
            <w:tcW w:w="1499" w:type="dxa"/>
            <w:shd w:val="clear" w:color="auto" w:fill="E5DFEC" w:themeFill="accent4" w:themeFillTint="33"/>
          </w:tcPr>
          <w:p w14:paraId="7FC54A74" w14:textId="77777777" w:rsidR="00BC051C" w:rsidRPr="00E72304" w:rsidRDefault="00BC051C" w:rsidP="003E18A4">
            <w:pPr>
              <w:pStyle w:val="TableText"/>
              <w:spacing w:before="0" w:after="0" w:line="276" w:lineRule="auto"/>
              <w:rPr>
                <w:b/>
                <w:szCs w:val="16"/>
              </w:rPr>
            </w:pPr>
          </w:p>
        </w:tc>
      </w:tr>
      <w:tr w:rsidR="00BC051C" w:rsidRPr="00E72304" w14:paraId="1B9CA236" w14:textId="77777777" w:rsidTr="003E18A4">
        <w:tc>
          <w:tcPr>
            <w:tcW w:w="817" w:type="dxa"/>
          </w:tcPr>
          <w:p w14:paraId="24CEB173" w14:textId="77777777" w:rsidR="00BC051C" w:rsidRPr="00137A5F" w:rsidRDefault="00BC051C" w:rsidP="003E18A4">
            <w:pPr>
              <w:pStyle w:val="TableText"/>
              <w:spacing w:before="0" w:after="0" w:line="276" w:lineRule="auto"/>
              <w:rPr>
                <w:rFonts w:cs="Arial"/>
                <w:szCs w:val="16"/>
              </w:rPr>
            </w:pPr>
            <w:r>
              <w:rPr>
                <w:rFonts w:cs="Arial"/>
                <w:szCs w:val="16"/>
              </w:rPr>
              <w:t>17</w:t>
            </w:r>
          </w:p>
        </w:tc>
        <w:tc>
          <w:tcPr>
            <w:tcW w:w="7229" w:type="dxa"/>
            <w:shd w:val="clear" w:color="auto" w:fill="auto"/>
          </w:tcPr>
          <w:p w14:paraId="287A3F7A" w14:textId="77777777" w:rsidR="00BC051C" w:rsidRPr="00F81E11" w:rsidRDefault="00BC051C" w:rsidP="003E18A4">
            <w:pPr>
              <w:pStyle w:val="TableText"/>
              <w:spacing w:before="0" w:after="0" w:line="276" w:lineRule="auto"/>
              <w:rPr>
                <w:rFonts w:cs="Arial"/>
                <w:szCs w:val="16"/>
                <w:highlight w:val="yellow"/>
              </w:rPr>
            </w:pPr>
            <w:r w:rsidRPr="00137A5F">
              <w:rPr>
                <w:rFonts w:cs="Arial"/>
                <w:szCs w:val="16"/>
              </w:rPr>
              <w:t>Supporting Coalition Based Reform in Vanuatu (B Rousseau</w:t>
            </w:r>
            <w:r>
              <w:rPr>
                <w:rFonts w:cs="Arial"/>
                <w:szCs w:val="16"/>
              </w:rPr>
              <w:t>/ La Trobe</w:t>
            </w:r>
            <w:r w:rsidRPr="00137A5F">
              <w:rPr>
                <w:rFonts w:cs="Arial"/>
                <w:szCs w:val="16"/>
              </w:rPr>
              <w:t xml:space="preserve"> and D Kenneth </w:t>
            </w:r>
            <w:r>
              <w:rPr>
                <w:rFonts w:cs="Arial"/>
                <w:szCs w:val="16"/>
              </w:rPr>
              <w:t>Watson/ Vanuatu Dept of Women’s Affairs</w:t>
            </w:r>
            <w:r w:rsidRPr="00137A5F">
              <w:rPr>
                <w:rFonts w:cs="Arial"/>
                <w:szCs w:val="16"/>
              </w:rPr>
              <w:t>)</w:t>
            </w:r>
            <w:r>
              <w:rPr>
                <w:rFonts w:cs="Arial"/>
                <w:szCs w:val="16"/>
              </w:rPr>
              <w:t xml:space="preserve"> – </w:t>
            </w:r>
            <w:r>
              <w:rPr>
                <w:szCs w:val="16"/>
              </w:rPr>
              <w:t>with DLP for editing/ formatting</w:t>
            </w:r>
          </w:p>
        </w:tc>
        <w:tc>
          <w:tcPr>
            <w:tcW w:w="1499" w:type="dxa"/>
            <w:shd w:val="clear" w:color="auto" w:fill="auto"/>
          </w:tcPr>
          <w:p w14:paraId="74E1F5B9" w14:textId="77777777" w:rsidR="00BC051C" w:rsidRPr="00F81E11" w:rsidRDefault="00BC051C" w:rsidP="003E18A4">
            <w:pPr>
              <w:pStyle w:val="TableText"/>
              <w:spacing w:before="0" w:after="0" w:line="276" w:lineRule="auto"/>
              <w:rPr>
                <w:szCs w:val="16"/>
                <w:highlight w:val="yellow"/>
              </w:rPr>
            </w:pPr>
            <w:r>
              <w:rPr>
                <w:szCs w:val="16"/>
              </w:rPr>
              <w:t>Forthcoming, due for publication June/ July 2017</w:t>
            </w:r>
          </w:p>
        </w:tc>
      </w:tr>
      <w:tr w:rsidR="00BC051C" w:rsidRPr="00E72304" w14:paraId="36F9013C" w14:textId="77777777" w:rsidTr="003E18A4">
        <w:tc>
          <w:tcPr>
            <w:tcW w:w="817" w:type="dxa"/>
          </w:tcPr>
          <w:p w14:paraId="6307A996" w14:textId="77777777" w:rsidR="00BC051C" w:rsidRDefault="00BC051C" w:rsidP="003E18A4">
            <w:pPr>
              <w:pStyle w:val="TableText"/>
              <w:spacing w:before="0" w:after="0" w:line="276" w:lineRule="auto"/>
              <w:rPr>
                <w:szCs w:val="16"/>
              </w:rPr>
            </w:pPr>
            <w:r>
              <w:rPr>
                <w:szCs w:val="16"/>
              </w:rPr>
              <w:t>18</w:t>
            </w:r>
          </w:p>
        </w:tc>
        <w:tc>
          <w:tcPr>
            <w:tcW w:w="7229" w:type="dxa"/>
            <w:shd w:val="clear" w:color="auto" w:fill="auto"/>
          </w:tcPr>
          <w:p w14:paraId="3801D3A2" w14:textId="77777777" w:rsidR="00BC051C" w:rsidRPr="00541E91" w:rsidRDefault="00BC051C" w:rsidP="003E18A4">
            <w:pPr>
              <w:pStyle w:val="TableText"/>
              <w:spacing w:before="0" w:after="0" w:line="276" w:lineRule="auto"/>
              <w:rPr>
                <w:szCs w:val="16"/>
              </w:rPr>
            </w:pPr>
            <w:r>
              <w:rPr>
                <w:szCs w:val="16"/>
              </w:rPr>
              <w:t>PLP Coalitions and Network Mapping project (A. Craney, R. Davies, D. Husdon)</w:t>
            </w:r>
          </w:p>
        </w:tc>
        <w:tc>
          <w:tcPr>
            <w:tcW w:w="1499" w:type="dxa"/>
            <w:shd w:val="clear" w:color="auto" w:fill="auto"/>
          </w:tcPr>
          <w:p w14:paraId="3920B628" w14:textId="77777777" w:rsidR="00BC051C" w:rsidRDefault="00BC051C" w:rsidP="003E18A4">
            <w:pPr>
              <w:pStyle w:val="TableText"/>
              <w:spacing w:before="0" w:after="0" w:line="276" w:lineRule="auto"/>
              <w:rPr>
                <w:szCs w:val="16"/>
              </w:rPr>
            </w:pPr>
            <w:r>
              <w:rPr>
                <w:szCs w:val="16"/>
              </w:rPr>
              <w:t>Forthcoming, due for publication June/ July 2017</w:t>
            </w:r>
          </w:p>
        </w:tc>
      </w:tr>
      <w:tr w:rsidR="00BC051C" w:rsidRPr="00E72304" w14:paraId="512FA7D6" w14:textId="77777777" w:rsidTr="003E18A4">
        <w:tc>
          <w:tcPr>
            <w:tcW w:w="817" w:type="dxa"/>
          </w:tcPr>
          <w:p w14:paraId="09B1396F" w14:textId="77777777" w:rsidR="00BC051C" w:rsidRDefault="00BC051C" w:rsidP="003E18A4">
            <w:pPr>
              <w:pStyle w:val="TableText"/>
              <w:spacing w:before="0" w:after="0" w:line="276" w:lineRule="auto"/>
              <w:rPr>
                <w:szCs w:val="16"/>
              </w:rPr>
            </w:pPr>
            <w:r>
              <w:rPr>
                <w:szCs w:val="16"/>
              </w:rPr>
              <w:t>19</w:t>
            </w:r>
          </w:p>
        </w:tc>
        <w:tc>
          <w:tcPr>
            <w:tcW w:w="7229" w:type="dxa"/>
            <w:shd w:val="clear" w:color="auto" w:fill="auto"/>
          </w:tcPr>
          <w:p w14:paraId="6EF51A9B" w14:textId="77777777" w:rsidR="00BC051C" w:rsidRPr="00137A5F" w:rsidRDefault="00BC051C" w:rsidP="003E18A4">
            <w:pPr>
              <w:pStyle w:val="TableText"/>
              <w:spacing w:before="0" w:after="0" w:line="276" w:lineRule="auto"/>
              <w:rPr>
                <w:szCs w:val="16"/>
              </w:rPr>
            </w:pPr>
            <w:r w:rsidRPr="00541E91">
              <w:rPr>
                <w:szCs w:val="16"/>
              </w:rPr>
              <w:t>T</w:t>
            </w:r>
            <w:r>
              <w:rPr>
                <w:szCs w:val="16"/>
              </w:rPr>
              <w:t>he Impact of ‘Green Growth’ in the Pacific Island Region, joint research with ANU Dev Policy Centre (M. Dornan), USP (S. Tarte and W. Morgan) and PLP (T. Newton Cain)</w:t>
            </w:r>
          </w:p>
        </w:tc>
        <w:tc>
          <w:tcPr>
            <w:tcW w:w="1499" w:type="dxa"/>
            <w:shd w:val="clear" w:color="auto" w:fill="auto"/>
          </w:tcPr>
          <w:p w14:paraId="4C0AB0DB" w14:textId="77777777" w:rsidR="00BC051C" w:rsidRPr="00137A5F" w:rsidRDefault="00BC051C" w:rsidP="003E18A4">
            <w:pPr>
              <w:pStyle w:val="TableText"/>
              <w:spacing w:before="0" w:after="0" w:line="276" w:lineRule="auto"/>
              <w:rPr>
                <w:szCs w:val="16"/>
              </w:rPr>
            </w:pPr>
            <w:r>
              <w:rPr>
                <w:szCs w:val="16"/>
              </w:rPr>
              <w:t>Forthcoming, due for completion June/ July 2017</w:t>
            </w:r>
          </w:p>
        </w:tc>
      </w:tr>
      <w:tr w:rsidR="00BC051C" w:rsidRPr="00E72304" w14:paraId="0BC3DE3A" w14:textId="77777777" w:rsidTr="003E18A4">
        <w:tc>
          <w:tcPr>
            <w:tcW w:w="817" w:type="dxa"/>
          </w:tcPr>
          <w:p w14:paraId="2C469443" w14:textId="77777777" w:rsidR="00BC051C" w:rsidRPr="00E72304" w:rsidRDefault="00BC051C" w:rsidP="003E18A4">
            <w:pPr>
              <w:pStyle w:val="TableText"/>
              <w:spacing w:before="0" w:after="0" w:line="276" w:lineRule="auto"/>
              <w:rPr>
                <w:szCs w:val="16"/>
              </w:rPr>
            </w:pPr>
            <w:r>
              <w:rPr>
                <w:szCs w:val="16"/>
              </w:rPr>
              <w:t>20</w:t>
            </w:r>
          </w:p>
        </w:tc>
        <w:tc>
          <w:tcPr>
            <w:tcW w:w="7229" w:type="dxa"/>
            <w:shd w:val="clear" w:color="auto" w:fill="auto"/>
          </w:tcPr>
          <w:p w14:paraId="2AB287D0" w14:textId="77777777" w:rsidR="00BC051C" w:rsidRPr="00E72304" w:rsidRDefault="00BC051C" w:rsidP="003E18A4">
            <w:pPr>
              <w:pStyle w:val="TableText"/>
              <w:spacing w:before="0" w:after="0" w:line="276" w:lineRule="auto"/>
              <w:rPr>
                <w:szCs w:val="16"/>
              </w:rPr>
            </w:pPr>
            <w:r w:rsidRPr="00E72304">
              <w:rPr>
                <w:szCs w:val="16"/>
              </w:rPr>
              <w:t>Coalitions for Change in the Pacific: A comparative analysis of PLP’s action-research case studies / Report and Policy Brief (L Denney and R McLaren)</w:t>
            </w:r>
            <w:r>
              <w:rPr>
                <w:szCs w:val="16"/>
              </w:rPr>
              <w:t xml:space="preserve"> </w:t>
            </w:r>
            <w:r>
              <w:rPr>
                <w:szCs w:val="16"/>
              </w:rPr>
              <w:br/>
            </w:r>
            <w:hyperlink r:id="rId33" w:history="1">
              <w:r w:rsidRPr="004E37C0">
                <w:rPr>
                  <w:rStyle w:val="Hyperlink"/>
                  <w:rFonts w:eastAsiaTheme="majorEastAsia"/>
                  <w:szCs w:val="16"/>
                </w:rPr>
                <w:t>http://www.plp.org.fj/wp-content/uploads/2016/11/Denney_McLaren.pdf</w:t>
              </w:r>
            </w:hyperlink>
          </w:p>
        </w:tc>
        <w:tc>
          <w:tcPr>
            <w:tcW w:w="1499" w:type="dxa"/>
            <w:shd w:val="clear" w:color="auto" w:fill="auto"/>
          </w:tcPr>
          <w:p w14:paraId="1E10F641" w14:textId="77777777" w:rsidR="00BC051C" w:rsidRPr="00E72304" w:rsidRDefault="00BC051C" w:rsidP="003E18A4">
            <w:pPr>
              <w:pStyle w:val="TableText"/>
              <w:spacing w:before="0" w:after="0" w:line="276" w:lineRule="auto"/>
              <w:rPr>
                <w:szCs w:val="16"/>
              </w:rPr>
            </w:pPr>
            <w:r w:rsidRPr="00E72304">
              <w:rPr>
                <w:szCs w:val="16"/>
              </w:rPr>
              <w:t>June 2016</w:t>
            </w:r>
          </w:p>
        </w:tc>
      </w:tr>
      <w:tr w:rsidR="00BC051C" w:rsidRPr="00E72304" w14:paraId="54CF71E2" w14:textId="77777777" w:rsidTr="003E18A4">
        <w:tc>
          <w:tcPr>
            <w:tcW w:w="817" w:type="dxa"/>
          </w:tcPr>
          <w:p w14:paraId="74311CE7" w14:textId="77777777" w:rsidR="00BC051C" w:rsidRPr="00137A5F" w:rsidRDefault="00BC051C" w:rsidP="003E18A4">
            <w:pPr>
              <w:pStyle w:val="TableText"/>
              <w:spacing w:before="0" w:after="0" w:line="276" w:lineRule="auto"/>
              <w:rPr>
                <w:szCs w:val="16"/>
              </w:rPr>
            </w:pPr>
            <w:r>
              <w:rPr>
                <w:szCs w:val="16"/>
              </w:rPr>
              <w:t>21</w:t>
            </w:r>
          </w:p>
        </w:tc>
        <w:tc>
          <w:tcPr>
            <w:tcW w:w="7229" w:type="dxa"/>
            <w:shd w:val="clear" w:color="auto" w:fill="auto"/>
          </w:tcPr>
          <w:p w14:paraId="1B2EAED9" w14:textId="77777777" w:rsidR="00BC051C" w:rsidRPr="00F81E11" w:rsidRDefault="00BC051C" w:rsidP="003E18A4">
            <w:pPr>
              <w:pStyle w:val="TableText"/>
              <w:spacing w:before="0" w:after="0" w:line="276" w:lineRule="auto"/>
              <w:rPr>
                <w:szCs w:val="16"/>
                <w:highlight w:val="yellow"/>
              </w:rPr>
            </w:pPr>
            <w:r w:rsidRPr="00137A5F">
              <w:rPr>
                <w:szCs w:val="16"/>
              </w:rPr>
              <w:t>The History of PLP in a Changing World / report and Policy Brief (D Rhodes)</w:t>
            </w:r>
            <w:r w:rsidRPr="000B7819">
              <w:rPr>
                <w:szCs w:val="16"/>
              </w:rPr>
              <w:t xml:space="preserve"> Update available on request</w:t>
            </w:r>
          </w:p>
        </w:tc>
        <w:tc>
          <w:tcPr>
            <w:tcW w:w="1499" w:type="dxa"/>
            <w:shd w:val="clear" w:color="auto" w:fill="auto"/>
          </w:tcPr>
          <w:p w14:paraId="68F68815" w14:textId="77777777" w:rsidR="00BC051C" w:rsidRPr="00F81E11" w:rsidRDefault="00BC051C" w:rsidP="003E18A4">
            <w:pPr>
              <w:pStyle w:val="TableText"/>
              <w:spacing w:before="0" w:after="0" w:line="276" w:lineRule="auto"/>
              <w:rPr>
                <w:szCs w:val="16"/>
                <w:highlight w:val="yellow"/>
              </w:rPr>
            </w:pPr>
            <w:r w:rsidRPr="00137A5F">
              <w:rPr>
                <w:szCs w:val="16"/>
              </w:rPr>
              <w:t>June 2016</w:t>
            </w:r>
          </w:p>
        </w:tc>
      </w:tr>
      <w:tr w:rsidR="00BC051C" w:rsidRPr="00E72304" w14:paraId="549E0008" w14:textId="77777777" w:rsidTr="003E18A4">
        <w:tc>
          <w:tcPr>
            <w:tcW w:w="817" w:type="dxa"/>
          </w:tcPr>
          <w:p w14:paraId="3550C64A" w14:textId="77777777" w:rsidR="00BC051C" w:rsidRPr="00E72304" w:rsidRDefault="00BC051C" w:rsidP="003E18A4">
            <w:pPr>
              <w:pStyle w:val="TableText"/>
              <w:spacing w:before="0" w:after="0" w:line="276" w:lineRule="auto"/>
              <w:rPr>
                <w:szCs w:val="16"/>
              </w:rPr>
            </w:pPr>
            <w:r>
              <w:rPr>
                <w:szCs w:val="16"/>
              </w:rPr>
              <w:t>22</w:t>
            </w:r>
          </w:p>
        </w:tc>
        <w:tc>
          <w:tcPr>
            <w:tcW w:w="7229" w:type="dxa"/>
            <w:shd w:val="clear" w:color="auto" w:fill="auto"/>
          </w:tcPr>
          <w:p w14:paraId="76D3E0E4" w14:textId="77777777" w:rsidR="00BC051C" w:rsidRPr="00E72304" w:rsidRDefault="00BC051C" w:rsidP="003E18A4">
            <w:pPr>
              <w:pStyle w:val="TableText"/>
              <w:spacing w:before="0" w:after="0" w:line="276" w:lineRule="auto"/>
              <w:rPr>
                <w:szCs w:val="16"/>
              </w:rPr>
            </w:pPr>
            <w:r w:rsidRPr="00E72304">
              <w:rPr>
                <w:szCs w:val="16"/>
              </w:rPr>
              <w:t>Coalitions for Change in the Pacific: A comparative analysis of PLP’s action-research case studies / Report and Policy Brief (L Denney and R McLaren)</w:t>
            </w:r>
            <w:r>
              <w:rPr>
                <w:szCs w:val="16"/>
              </w:rPr>
              <w:t xml:space="preserve"> </w:t>
            </w:r>
            <w:r>
              <w:rPr>
                <w:szCs w:val="16"/>
              </w:rPr>
              <w:br/>
            </w:r>
            <w:hyperlink r:id="rId34" w:history="1">
              <w:r w:rsidRPr="004E37C0">
                <w:rPr>
                  <w:rStyle w:val="Hyperlink"/>
                  <w:rFonts w:eastAsiaTheme="majorEastAsia"/>
                  <w:szCs w:val="16"/>
                </w:rPr>
                <w:t>http://www.plp.org.fj/wp-content/uploads/2016/11/Denney_McLaren.pdf</w:t>
              </w:r>
            </w:hyperlink>
          </w:p>
        </w:tc>
        <w:tc>
          <w:tcPr>
            <w:tcW w:w="1499" w:type="dxa"/>
            <w:shd w:val="clear" w:color="auto" w:fill="auto"/>
          </w:tcPr>
          <w:p w14:paraId="39678D21" w14:textId="77777777" w:rsidR="00BC051C" w:rsidRPr="00E72304" w:rsidRDefault="00BC051C" w:rsidP="003E18A4">
            <w:pPr>
              <w:pStyle w:val="TableText"/>
              <w:spacing w:before="0" w:after="0" w:line="276" w:lineRule="auto"/>
              <w:rPr>
                <w:szCs w:val="16"/>
              </w:rPr>
            </w:pPr>
            <w:r w:rsidRPr="00E72304">
              <w:rPr>
                <w:szCs w:val="16"/>
              </w:rPr>
              <w:t>June 2016</w:t>
            </w:r>
          </w:p>
        </w:tc>
      </w:tr>
      <w:tr w:rsidR="00BC051C" w:rsidRPr="00E72304" w14:paraId="08B0E6C4" w14:textId="77777777" w:rsidTr="003E18A4">
        <w:tc>
          <w:tcPr>
            <w:tcW w:w="817" w:type="dxa"/>
            <w:shd w:val="clear" w:color="auto" w:fill="E5DFEC" w:themeFill="accent4" w:themeFillTint="33"/>
          </w:tcPr>
          <w:p w14:paraId="4C7412F7" w14:textId="77777777" w:rsidR="00BC051C" w:rsidRPr="00E72304" w:rsidRDefault="00BC051C" w:rsidP="003E18A4">
            <w:pPr>
              <w:pStyle w:val="TableHeading"/>
              <w:spacing w:before="0" w:after="0" w:line="276" w:lineRule="auto"/>
              <w:rPr>
                <w:szCs w:val="16"/>
              </w:rPr>
            </w:pPr>
          </w:p>
        </w:tc>
        <w:tc>
          <w:tcPr>
            <w:tcW w:w="8728" w:type="dxa"/>
            <w:gridSpan w:val="2"/>
            <w:shd w:val="clear" w:color="auto" w:fill="E5DFEC" w:themeFill="accent4" w:themeFillTint="33"/>
          </w:tcPr>
          <w:p w14:paraId="1C086254" w14:textId="77777777" w:rsidR="00BC051C" w:rsidRPr="00E72304" w:rsidRDefault="00BC051C" w:rsidP="003E18A4">
            <w:pPr>
              <w:pStyle w:val="TableHeading"/>
              <w:spacing w:before="0" w:after="0" w:line="276" w:lineRule="auto"/>
              <w:rPr>
                <w:szCs w:val="16"/>
              </w:rPr>
            </w:pPr>
            <w:r w:rsidRPr="00E72304">
              <w:rPr>
                <w:szCs w:val="16"/>
              </w:rPr>
              <w:t>PLP Funded Partner Research, Analysis and M&amp;E</w:t>
            </w:r>
          </w:p>
        </w:tc>
      </w:tr>
      <w:tr w:rsidR="00BC051C" w:rsidRPr="00E72304" w14:paraId="2878C3B8" w14:textId="77777777" w:rsidTr="003E18A4">
        <w:tc>
          <w:tcPr>
            <w:tcW w:w="817" w:type="dxa"/>
          </w:tcPr>
          <w:p w14:paraId="0591B42A" w14:textId="77777777" w:rsidR="00BC051C" w:rsidRDefault="00BC051C" w:rsidP="003E18A4">
            <w:pPr>
              <w:pStyle w:val="TableText"/>
              <w:spacing w:before="0" w:after="0" w:line="276" w:lineRule="auto"/>
              <w:rPr>
                <w:rFonts w:cs="Arial"/>
                <w:szCs w:val="16"/>
              </w:rPr>
            </w:pPr>
            <w:r>
              <w:rPr>
                <w:rFonts w:cs="Arial"/>
                <w:szCs w:val="16"/>
              </w:rPr>
              <w:t>23</w:t>
            </w:r>
          </w:p>
        </w:tc>
        <w:tc>
          <w:tcPr>
            <w:tcW w:w="7229" w:type="dxa"/>
            <w:shd w:val="clear" w:color="auto" w:fill="auto"/>
          </w:tcPr>
          <w:p w14:paraId="41B96342" w14:textId="77777777" w:rsidR="00BC051C" w:rsidRPr="00137A5F" w:rsidRDefault="00BC051C" w:rsidP="003E18A4">
            <w:pPr>
              <w:pStyle w:val="TableText"/>
              <w:spacing w:before="0" w:after="0" w:line="276" w:lineRule="auto"/>
              <w:rPr>
                <w:rFonts w:cs="Arial"/>
                <w:szCs w:val="16"/>
              </w:rPr>
            </w:pPr>
            <w:r>
              <w:rPr>
                <w:rFonts w:cs="Arial"/>
                <w:szCs w:val="16"/>
              </w:rPr>
              <w:t>Tracer Study  of Leadership Samoa graduates/ alumni (Leadership Samoa Board and Australian volunteer) – internal quality document</w:t>
            </w:r>
          </w:p>
        </w:tc>
        <w:tc>
          <w:tcPr>
            <w:tcW w:w="1499" w:type="dxa"/>
            <w:shd w:val="clear" w:color="auto" w:fill="auto"/>
          </w:tcPr>
          <w:p w14:paraId="0021B711" w14:textId="77777777" w:rsidR="00BC051C" w:rsidRDefault="00BC051C" w:rsidP="003E18A4">
            <w:pPr>
              <w:pStyle w:val="TableText"/>
              <w:spacing w:before="0" w:after="0" w:line="276" w:lineRule="auto"/>
              <w:rPr>
                <w:szCs w:val="16"/>
              </w:rPr>
            </w:pPr>
            <w:r>
              <w:rPr>
                <w:szCs w:val="16"/>
              </w:rPr>
              <w:t>Forthcoming, due for completion June 2017</w:t>
            </w:r>
          </w:p>
        </w:tc>
      </w:tr>
      <w:tr w:rsidR="00BC051C" w:rsidRPr="00E72304" w14:paraId="653318B1" w14:textId="77777777" w:rsidTr="003E18A4">
        <w:tc>
          <w:tcPr>
            <w:tcW w:w="817" w:type="dxa"/>
          </w:tcPr>
          <w:p w14:paraId="3BF93AB2" w14:textId="77777777" w:rsidR="00BC051C" w:rsidRPr="00137A5F" w:rsidRDefault="00BC051C" w:rsidP="003E18A4">
            <w:pPr>
              <w:pStyle w:val="TableText"/>
              <w:spacing w:before="0" w:after="0" w:line="276" w:lineRule="auto"/>
              <w:rPr>
                <w:szCs w:val="16"/>
              </w:rPr>
            </w:pPr>
            <w:r>
              <w:rPr>
                <w:szCs w:val="16"/>
              </w:rPr>
              <w:t>24</w:t>
            </w:r>
          </w:p>
        </w:tc>
        <w:tc>
          <w:tcPr>
            <w:tcW w:w="7229" w:type="dxa"/>
            <w:shd w:val="clear" w:color="auto" w:fill="auto"/>
          </w:tcPr>
          <w:p w14:paraId="634D8026" w14:textId="77777777" w:rsidR="00BC051C" w:rsidRPr="00137A5F" w:rsidRDefault="00BC051C" w:rsidP="003E18A4">
            <w:pPr>
              <w:pStyle w:val="TableText"/>
              <w:spacing w:before="0" w:after="0" w:line="276" w:lineRule="auto"/>
              <w:rPr>
                <w:szCs w:val="16"/>
              </w:rPr>
            </w:pPr>
            <w:r w:rsidRPr="00137A5F">
              <w:rPr>
                <w:szCs w:val="16"/>
              </w:rPr>
              <w:t>Women's Access to Finance: A Comparative Study of financial institutions and lending for Tongan Businesswomen (V Fusimalogi)</w:t>
            </w:r>
            <w:r>
              <w:rPr>
                <w:szCs w:val="16"/>
              </w:rPr>
              <w:t xml:space="preserve"> </w:t>
            </w:r>
            <w:r w:rsidRPr="000B7819">
              <w:rPr>
                <w:szCs w:val="16"/>
              </w:rPr>
              <w:t>Update available on request</w:t>
            </w:r>
          </w:p>
        </w:tc>
        <w:tc>
          <w:tcPr>
            <w:tcW w:w="1499" w:type="dxa"/>
            <w:shd w:val="clear" w:color="auto" w:fill="auto"/>
          </w:tcPr>
          <w:p w14:paraId="2F3A2891" w14:textId="77777777" w:rsidR="00BC051C" w:rsidRPr="00F81E11" w:rsidRDefault="00BC051C" w:rsidP="003E18A4">
            <w:pPr>
              <w:pStyle w:val="TableText"/>
              <w:spacing w:before="0" w:after="0" w:line="276" w:lineRule="auto"/>
              <w:rPr>
                <w:szCs w:val="16"/>
                <w:highlight w:val="yellow"/>
              </w:rPr>
            </w:pPr>
            <w:r>
              <w:t>Forthcoming, due for completion June 2017</w:t>
            </w:r>
          </w:p>
        </w:tc>
      </w:tr>
      <w:tr w:rsidR="00BC051C" w:rsidRPr="00E72304" w14:paraId="30028A63" w14:textId="77777777" w:rsidTr="003E18A4">
        <w:tc>
          <w:tcPr>
            <w:tcW w:w="817" w:type="dxa"/>
          </w:tcPr>
          <w:p w14:paraId="74472C38" w14:textId="77777777" w:rsidR="00BC051C" w:rsidRDefault="00BC051C" w:rsidP="003E18A4">
            <w:pPr>
              <w:pStyle w:val="TableText"/>
              <w:spacing w:before="0" w:after="0"/>
            </w:pPr>
            <w:r>
              <w:t>25</w:t>
            </w:r>
          </w:p>
        </w:tc>
        <w:tc>
          <w:tcPr>
            <w:tcW w:w="7229" w:type="dxa"/>
            <w:shd w:val="clear" w:color="auto" w:fill="auto"/>
          </w:tcPr>
          <w:p w14:paraId="69784C17" w14:textId="77777777" w:rsidR="00BC051C" w:rsidRDefault="00BC051C" w:rsidP="003E18A4">
            <w:pPr>
              <w:pStyle w:val="TableText"/>
              <w:spacing w:before="0" w:after="0"/>
            </w:pPr>
            <w:r w:rsidRPr="002A3E65">
              <w:t>Review of T</w:t>
            </w:r>
            <w:r>
              <w:t xml:space="preserve">emporary </w:t>
            </w:r>
            <w:r w:rsidRPr="002A3E65">
              <w:t>S</w:t>
            </w:r>
            <w:r>
              <w:t xml:space="preserve">pecial </w:t>
            </w:r>
            <w:r w:rsidRPr="002A3E65">
              <w:t>M</w:t>
            </w:r>
            <w:r>
              <w:t>easures (TSM)</w:t>
            </w:r>
            <w:r w:rsidRPr="002A3E65">
              <w:t xml:space="preserve"> at municipal level </w:t>
            </w:r>
            <w:r>
              <w:t>in Vanuatu (Howard van Trease/USP)</w:t>
            </w:r>
          </w:p>
        </w:tc>
        <w:tc>
          <w:tcPr>
            <w:tcW w:w="1499" w:type="dxa"/>
            <w:shd w:val="clear" w:color="auto" w:fill="auto"/>
          </w:tcPr>
          <w:p w14:paraId="470BEFFD" w14:textId="77777777" w:rsidR="00BC051C" w:rsidRDefault="00BC051C" w:rsidP="003E18A4">
            <w:pPr>
              <w:pStyle w:val="TableText"/>
              <w:spacing w:before="0" w:after="0"/>
            </w:pPr>
            <w:r>
              <w:t>Forthcoming, due for completion June 2017</w:t>
            </w:r>
          </w:p>
        </w:tc>
      </w:tr>
      <w:tr w:rsidR="00BC051C" w:rsidRPr="00E72304" w14:paraId="4F6DD190" w14:textId="77777777" w:rsidTr="003E18A4">
        <w:tc>
          <w:tcPr>
            <w:tcW w:w="817" w:type="dxa"/>
          </w:tcPr>
          <w:p w14:paraId="6C83CAC2" w14:textId="77777777" w:rsidR="00BC051C" w:rsidRDefault="00BC051C" w:rsidP="003E18A4">
            <w:pPr>
              <w:pStyle w:val="TableText"/>
              <w:spacing w:before="0" w:after="0" w:line="276" w:lineRule="auto"/>
              <w:rPr>
                <w:rFonts w:cs="Arial"/>
                <w:bCs/>
                <w:kern w:val="36"/>
                <w:szCs w:val="16"/>
              </w:rPr>
            </w:pPr>
            <w:r>
              <w:rPr>
                <w:rFonts w:cs="Arial"/>
                <w:bCs/>
                <w:kern w:val="36"/>
                <w:szCs w:val="16"/>
              </w:rPr>
              <w:t>26</w:t>
            </w:r>
          </w:p>
        </w:tc>
        <w:tc>
          <w:tcPr>
            <w:tcW w:w="7229" w:type="dxa"/>
            <w:shd w:val="clear" w:color="auto" w:fill="auto"/>
          </w:tcPr>
          <w:p w14:paraId="170669AB" w14:textId="77777777" w:rsidR="00BC051C" w:rsidRPr="00541E91" w:rsidRDefault="00BC051C" w:rsidP="003E18A4">
            <w:pPr>
              <w:pStyle w:val="TableText"/>
              <w:spacing w:before="0" w:after="0" w:line="276" w:lineRule="auto"/>
              <w:rPr>
                <w:rFonts w:cs="Arial"/>
                <w:bCs/>
                <w:kern w:val="36"/>
                <w:szCs w:val="16"/>
              </w:rPr>
            </w:pPr>
            <w:r w:rsidRPr="00541E91">
              <w:rPr>
                <w:rFonts w:cs="Arial"/>
                <w:color w:val="000000"/>
                <w:szCs w:val="16"/>
                <w:shd w:val="clear" w:color="auto" w:fill="FFFFFF"/>
              </w:rPr>
              <w:t>Women and Political Participation: The 2016 Election in Samoa</w:t>
            </w:r>
            <w:r w:rsidRPr="00541E91">
              <w:rPr>
                <w:rFonts w:cs="Arial"/>
                <w:szCs w:val="16"/>
              </w:rPr>
              <w:t xml:space="preserve"> (Centre for Samoan Studies National University of Samoa)</w:t>
            </w:r>
          </w:p>
        </w:tc>
        <w:tc>
          <w:tcPr>
            <w:tcW w:w="1499" w:type="dxa"/>
            <w:shd w:val="clear" w:color="auto" w:fill="auto"/>
          </w:tcPr>
          <w:p w14:paraId="6C107BE4" w14:textId="77777777" w:rsidR="00BC051C" w:rsidRPr="00541E91" w:rsidRDefault="00BC051C" w:rsidP="003E18A4">
            <w:pPr>
              <w:pStyle w:val="TableText"/>
              <w:spacing w:before="0" w:after="0" w:line="276" w:lineRule="auto"/>
              <w:rPr>
                <w:szCs w:val="16"/>
              </w:rPr>
            </w:pPr>
            <w:r w:rsidRPr="00541E91">
              <w:rPr>
                <w:szCs w:val="16"/>
              </w:rPr>
              <w:t>May 2017</w:t>
            </w:r>
          </w:p>
        </w:tc>
      </w:tr>
      <w:tr w:rsidR="00BC051C" w:rsidRPr="00E72304" w14:paraId="4A561703" w14:textId="77777777" w:rsidTr="003E18A4">
        <w:tc>
          <w:tcPr>
            <w:tcW w:w="817" w:type="dxa"/>
          </w:tcPr>
          <w:p w14:paraId="430D6558" w14:textId="77777777" w:rsidR="00BC051C" w:rsidRDefault="00BC051C" w:rsidP="003E18A4">
            <w:pPr>
              <w:pStyle w:val="TableText"/>
              <w:spacing w:before="0" w:after="0" w:line="276" w:lineRule="auto"/>
              <w:rPr>
                <w:rFonts w:cs="Arial"/>
                <w:bCs/>
                <w:kern w:val="36"/>
                <w:szCs w:val="16"/>
              </w:rPr>
            </w:pPr>
            <w:r>
              <w:rPr>
                <w:rFonts w:cs="Arial"/>
                <w:bCs/>
                <w:kern w:val="36"/>
                <w:szCs w:val="16"/>
              </w:rPr>
              <w:t>27</w:t>
            </w:r>
          </w:p>
        </w:tc>
        <w:tc>
          <w:tcPr>
            <w:tcW w:w="7229" w:type="dxa"/>
            <w:shd w:val="clear" w:color="auto" w:fill="auto"/>
          </w:tcPr>
          <w:p w14:paraId="73F5A740" w14:textId="77777777" w:rsidR="00BC051C" w:rsidRPr="00541E91" w:rsidRDefault="00BC051C" w:rsidP="003E18A4">
            <w:pPr>
              <w:pStyle w:val="TableText"/>
              <w:spacing w:before="0" w:after="0"/>
              <w:rPr>
                <w:rFonts w:cs="Arial"/>
                <w:szCs w:val="16"/>
              </w:rPr>
            </w:pPr>
            <w:r w:rsidRPr="00541E91">
              <w:rPr>
                <w:rFonts w:cs="Arial"/>
                <w:bCs/>
                <w:kern w:val="36"/>
                <w:szCs w:val="16"/>
              </w:rPr>
              <w:t>Youth@Work Tracer Study (Pasifiki Consultancy Services)</w:t>
            </w:r>
          </w:p>
        </w:tc>
        <w:tc>
          <w:tcPr>
            <w:tcW w:w="1499" w:type="dxa"/>
            <w:shd w:val="clear" w:color="auto" w:fill="auto"/>
          </w:tcPr>
          <w:p w14:paraId="321E2AA0" w14:textId="77777777" w:rsidR="00BC051C" w:rsidRPr="00541E91" w:rsidRDefault="00BC051C" w:rsidP="003E18A4">
            <w:pPr>
              <w:pStyle w:val="TableText"/>
              <w:spacing w:before="0" w:after="0"/>
              <w:rPr>
                <w:rFonts w:cs="Arial"/>
                <w:szCs w:val="16"/>
              </w:rPr>
            </w:pPr>
            <w:r w:rsidRPr="00541E91">
              <w:rPr>
                <w:rFonts w:cs="Arial"/>
                <w:szCs w:val="16"/>
              </w:rPr>
              <w:t>March 2017</w:t>
            </w:r>
          </w:p>
        </w:tc>
      </w:tr>
      <w:tr w:rsidR="00BC051C" w:rsidRPr="00E72304" w14:paraId="329E65AB" w14:textId="77777777" w:rsidTr="003E18A4">
        <w:tc>
          <w:tcPr>
            <w:tcW w:w="817" w:type="dxa"/>
          </w:tcPr>
          <w:p w14:paraId="63BDB497" w14:textId="77777777" w:rsidR="00BC051C" w:rsidRDefault="00BC051C" w:rsidP="003E18A4">
            <w:pPr>
              <w:pStyle w:val="TableText"/>
              <w:spacing w:before="0" w:after="0" w:line="276" w:lineRule="auto"/>
              <w:rPr>
                <w:rFonts w:cs="Arial"/>
                <w:bCs/>
                <w:kern w:val="36"/>
                <w:szCs w:val="16"/>
              </w:rPr>
            </w:pPr>
            <w:r>
              <w:rPr>
                <w:rFonts w:cs="Arial"/>
                <w:bCs/>
                <w:kern w:val="36"/>
                <w:szCs w:val="16"/>
              </w:rPr>
              <w:t>28</w:t>
            </w:r>
          </w:p>
        </w:tc>
        <w:tc>
          <w:tcPr>
            <w:tcW w:w="7229" w:type="dxa"/>
            <w:shd w:val="clear" w:color="auto" w:fill="auto"/>
          </w:tcPr>
          <w:p w14:paraId="7FC5F146" w14:textId="77777777" w:rsidR="00BC051C" w:rsidRPr="00541E91" w:rsidRDefault="00BC051C" w:rsidP="003E18A4">
            <w:pPr>
              <w:rPr>
                <w:rFonts w:cs="Arial"/>
                <w:sz w:val="16"/>
                <w:szCs w:val="16"/>
              </w:rPr>
            </w:pPr>
            <w:r>
              <w:rPr>
                <w:rFonts w:cs="Arial"/>
                <w:bCs/>
                <w:kern w:val="36"/>
                <w:sz w:val="16"/>
                <w:szCs w:val="16"/>
              </w:rPr>
              <w:t xml:space="preserve">Evaluation of the </w:t>
            </w:r>
            <w:r w:rsidRPr="00541E91">
              <w:rPr>
                <w:rFonts w:cs="Arial"/>
                <w:bCs/>
                <w:kern w:val="36"/>
                <w:sz w:val="16"/>
                <w:szCs w:val="16"/>
              </w:rPr>
              <w:t xml:space="preserve">Youth@Work </w:t>
            </w:r>
            <w:r>
              <w:rPr>
                <w:rFonts w:cs="Arial"/>
                <w:bCs/>
                <w:kern w:val="36"/>
                <w:sz w:val="16"/>
                <w:szCs w:val="16"/>
              </w:rPr>
              <w:t xml:space="preserve">Program </w:t>
            </w:r>
            <w:r w:rsidRPr="00541E91">
              <w:rPr>
                <w:rFonts w:cs="Arial"/>
                <w:sz w:val="16"/>
                <w:szCs w:val="16"/>
              </w:rPr>
              <w:t>(M</w:t>
            </w:r>
            <w:r>
              <w:rPr>
                <w:rFonts w:cs="Arial"/>
                <w:sz w:val="16"/>
                <w:szCs w:val="16"/>
              </w:rPr>
              <w:t>.</w:t>
            </w:r>
            <w:r w:rsidRPr="00541E91">
              <w:rPr>
                <w:rFonts w:cs="Arial"/>
                <w:sz w:val="16"/>
                <w:szCs w:val="16"/>
              </w:rPr>
              <w:t xml:space="preserve"> Pritchard</w:t>
            </w:r>
            <w:r>
              <w:rPr>
                <w:rFonts w:cs="Arial"/>
                <w:sz w:val="16"/>
                <w:szCs w:val="16"/>
              </w:rPr>
              <w:t xml:space="preserve"> and</w:t>
            </w:r>
            <w:r w:rsidRPr="00541E91">
              <w:rPr>
                <w:rFonts w:cs="Arial"/>
                <w:sz w:val="16"/>
                <w:szCs w:val="16"/>
              </w:rPr>
              <w:t xml:space="preserve"> M</w:t>
            </w:r>
            <w:r>
              <w:rPr>
                <w:rFonts w:cs="Arial"/>
                <w:sz w:val="16"/>
                <w:szCs w:val="16"/>
              </w:rPr>
              <w:t>.</w:t>
            </w:r>
            <w:r w:rsidRPr="00541E91">
              <w:rPr>
                <w:rFonts w:cs="Arial"/>
                <w:sz w:val="16"/>
                <w:szCs w:val="16"/>
              </w:rPr>
              <w:t xml:space="preserve"> Carling) </w:t>
            </w:r>
          </w:p>
        </w:tc>
        <w:tc>
          <w:tcPr>
            <w:tcW w:w="1499" w:type="dxa"/>
            <w:shd w:val="clear" w:color="auto" w:fill="auto"/>
          </w:tcPr>
          <w:p w14:paraId="67C60443" w14:textId="77777777" w:rsidR="00BC051C" w:rsidRPr="00541E91" w:rsidRDefault="00BC051C" w:rsidP="003E18A4">
            <w:pPr>
              <w:pStyle w:val="TableText"/>
              <w:spacing w:before="0" w:after="0"/>
              <w:rPr>
                <w:rFonts w:cs="Arial"/>
                <w:szCs w:val="16"/>
              </w:rPr>
            </w:pPr>
            <w:r w:rsidRPr="00541E91">
              <w:rPr>
                <w:rFonts w:cs="Arial"/>
                <w:szCs w:val="16"/>
              </w:rPr>
              <w:t>October 2016</w:t>
            </w:r>
          </w:p>
        </w:tc>
      </w:tr>
      <w:tr w:rsidR="00BC051C" w:rsidRPr="00E72304" w14:paraId="3EEC53AD" w14:textId="77777777" w:rsidTr="003E18A4">
        <w:tc>
          <w:tcPr>
            <w:tcW w:w="817" w:type="dxa"/>
          </w:tcPr>
          <w:p w14:paraId="01AF171C" w14:textId="77777777" w:rsidR="00BC051C" w:rsidRPr="00137A5F" w:rsidRDefault="00BC051C" w:rsidP="003E18A4">
            <w:pPr>
              <w:pStyle w:val="TableText"/>
              <w:spacing w:before="0" w:after="0" w:line="276" w:lineRule="auto"/>
              <w:rPr>
                <w:rFonts w:cs="Arial"/>
                <w:bCs/>
                <w:kern w:val="36"/>
                <w:szCs w:val="16"/>
              </w:rPr>
            </w:pPr>
            <w:r>
              <w:rPr>
                <w:rFonts w:cs="Arial"/>
                <w:bCs/>
                <w:kern w:val="36"/>
                <w:szCs w:val="16"/>
              </w:rPr>
              <w:t>29</w:t>
            </w:r>
          </w:p>
        </w:tc>
        <w:tc>
          <w:tcPr>
            <w:tcW w:w="7229" w:type="dxa"/>
            <w:shd w:val="clear" w:color="auto" w:fill="auto"/>
          </w:tcPr>
          <w:p w14:paraId="35163350" w14:textId="77777777" w:rsidR="00BC051C" w:rsidRPr="00137A5F" w:rsidRDefault="00BC051C" w:rsidP="003E18A4">
            <w:pPr>
              <w:pStyle w:val="TableText"/>
              <w:spacing w:before="0" w:after="0" w:line="276" w:lineRule="auto"/>
              <w:rPr>
                <w:rFonts w:cs="Arial"/>
                <w:bCs/>
                <w:kern w:val="36"/>
                <w:szCs w:val="16"/>
              </w:rPr>
            </w:pPr>
            <w:r w:rsidRPr="00137A5F">
              <w:rPr>
                <w:rFonts w:cs="Arial"/>
                <w:bCs/>
                <w:kern w:val="36"/>
                <w:szCs w:val="16"/>
              </w:rPr>
              <w:t xml:space="preserve">Practice Note, Effective Support for Women Leaders elected under temporary special measures. Internal document – prepared for Vanuatu Department of Women’s Affairs (T. Newton Cain) </w:t>
            </w:r>
            <w:r w:rsidRPr="00137A5F">
              <w:rPr>
                <w:szCs w:val="16"/>
              </w:rPr>
              <w:t>Available upon request</w:t>
            </w:r>
          </w:p>
        </w:tc>
        <w:tc>
          <w:tcPr>
            <w:tcW w:w="1499" w:type="dxa"/>
            <w:shd w:val="clear" w:color="auto" w:fill="auto"/>
          </w:tcPr>
          <w:p w14:paraId="2FBB4900" w14:textId="77777777" w:rsidR="00BC051C" w:rsidRPr="00F81E11" w:rsidRDefault="00BC051C" w:rsidP="003E18A4">
            <w:pPr>
              <w:pStyle w:val="TableText"/>
              <w:spacing w:before="0" w:after="0" w:line="276" w:lineRule="auto"/>
              <w:rPr>
                <w:szCs w:val="16"/>
                <w:highlight w:val="yellow"/>
              </w:rPr>
            </w:pPr>
            <w:r w:rsidRPr="00137A5F">
              <w:rPr>
                <w:szCs w:val="16"/>
              </w:rPr>
              <w:t>June 2016</w:t>
            </w:r>
          </w:p>
        </w:tc>
      </w:tr>
      <w:tr w:rsidR="00BC051C" w:rsidRPr="00E72304" w14:paraId="2C38E33F" w14:textId="77777777" w:rsidTr="003E18A4">
        <w:tc>
          <w:tcPr>
            <w:tcW w:w="817" w:type="dxa"/>
          </w:tcPr>
          <w:p w14:paraId="0B52E30D" w14:textId="77777777" w:rsidR="00BC051C" w:rsidRPr="00E72304" w:rsidRDefault="00BC051C" w:rsidP="003E18A4">
            <w:pPr>
              <w:pStyle w:val="TableText"/>
              <w:spacing w:before="0" w:after="0" w:line="276" w:lineRule="auto"/>
              <w:rPr>
                <w:rFonts w:cs="Arial"/>
                <w:bCs/>
                <w:kern w:val="36"/>
                <w:szCs w:val="16"/>
              </w:rPr>
            </w:pPr>
            <w:r>
              <w:rPr>
                <w:rFonts w:cs="Arial"/>
                <w:bCs/>
                <w:kern w:val="36"/>
                <w:szCs w:val="16"/>
              </w:rPr>
              <w:t>30</w:t>
            </w:r>
          </w:p>
        </w:tc>
        <w:tc>
          <w:tcPr>
            <w:tcW w:w="7229" w:type="dxa"/>
            <w:shd w:val="clear" w:color="auto" w:fill="auto"/>
          </w:tcPr>
          <w:p w14:paraId="05DD1CFA" w14:textId="77777777" w:rsidR="00BC051C" w:rsidRPr="00E72304" w:rsidRDefault="00BC051C" w:rsidP="003E18A4">
            <w:pPr>
              <w:pStyle w:val="TableText"/>
              <w:spacing w:before="0" w:after="0" w:line="276" w:lineRule="auto"/>
              <w:rPr>
                <w:rFonts w:cs="Arial"/>
                <w:bCs/>
                <w:kern w:val="36"/>
                <w:szCs w:val="16"/>
              </w:rPr>
            </w:pPr>
            <w:r w:rsidRPr="00E72304">
              <w:rPr>
                <w:rFonts w:cs="Arial"/>
                <w:bCs/>
                <w:kern w:val="36"/>
                <w:szCs w:val="16"/>
              </w:rPr>
              <w:t>Review of the TNLDF Leadership in Schools Program (E Puavalu)</w:t>
            </w:r>
            <w:r>
              <w:rPr>
                <w:rFonts w:cs="Arial"/>
                <w:bCs/>
                <w:kern w:val="36"/>
                <w:szCs w:val="16"/>
              </w:rPr>
              <w:t xml:space="preserve"> </w:t>
            </w:r>
            <w:r>
              <w:rPr>
                <w:szCs w:val="16"/>
              </w:rPr>
              <w:t>Available upon request</w:t>
            </w:r>
          </w:p>
        </w:tc>
        <w:tc>
          <w:tcPr>
            <w:tcW w:w="1499" w:type="dxa"/>
            <w:shd w:val="clear" w:color="auto" w:fill="auto"/>
          </w:tcPr>
          <w:p w14:paraId="0EAD5F97" w14:textId="77777777" w:rsidR="00BC051C" w:rsidRPr="00E72304" w:rsidRDefault="00BC051C" w:rsidP="003E18A4">
            <w:pPr>
              <w:pStyle w:val="TableText"/>
              <w:spacing w:before="0" w:after="0" w:line="276" w:lineRule="auto"/>
              <w:rPr>
                <w:szCs w:val="16"/>
              </w:rPr>
            </w:pPr>
            <w:r w:rsidRPr="00E72304">
              <w:rPr>
                <w:szCs w:val="16"/>
              </w:rPr>
              <w:t>May 2016</w:t>
            </w:r>
          </w:p>
        </w:tc>
      </w:tr>
      <w:tr w:rsidR="00BC051C" w:rsidRPr="00E72304" w14:paraId="446511C3" w14:textId="77777777" w:rsidTr="003E18A4">
        <w:tc>
          <w:tcPr>
            <w:tcW w:w="817" w:type="dxa"/>
          </w:tcPr>
          <w:p w14:paraId="1D72B4FE" w14:textId="77777777" w:rsidR="00BC051C" w:rsidRPr="00E72304" w:rsidRDefault="00BC051C" w:rsidP="003E18A4">
            <w:pPr>
              <w:pStyle w:val="TableText"/>
              <w:spacing w:before="0" w:after="0" w:line="276" w:lineRule="auto"/>
              <w:rPr>
                <w:rFonts w:cs="Arial"/>
                <w:bCs/>
                <w:kern w:val="36"/>
                <w:szCs w:val="16"/>
              </w:rPr>
            </w:pPr>
            <w:r>
              <w:rPr>
                <w:rFonts w:cs="Arial"/>
                <w:bCs/>
                <w:kern w:val="36"/>
                <w:szCs w:val="16"/>
              </w:rPr>
              <w:t>31</w:t>
            </w:r>
          </w:p>
        </w:tc>
        <w:tc>
          <w:tcPr>
            <w:tcW w:w="7229" w:type="dxa"/>
            <w:shd w:val="clear" w:color="auto" w:fill="auto"/>
          </w:tcPr>
          <w:p w14:paraId="5496243A" w14:textId="77777777" w:rsidR="00BC051C" w:rsidRPr="00E72304" w:rsidRDefault="00BC051C" w:rsidP="003E18A4">
            <w:pPr>
              <w:pStyle w:val="TableText"/>
              <w:spacing w:before="0" w:after="0" w:line="276" w:lineRule="auto"/>
              <w:rPr>
                <w:rFonts w:cs="Arial"/>
                <w:bCs/>
                <w:kern w:val="36"/>
                <w:szCs w:val="16"/>
              </w:rPr>
            </w:pPr>
            <w:r w:rsidRPr="00E72304">
              <w:rPr>
                <w:rFonts w:cs="Arial"/>
                <w:bCs/>
                <w:kern w:val="36"/>
                <w:szCs w:val="16"/>
              </w:rPr>
              <w:t>Samoa National Youth Council Tracer Youth Employment Survey (SNYC)</w:t>
            </w:r>
            <w:r>
              <w:rPr>
                <w:rFonts w:cs="Arial"/>
                <w:bCs/>
                <w:kern w:val="36"/>
                <w:szCs w:val="16"/>
              </w:rPr>
              <w:t xml:space="preserve"> </w:t>
            </w:r>
            <w:r>
              <w:rPr>
                <w:szCs w:val="16"/>
              </w:rPr>
              <w:t>Available upon request</w:t>
            </w:r>
          </w:p>
        </w:tc>
        <w:tc>
          <w:tcPr>
            <w:tcW w:w="1499" w:type="dxa"/>
            <w:shd w:val="clear" w:color="auto" w:fill="auto"/>
          </w:tcPr>
          <w:p w14:paraId="1EF8A881" w14:textId="77777777" w:rsidR="00BC051C" w:rsidRPr="00E72304" w:rsidRDefault="00BC051C" w:rsidP="003E18A4">
            <w:pPr>
              <w:pStyle w:val="TableText"/>
              <w:spacing w:before="0" w:after="0" w:line="276" w:lineRule="auto"/>
              <w:rPr>
                <w:szCs w:val="16"/>
              </w:rPr>
            </w:pPr>
            <w:r w:rsidRPr="00E72304">
              <w:rPr>
                <w:szCs w:val="16"/>
              </w:rPr>
              <w:t>April 2016</w:t>
            </w:r>
          </w:p>
        </w:tc>
      </w:tr>
      <w:tr w:rsidR="00BC051C" w:rsidRPr="00E72304" w14:paraId="7CB9A2BC" w14:textId="77777777" w:rsidTr="003E18A4">
        <w:tc>
          <w:tcPr>
            <w:tcW w:w="817" w:type="dxa"/>
          </w:tcPr>
          <w:p w14:paraId="746748D1" w14:textId="77777777" w:rsidR="00BC051C" w:rsidRPr="00E72304" w:rsidRDefault="00BC051C" w:rsidP="003E18A4">
            <w:pPr>
              <w:pStyle w:val="TableText"/>
              <w:spacing w:before="0" w:after="0" w:line="276" w:lineRule="auto"/>
              <w:rPr>
                <w:rFonts w:cs="Arial"/>
                <w:bCs/>
                <w:kern w:val="36"/>
                <w:szCs w:val="16"/>
              </w:rPr>
            </w:pPr>
            <w:r>
              <w:rPr>
                <w:rFonts w:cs="Arial"/>
                <w:bCs/>
                <w:kern w:val="36"/>
                <w:szCs w:val="16"/>
              </w:rPr>
              <w:t>32</w:t>
            </w:r>
          </w:p>
        </w:tc>
        <w:tc>
          <w:tcPr>
            <w:tcW w:w="7229" w:type="dxa"/>
            <w:shd w:val="clear" w:color="auto" w:fill="auto"/>
          </w:tcPr>
          <w:p w14:paraId="3961781B" w14:textId="77777777" w:rsidR="00BC051C" w:rsidRPr="00E72304" w:rsidRDefault="00BC051C" w:rsidP="003E18A4">
            <w:pPr>
              <w:pStyle w:val="TableText"/>
              <w:spacing w:before="0" w:after="0" w:line="276" w:lineRule="auto"/>
              <w:rPr>
                <w:rFonts w:cs="Arial"/>
                <w:bCs/>
                <w:kern w:val="36"/>
                <w:szCs w:val="16"/>
              </w:rPr>
            </w:pPr>
            <w:r w:rsidRPr="00E72304">
              <w:rPr>
                <w:rFonts w:cs="Arial"/>
                <w:bCs/>
                <w:kern w:val="36"/>
                <w:szCs w:val="16"/>
              </w:rPr>
              <w:t>Samoa National Leadership Development Forum Support to Urban Matais Training Needs Analysis</w:t>
            </w:r>
            <w:r>
              <w:rPr>
                <w:rFonts w:cs="Arial"/>
                <w:bCs/>
                <w:kern w:val="36"/>
                <w:szCs w:val="16"/>
              </w:rPr>
              <w:t xml:space="preserve"> </w:t>
            </w:r>
            <w:r>
              <w:rPr>
                <w:szCs w:val="16"/>
              </w:rPr>
              <w:t>Available upon request</w:t>
            </w:r>
            <w:r w:rsidRPr="00E72304">
              <w:rPr>
                <w:rFonts w:cs="Arial"/>
                <w:bCs/>
                <w:kern w:val="36"/>
                <w:szCs w:val="16"/>
              </w:rPr>
              <w:t xml:space="preserve"> </w:t>
            </w:r>
          </w:p>
        </w:tc>
        <w:tc>
          <w:tcPr>
            <w:tcW w:w="1499" w:type="dxa"/>
            <w:shd w:val="clear" w:color="auto" w:fill="auto"/>
          </w:tcPr>
          <w:p w14:paraId="6B497926" w14:textId="77777777" w:rsidR="00BC051C" w:rsidRPr="00E72304" w:rsidRDefault="00BC051C" w:rsidP="003E18A4">
            <w:pPr>
              <w:pStyle w:val="TableText"/>
              <w:spacing w:before="0" w:after="0" w:line="276" w:lineRule="auto"/>
              <w:rPr>
                <w:szCs w:val="16"/>
              </w:rPr>
            </w:pPr>
            <w:r w:rsidRPr="00E72304">
              <w:rPr>
                <w:szCs w:val="16"/>
              </w:rPr>
              <w:t>April 2016</w:t>
            </w:r>
          </w:p>
        </w:tc>
      </w:tr>
      <w:tr w:rsidR="00BC051C" w:rsidRPr="00E72304" w14:paraId="32696B77" w14:textId="77777777" w:rsidTr="003E18A4">
        <w:tc>
          <w:tcPr>
            <w:tcW w:w="817" w:type="dxa"/>
          </w:tcPr>
          <w:p w14:paraId="78A4F0EB" w14:textId="77777777" w:rsidR="00BC051C" w:rsidRDefault="00BC051C" w:rsidP="003E18A4">
            <w:pPr>
              <w:pStyle w:val="TableText"/>
              <w:spacing w:before="0" w:after="0" w:line="276" w:lineRule="auto"/>
              <w:rPr>
                <w:szCs w:val="16"/>
              </w:rPr>
            </w:pPr>
            <w:r>
              <w:rPr>
                <w:szCs w:val="16"/>
              </w:rPr>
              <w:t>33</w:t>
            </w:r>
          </w:p>
        </w:tc>
        <w:tc>
          <w:tcPr>
            <w:tcW w:w="7229" w:type="dxa"/>
            <w:shd w:val="clear" w:color="auto" w:fill="auto"/>
          </w:tcPr>
          <w:p w14:paraId="6ABB537E" w14:textId="77777777" w:rsidR="00BC051C" w:rsidRPr="00E72304" w:rsidRDefault="00BC051C" w:rsidP="003E18A4">
            <w:pPr>
              <w:pStyle w:val="TableText"/>
              <w:spacing w:before="0" w:after="0" w:line="276" w:lineRule="auto"/>
              <w:rPr>
                <w:szCs w:val="16"/>
              </w:rPr>
            </w:pPr>
            <w:r>
              <w:rPr>
                <w:szCs w:val="16"/>
              </w:rPr>
              <w:t>Leadership Samoa: Evaluating the impact and effectiveness of Leadership Samoa’s programming (R Ng Shiu)</w:t>
            </w:r>
          </w:p>
        </w:tc>
        <w:tc>
          <w:tcPr>
            <w:tcW w:w="1499" w:type="dxa"/>
            <w:shd w:val="clear" w:color="auto" w:fill="auto"/>
          </w:tcPr>
          <w:p w14:paraId="2F7EE6CF" w14:textId="77777777" w:rsidR="00BC051C" w:rsidRPr="00E72304" w:rsidRDefault="00BC051C" w:rsidP="003E18A4">
            <w:pPr>
              <w:pStyle w:val="TableText"/>
              <w:spacing w:before="0" w:after="0" w:line="276" w:lineRule="auto"/>
              <w:rPr>
                <w:szCs w:val="16"/>
              </w:rPr>
            </w:pPr>
            <w:r>
              <w:rPr>
                <w:szCs w:val="16"/>
              </w:rPr>
              <w:t>December 2015</w:t>
            </w:r>
          </w:p>
        </w:tc>
      </w:tr>
      <w:tr w:rsidR="00BC051C" w:rsidRPr="00E72304" w14:paraId="3E53AF1D" w14:textId="77777777" w:rsidTr="003E18A4">
        <w:tc>
          <w:tcPr>
            <w:tcW w:w="817" w:type="dxa"/>
          </w:tcPr>
          <w:p w14:paraId="114C8D06" w14:textId="77777777" w:rsidR="00BC051C" w:rsidRDefault="00BC051C" w:rsidP="003E18A4">
            <w:pPr>
              <w:pStyle w:val="TableText"/>
              <w:spacing w:before="0" w:after="0" w:line="276" w:lineRule="auto"/>
              <w:rPr>
                <w:szCs w:val="16"/>
              </w:rPr>
            </w:pPr>
            <w:r>
              <w:rPr>
                <w:szCs w:val="16"/>
              </w:rPr>
              <w:t>34</w:t>
            </w:r>
          </w:p>
        </w:tc>
        <w:tc>
          <w:tcPr>
            <w:tcW w:w="7229" w:type="dxa"/>
            <w:shd w:val="clear" w:color="auto" w:fill="auto"/>
          </w:tcPr>
          <w:p w14:paraId="40CADC06" w14:textId="77777777" w:rsidR="00BC051C" w:rsidRPr="00E72304" w:rsidRDefault="00BC051C" w:rsidP="003E18A4">
            <w:pPr>
              <w:pStyle w:val="TableText"/>
              <w:spacing w:before="0" w:after="0" w:line="276" w:lineRule="auto"/>
              <w:rPr>
                <w:szCs w:val="16"/>
              </w:rPr>
            </w:pPr>
            <w:r w:rsidRPr="00E72304">
              <w:rPr>
                <w:szCs w:val="16"/>
              </w:rPr>
              <w:t xml:space="preserve">Youth Market Report (Pasifiki Services Limited) </w:t>
            </w:r>
            <w:r>
              <w:rPr>
                <w:szCs w:val="16"/>
              </w:rPr>
              <w:t xml:space="preserve"> Available upon request</w:t>
            </w:r>
          </w:p>
        </w:tc>
        <w:tc>
          <w:tcPr>
            <w:tcW w:w="1499" w:type="dxa"/>
            <w:shd w:val="clear" w:color="auto" w:fill="auto"/>
          </w:tcPr>
          <w:p w14:paraId="4167988A" w14:textId="77777777" w:rsidR="00BC051C" w:rsidRPr="00E72304" w:rsidRDefault="00BC051C" w:rsidP="003E18A4">
            <w:pPr>
              <w:pStyle w:val="TableText"/>
              <w:spacing w:before="0" w:after="0" w:line="276" w:lineRule="auto"/>
              <w:rPr>
                <w:szCs w:val="16"/>
              </w:rPr>
            </w:pPr>
            <w:r w:rsidRPr="00E72304">
              <w:rPr>
                <w:szCs w:val="16"/>
              </w:rPr>
              <w:t>December 2015</w:t>
            </w:r>
          </w:p>
        </w:tc>
      </w:tr>
      <w:tr w:rsidR="00BC051C" w:rsidRPr="00E72304" w14:paraId="3533EDF6" w14:textId="77777777" w:rsidTr="003E18A4">
        <w:tc>
          <w:tcPr>
            <w:tcW w:w="817" w:type="dxa"/>
          </w:tcPr>
          <w:p w14:paraId="2B71C23B" w14:textId="77777777" w:rsidR="00BC051C" w:rsidRPr="00E72304" w:rsidRDefault="00BC051C" w:rsidP="003E18A4">
            <w:pPr>
              <w:pStyle w:val="TableText"/>
              <w:spacing w:before="0" w:after="0" w:line="276" w:lineRule="auto"/>
              <w:rPr>
                <w:szCs w:val="16"/>
              </w:rPr>
            </w:pPr>
            <w:r>
              <w:rPr>
                <w:szCs w:val="16"/>
              </w:rPr>
              <w:t>35</w:t>
            </w:r>
          </w:p>
        </w:tc>
        <w:tc>
          <w:tcPr>
            <w:tcW w:w="7229" w:type="dxa"/>
            <w:shd w:val="clear" w:color="auto" w:fill="auto"/>
          </w:tcPr>
          <w:p w14:paraId="46350AFA" w14:textId="77777777" w:rsidR="00BC051C" w:rsidRPr="00E72304" w:rsidRDefault="00BC051C" w:rsidP="003E18A4">
            <w:pPr>
              <w:pStyle w:val="TableText"/>
              <w:spacing w:before="0" w:after="0" w:line="276" w:lineRule="auto"/>
              <w:rPr>
                <w:szCs w:val="16"/>
              </w:rPr>
            </w:pPr>
            <w:r w:rsidRPr="00E72304">
              <w:rPr>
                <w:szCs w:val="16"/>
              </w:rPr>
              <w:t>Youth@Work Choiseul Tracer Study 7 (Pasifiki Services Limited)</w:t>
            </w:r>
            <w:r>
              <w:rPr>
                <w:szCs w:val="16"/>
              </w:rPr>
              <w:t xml:space="preserve"> Available upon request</w:t>
            </w:r>
          </w:p>
        </w:tc>
        <w:tc>
          <w:tcPr>
            <w:tcW w:w="1499" w:type="dxa"/>
            <w:shd w:val="clear" w:color="auto" w:fill="auto"/>
          </w:tcPr>
          <w:p w14:paraId="7BF305D6" w14:textId="77777777" w:rsidR="00BC051C" w:rsidRPr="00E72304" w:rsidRDefault="00BC051C" w:rsidP="003E18A4">
            <w:pPr>
              <w:pStyle w:val="TableText"/>
              <w:spacing w:before="0" w:after="0" w:line="276" w:lineRule="auto"/>
              <w:rPr>
                <w:szCs w:val="16"/>
              </w:rPr>
            </w:pPr>
            <w:r w:rsidRPr="00E72304">
              <w:rPr>
                <w:szCs w:val="16"/>
              </w:rPr>
              <w:t>November 2015</w:t>
            </w:r>
          </w:p>
        </w:tc>
      </w:tr>
      <w:tr w:rsidR="00BC051C" w:rsidRPr="00E72304" w14:paraId="4C343FEA" w14:textId="77777777" w:rsidTr="003E18A4">
        <w:tc>
          <w:tcPr>
            <w:tcW w:w="817" w:type="dxa"/>
          </w:tcPr>
          <w:p w14:paraId="243CBCBA" w14:textId="77777777" w:rsidR="00BC051C" w:rsidRPr="00E72304" w:rsidRDefault="00BC051C" w:rsidP="003E18A4">
            <w:pPr>
              <w:pStyle w:val="TableText"/>
              <w:spacing w:before="0" w:after="0" w:line="276" w:lineRule="auto"/>
              <w:rPr>
                <w:szCs w:val="16"/>
              </w:rPr>
            </w:pPr>
            <w:r>
              <w:rPr>
                <w:szCs w:val="16"/>
              </w:rPr>
              <w:t>36</w:t>
            </w:r>
          </w:p>
        </w:tc>
        <w:tc>
          <w:tcPr>
            <w:tcW w:w="7229" w:type="dxa"/>
            <w:shd w:val="clear" w:color="auto" w:fill="auto"/>
          </w:tcPr>
          <w:p w14:paraId="4920F48D" w14:textId="77777777" w:rsidR="00BC051C" w:rsidRPr="00E72304" w:rsidRDefault="00BC051C" w:rsidP="003E18A4">
            <w:pPr>
              <w:pStyle w:val="TableText"/>
              <w:spacing w:before="0" w:after="0" w:line="276" w:lineRule="auto"/>
              <w:rPr>
                <w:szCs w:val="16"/>
              </w:rPr>
            </w:pPr>
            <w:r w:rsidRPr="00E72304">
              <w:rPr>
                <w:szCs w:val="16"/>
              </w:rPr>
              <w:t>Solomon Islands Youth@Work Tracer Study Tracer Study 6 (Pasifiki Services Limited)</w:t>
            </w:r>
            <w:r>
              <w:rPr>
                <w:szCs w:val="16"/>
              </w:rPr>
              <w:br/>
              <w:t>Available upon request</w:t>
            </w:r>
          </w:p>
        </w:tc>
        <w:tc>
          <w:tcPr>
            <w:tcW w:w="1499" w:type="dxa"/>
            <w:shd w:val="clear" w:color="auto" w:fill="auto"/>
          </w:tcPr>
          <w:p w14:paraId="10529BEB" w14:textId="77777777" w:rsidR="00BC051C" w:rsidRPr="00E72304" w:rsidRDefault="00BC051C" w:rsidP="003E18A4">
            <w:pPr>
              <w:pStyle w:val="TableText"/>
              <w:spacing w:before="0" w:after="0" w:line="276" w:lineRule="auto"/>
              <w:rPr>
                <w:szCs w:val="16"/>
              </w:rPr>
            </w:pPr>
            <w:r w:rsidRPr="00E72304">
              <w:rPr>
                <w:szCs w:val="16"/>
              </w:rPr>
              <w:t>September 2015</w:t>
            </w:r>
          </w:p>
        </w:tc>
      </w:tr>
      <w:tr w:rsidR="00BC051C" w:rsidRPr="00E72304" w14:paraId="72C1FCBE" w14:textId="77777777" w:rsidTr="003E18A4">
        <w:tc>
          <w:tcPr>
            <w:tcW w:w="817" w:type="dxa"/>
          </w:tcPr>
          <w:p w14:paraId="0B84E108" w14:textId="77777777" w:rsidR="00BC051C" w:rsidRDefault="00BC051C" w:rsidP="003E18A4">
            <w:pPr>
              <w:pStyle w:val="TableText"/>
              <w:spacing w:before="0" w:after="0"/>
            </w:pPr>
            <w:r>
              <w:t>37</w:t>
            </w:r>
          </w:p>
        </w:tc>
        <w:tc>
          <w:tcPr>
            <w:tcW w:w="7229" w:type="dxa"/>
            <w:shd w:val="clear" w:color="auto" w:fill="auto"/>
          </w:tcPr>
          <w:p w14:paraId="03B9AE67" w14:textId="77777777" w:rsidR="00BC051C" w:rsidRDefault="00BC051C" w:rsidP="003E18A4">
            <w:pPr>
              <w:pStyle w:val="TableText"/>
              <w:spacing w:before="0" w:after="0"/>
            </w:pPr>
            <w:r>
              <w:t>Strategic Review of the Pacific Islands Private Sector Organisation (S.Narube)</w:t>
            </w:r>
            <w:r>
              <w:br/>
            </w:r>
            <w:r w:rsidRPr="00F81E11">
              <w:rPr>
                <w:szCs w:val="16"/>
              </w:rPr>
              <w:t>Available on Request</w:t>
            </w:r>
          </w:p>
        </w:tc>
        <w:tc>
          <w:tcPr>
            <w:tcW w:w="1499" w:type="dxa"/>
            <w:shd w:val="clear" w:color="auto" w:fill="auto"/>
          </w:tcPr>
          <w:p w14:paraId="05644544" w14:textId="77777777" w:rsidR="00BC051C" w:rsidRDefault="00BC051C" w:rsidP="003E18A4">
            <w:pPr>
              <w:pStyle w:val="TableText"/>
              <w:spacing w:before="0" w:after="0"/>
            </w:pPr>
            <w:r>
              <w:t>April 2015</w:t>
            </w:r>
          </w:p>
        </w:tc>
      </w:tr>
      <w:tr w:rsidR="00BC051C" w:rsidRPr="00E72304" w14:paraId="72CE5D8F" w14:textId="77777777" w:rsidTr="003E18A4">
        <w:tc>
          <w:tcPr>
            <w:tcW w:w="817" w:type="dxa"/>
          </w:tcPr>
          <w:p w14:paraId="170A0A53" w14:textId="77777777" w:rsidR="00BC051C" w:rsidRPr="00C108BB" w:rsidRDefault="00BC051C" w:rsidP="003E18A4">
            <w:pPr>
              <w:pStyle w:val="TableText"/>
              <w:spacing w:before="0" w:after="0"/>
            </w:pPr>
            <w:r>
              <w:t>38</w:t>
            </w:r>
          </w:p>
        </w:tc>
        <w:tc>
          <w:tcPr>
            <w:tcW w:w="7229" w:type="dxa"/>
            <w:shd w:val="clear" w:color="auto" w:fill="auto"/>
          </w:tcPr>
          <w:p w14:paraId="773ACB05" w14:textId="77777777" w:rsidR="00BC051C" w:rsidRDefault="00BC051C" w:rsidP="003E18A4">
            <w:pPr>
              <w:pStyle w:val="TableText"/>
              <w:spacing w:before="0" w:after="0"/>
            </w:pPr>
            <w:r>
              <w:t>Internal review of Oxfam supported</w:t>
            </w:r>
            <w:r w:rsidRPr="002A3E65">
              <w:t xml:space="preserve"> networks, collective action capacity and impact </w:t>
            </w:r>
            <w:r>
              <w:t>(internal)</w:t>
            </w:r>
            <w:r>
              <w:br/>
            </w:r>
            <w:r w:rsidRPr="00F81E11">
              <w:rPr>
                <w:szCs w:val="16"/>
              </w:rPr>
              <w:t>Available on Request</w:t>
            </w:r>
          </w:p>
        </w:tc>
        <w:tc>
          <w:tcPr>
            <w:tcW w:w="1499" w:type="dxa"/>
            <w:shd w:val="clear" w:color="auto" w:fill="auto"/>
          </w:tcPr>
          <w:p w14:paraId="258B79DA" w14:textId="77777777" w:rsidR="00BC051C" w:rsidRDefault="00BC051C" w:rsidP="003E18A4">
            <w:pPr>
              <w:pStyle w:val="TableText"/>
              <w:spacing w:before="0" w:after="0"/>
            </w:pPr>
            <w:r>
              <w:t>April 2015</w:t>
            </w:r>
          </w:p>
        </w:tc>
      </w:tr>
      <w:tr w:rsidR="00BC051C" w:rsidRPr="00E72304" w14:paraId="116F928F" w14:textId="77777777" w:rsidTr="003E18A4">
        <w:tc>
          <w:tcPr>
            <w:tcW w:w="817" w:type="dxa"/>
          </w:tcPr>
          <w:p w14:paraId="71E82E15" w14:textId="77777777" w:rsidR="00BC051C" w:rsidRPr="00F81E11" w:rsidRDefault="00BC051C" w:rsidP="003E18A4">
            <w:pPr>
              <w:rPr>
                <w:sz w:val="16"/>
                <w:szCs w:val="16"/>
              </w:rPr>
            </w:pPr>
            <w:r>
              <w:rPr>
                <w:sz w:val="16"/>
                <w:szCs w:val="16"/>
              </w:rPr>
              <w:t>39</w:t>
            </w:r>
          </w:p>
        </w:tc>
        <w:tc>
          <w:tcPr>
            <w:tcW w:w="7229" w:type="dxa"/>
            <w:shd w:val="clear" w:color="auto" w:fill="auto"/>
          </w:tcPr>
          <w:p w14:paraId="733CD4A3" w14:textId="77777777" w:rsidR="00BC051C" w:rsidRPr="00F81E11" w:rsidRDefault="00BC051C" w:rsidP="003E18A4">
            <w:pPr>
              <w:pStyle w:val="TableText"/>
              <w:spacing w:before="0" w:after="0"/>
              <w:rPr>
                <w:highlight w:val="yellow"/>
              </w:rPr>
            </w:pPr>
            <w:r w:rsidRPr="00C108BB">
              <w:t>Review of Virgin Coconut Oil Industry for Tonga National Youth Congress (T</w:t>
            </w:r>
            <w:r>
              <w:t>upou</w:t>
            </w:r>
            <w:r w:rsidRPr="00C108BB">
              <w:t xml:space="preserve"> Tertiary Institute)</w:t>
            </w:r>
            <w:r>
              <w:t xml:space="preserve"> </w:t>
            </w:r>
            <w:r w:rsidRPr="00F81E11">
              <w:rPr>
                <w:szCs w:val="16"/>
              </w:rPr>
              <w:t>Available on Request</w:t>
            </w:r>
          </w:p>
        </w:tc>
        <w:tc>
          <w:tcPr>
            <w:tcW w:w="1499" w:type="dxa"/>
            <w:shd w:val="clear" w:color="auto" w:fill="auto"/>
          </w:tcPr>
          <w:p w14:paraId="7FB6588A" w14:textId="77777777" w:rsidR="00BC051C" w:rsidRPr="00F81E11" w:rsidRDefault="00BC051C" w:rsidP="003E18A4">
            <w:pPr>
              <w:pStyle w:val="TableText"/>
              <w:spacing w:before="0" w:after="0"/>
              <w:rPr>
                <w:highlight w:val="yellow"/>
              </w:rPr>
            </w:pPr>
            <w:r w:rsidRPr="00C108BB">
              <w:t>March 2015</w:t>
            </w:r>
          </w:p>
        </w:tc>
      </w:tr>
      <w:tr w:rsidR="00BC051C" w:rsidRPr="00E72304" w14:paraId="7B95FA11" w14:textId="77777777" w:rsidTr="003E18A4">
        <w:tc>
          <w:tcPr>
            <w:tcW w:w="817" w:type="dxa"/>
          </w:tcPr>
          <w:p w14:paraId="00562523" w14:textId="77777777" w:rsidR="00BC051C" w:rsidRPr="00F81E11" w:rsidRDefault="00BC051C" w:rsidP="003E18A4">
            <w:pPr>
              <w:rPr>
                <w:sz w:val="16"/>
                <w:szCs w:val="16"/>
              </w:rPr>
            </w:pPr>
            <w:r>
              <w:rPr>
                <w:sz w:val="16"/>
                <w:szCs w:val="16"/>
              </w:rPr>
              <w:t>40</w:t>
            </w:r>
          </w:p>
        </w:tc>
        <w:tc>
          <w:tcPr>
            <w:tcW w:w="7229" w:type="dxa"/>
            <w:shd w:val="clear" w:color="auto" w:fill="auto"/>
          </w:tcPr>
          <w:p w14:paraId="03DB5123" w14:textId="77777777" w:rsidR="00BC051C" w:rsidRPr="00FE4641" w:rsidRDefault="00BC051C" w:rsidP="003E18A4">
            <w:pPr>
              <w:pStyle w:val="TableText"/>
              <w:spacing w:before="0" w:after="0"/>
            </w:pPr>
            <w:r>
              <w:t xml:space="preserve">Impact Assessment of Samoa Chamber of Commerce and Industry Incorporated (SCCI) Policy Submissions (O. Liki) </w:t>
            </w:r>
            <w:r w:rsidRPr="00F81E11">
              <w:rPr>
                <w:szCs w:val="16"/>
              </w:rPr>
              <w:t>Available on Request</w:t>
            </w:r>
          </w:p>
        </w:tc>
        <w:tc>
          <w:tcPr>
            <w:tcW w:w="1499" w:type="dxa"/>
            <w:shd w:val="clear" w:color="auto" w:fill="auto"/>
          </w:tcPr>
          <w:p w14:paraId="0FC45FA5" w14:textId="77777777" w:rsidR="00BC051C" w:rsidRPr="00FE4641" w:rsidRDefault="00BC051C" w:rsidP="003E18A4">
            <w:pPr>
              <w:pStyle w:val="TableText"/>
              <w:spacing w:before="0" w:after="0"/>
            </w:pPr>
            <w:r>
              <w:t>January 2015</w:t>
            </w:r>
          </w:p>
        </w:tc>
      </w:tr>
      <w:tr w:rsidR="00BC051C" w:rsidRPr="00E72304" w14:paraId="39157135" w14:textId="77777777" w:rsidTr="003E18A4">
        <w:tc>
          <w:tcPr>
            <w:tcW w:w="817" w:type="dxa"/>
          </w:tcPr>
          <w:p w14:paraId="43A74FE1" w14:textId="77777777" w:rsidR="00BC051C" w:rsidRPr="00F81E11" w:rsidRDefault="00BC051C" w:rsidP="003E18A4">
            <w:pPr>
              <w:rPr>
                <w:sz w:val="16"/>
                <w:szCs w:val="16"/>
              </w:rPr>
            </w:pPr>
            <w:r>
              <w:rPr>
                <w:sz w:val="16"/>
                <w:szCs w:val="16"/>
              </w:rPr>
              <w:t>41</w:t>
            </w:r>
          </w:p>
        </w:tc>
        <w:tc>
          <w:tcPr>
            <w:tcW w:w="7229" w:type="dxa"/>
            <w:shd w:val="clear" w:color="auto" w:fill="auto"/>
          </w:tcPr>
          <w:p w14:paraId="04B049FA" w14:textId="77777777" w:rsidR="00BC051C" w:rsidRPr="00F81E11" w:rsidRDefault="00BC051C" w:rsidP="003E18A4">
            <w:pPr>
              <w:rPr>
                <w:sz w:val="16"/>
                <w:szCs w:val="16"/>
              </w:rPr>
            </w:pPr>
            <w:r w:rsidRPr="00F81E11">
              <w:rPr>
                <w:sz w:val="16"/>
                <w:szCs w:val="16"/>
              </w:rPr>
              <w:t xml:space="preserve">Solomon Islands YAW Data Collection Point Report 4 (Pasifiki Services Limited) </w:t>
            </w:r>
            <w:r w:rsidRPr="000B7819">
              <w:rPr>
                <w:sz w:val="16"/>
                <w:szCs w:val="16"/>
              </w:rPr>
              <w:t>Available on Request</w:t>
            </w:r>
          </w:p>
        </w:tc>
        <w:tc>
          <w:tcPr>
            <w:tcW w:w="1499" w:type="dxa"/>
            <w:shd w:val="clear" w:color="auto" w:fill="auto"/>
          </w:tcPr>
          <w:p w14:paraId="7A12AA1F" w14:textId="77777777" w:rsidR="00BC051C" w:rsidRPr="00FE4641" w:rsidRDefault="00BC051C" w:rsidP="003E18A4">
            <w:pPr>
              <w:pStyle w:val="TableText"/>
              <w:spacing w:before="0" w:after="0"/>
            </w:pPr>
            <w:r>
              <w:t>Sept-Oct 2014</w:t>
            </w:r>
          </w:p>
        </w:tc>
      </w:tr>
      <w:tr w:rsidR="00BC051C" w:rsidRPr="00E72304" w14:paraId="0AC8561A" w14:textId="77777777" w:rsidTr="003E18A4">
        <w:tc>
          <w:tcPr>
            <w:tcW w:w="817" w:type="dxa"/>
          </w:tcPr>
          <w:p w14:paraId="06A4C12B" w14:textId="77777777" w:rsidR="00BC051C" w:rsidRPr="00F81E11" w:rsidRDefault="00BC051C" w:rsidP="003E18A4">
            <w:pPr>
              <w:pStyle w:val="TableText"/>
              <w:spacing w:before="0" w:after="0"/>
              <w:rPr>
                <w:szCs w:val="16"/>
              </w:rPr>
            </w:pPr>
            <w:r>
              <w:rPr>
                <w:szCs w:val="16"/>
              </w:rPr>
              <w:t>42</w:t>
            </w:r>
          </w:p>
        </w:tc>
        <w:tc>
          <w:tcPr>
            <w:tcW w:w="7229" w:type="dxa"/>
            <w:shd w:val="clear" w:color="auto" w:fill="auto"/>
          </w:tcPr>
          <w:p w14:paraId="799349F6" w14:textId="77777777" w:rsidR="00BC051C" w:rsidRPr="00F81E11" w:rsidRDefault="00BC051C" w:rsidP="003E18A4">
            <w:pPr>
              <w:rPr>
                <w:sz w:val="16"/>
                <w:szCs w:val="16"/>
              </w:rPr>
            </w:pPr>
            <w:r w:rsidRPr="00F81E11">
              <w:rPr>
                <w:sz w:val="16"/>
                <w:szCs w:val="16"/>
              </w:rPr>
              <w:t>Solomon Islands YAW Tracer Study Report 4 (Pasifiki Services Limited)</w:t>
            </w:r>
            <w:r>
              <w:rPr>
                <w:sz w:val="16"/>
                <w:szCs w:val="16"/>
              </w:rPr>
              <w:t xml:space="preserve"> </w:t>
            </w:r>
            <w:r w:rsidRPr="00F81E11">
              <w:rPr>
                <w:sz w:val="16"/>
                <w:szCs w:val="16"/>
              </w:rPr>
              <w:t>Available on Request</w:t>
            </w:r>
          </w:p>
        </w:tc>
        <w:tc>
          <w:tcPr>
            <w:tcW w:w="1499" w:type="dxa"/>
            <w:shd w:val="clear" w:color="auto" w:fill="auto"/>
          </w:tcPr>
          <w:p w14:paraId="22895D2D" w14:textId="77777777" w:rsidR="00BC051C" w:rsidRPr="00FE4641" w:rsidRDefault="00BC051C" w:rsidP="003E18A4">
            <w:pPr>
              <w:pStyle w:val="TableText"/>
              <w:tabs>
                <w:tab w:val="left" w:pos="525"/>
              </w:tabs>
              <w:spacing w:before="0" w:after="0"/>
            </w:pPr>
            <w:r>
              <w:t>October 2014</w:t>
            </w:r>
          </w:p>
        </w:tc>
      </w:tr>
      <w:tr w:rsidR="00BC051C" w:rsidRPr="00E72304" w14:paraId="76097445" w14:textId="77777777" w:rsidTr="003E18A4">
        <w:tc>
          <w:tcPr>
            <w:tcW w:w="817" w:type="dxa"/>
          </w:tcPr>
          <w:p w14:paraId="429BD340" w14:textId="77777777" w:rsidR="00BC051C" w:rsidRPr="00F81E11" w:rsidRDefault="00BC051C" w:rsidP="003E18A4">
            <w:pPr>
              <w:rPr>
                <w:sz w:val="16"/>
                <w:szCs w:val="16"/>
              </w:rPr>
            </w:pPr>
            <w:r>
              <w:rPr>
                <w:sz w:val="16"/>
                <w:szCs w:val="16"/>
              </w:rPr>
              <w:t>43</w:t>
            </w:r>
          </w:p>
        </w:tc>
        <w:tc>
          <w:tcPr>
            <w:tcW w:w="7229" w:type="dxa"/>
            <w:shd w:val="clear" w:color="auto" w:fill="auto"/>
          </w:tcPr>
          <w:p w14:paraId="6F0413BE" w14:textId="77777777" w:rsidR="00BC051C" w:rsidRPr="00F81E11" w:rsidRDefault="00BC051C" w:rsidP="003E18A4">
            <w:pPr>
              <w:rPr>
                <w:sz w:val="16"/>
                <w:szCs w:val="16"/>
              </w:rPr>
            </w:pPr>
            <w:r w:rsidRPr="00F81E11">
              <w:rPr>
                <w:sz w:val="16"/>
                <w:szCs w:val="16"/>
              </w:rPr>
              <w:t xml:space="preserve">Solomon Islands YAW Case Studies (Pasifiki Services Limited) Limited) </w:t>
            </w:r>
            <w:r>
              <w:rPr>
                <w:sz w:val="16"/>
                <w:szCs w:val="16"/>
              </w:rPr>
              <w:t xml:space="preserve"> </w:t>
            </w:r>
            <w:r w:rsidRPr="00F81E11">
              <w:rPr>
                <w:sz w:val="16"/>
                <w:szCs w:val="16"/>
              </w:rPr>
              <w:t>Available on Request</w:t>
            </w:r>
          </w:p>
        </w:tc>
        <w:tc>
          <w:tcPr>
            <w:tcW w:w="1499" w:type="dxa"/>
            <w:shd w:val="clear" w:color="auto" w:fill="auto"/>
          </w:tcPr>
          <w:p w14:paraId="0A764388" w14:textId="77777777" w:rsidR="00BC051C" w:rsidRPr="00FE4641" w:rsidRDefault="00BC051C" w:rsidP="003E18A4">
            <w:pPr>
              <w:pStyle w:val="TableText"/>
              <w:spacing w:before="0" w:after="0"/>
            </w:pPr>
            <w:r>
              <w:t>November 2014</w:t>
            </w:r>
          </w:p>
        </w:tc>
      </w:tr>
      <w:tr w:rsidR="00BC051C" w:rsidRPr="00E72304" w14:paraId="6528D139" w14:textId="77777777" w:rsidTr="003E18A4">
        <w:tc>
          <w:tcPr>
            <w:tcW w:w="817" w:type="dxa"/>
          </w:tcPr>
          <w:p w14:paraId="63BE8049" w14:textId="77777777" w:rsidR="00BC051C" w:rsidRPr="00F81E11" w:rsidRDefault="00BC051C" w:rsidP="003E18A4">
            <w:pPr>
              <w:pStyle w:val="TableText"/>
              <w:spacing w:before="0" w:after="0"/>
              <w:rPr>
                <w:szCs w:val="16"/>
              </w:rPr>
            </w:pPr>
            <w:r>
              <w:rPr>
                <w:szCs w:val="16"/>
              </w:rPr>
              <w:t>44</w:t>
            </w:r>
          </w:p>
        </w:tc>
        <w:tc>
          <w:tcPr>
            <w:tcW w:w="7229" w:type="dxa"/>
            <w:shd w:val="clear" w:color="auto" w:fill="auto"/>
          </w:tcPr>
          <w:p w14:paraId="1E4C6F3A" w14:textId="77777777" w:rsidR="00BC051C" w:rsidRDefault="00BC051C" w:rsidP="003E18A4">
            <w:pPr>
              <w:pStyle w:val="TableText"/>
              <w:spacing w:before="0" w:after="0"/>
              <w:rPr>
                <w:szCs w:val="16"/>
              </w:rPr>
            </w:pPr>
            <w:r w:rsidRPr="00F81E11">
              <w:rPr>
                <w:szCs w:val="16"/>
              </w:rPr>
              <w:t>Solomon Islands Youth at Work (YAW) Programme, Youth Entrepreneur Program Study Report (Pasifiki Services Limited) Available on Request</w:t>
            </w:r>
          </w:p>
          <w:p w14:paraId="7553BD76" w14:textId="77777777" w:rsidR="00BC051C" w:rsidRDefault="00BC051C" w:rsidP="003E18A4">
            <w:pPr>
              <w:pStyle w:val="TableText"/>
              <w:spacing w:before="0" w:after="0"/>
              <w:rPr>
                <w:szCs w:val="16"/>
              </w:rPr>
            </w:pPr>
          </w:p>
          <w:p w14:paraId="28985D51" w14:textId="77777777" w:rsidR="00BC051C" w:rsidRPr="00F81E11" w:rsidRDefault="00BC051C" w:rsidP="003E18A4">
            <w:pPr>
              <w:pStyle w:val="TableText"/>
              <w:spacing w:before="0" w:after="0"/>
              <w:rPr>
                <w:szCs w:val="16"/>
              </w:rPr>
            </w:pPr>
          </w:p>
        </w:tc>
        <w:tc>
          <w:tcPr>
            <w:tcW w:w="1499" w:type="dxa"/>
            <w:shd w:val="clear" w:color="auto" w:fill="auto"/>
          </w:tcPr>
          <w:p w14:paraId="7840B33B" w14:textId="77777777" w:rsidR="00BC051C" w:rsidRPr="00FE4641" w:rsidRDefault="00BC051C" w:rsidP="003E18A4">
            <w:pPr>
              <w:pStyle w:val="TableText"/>
              <w:spacing w:before="0" w:after="0"/>
            </w:pPr>
            <w:r>
              <w:t>July 2014</w:t>
            </w:r>
          </w:p>
        </w:tc>
      </w:tr>
      <w:tr w:rsidR="00BC051C" w:rsidRPr="00E72304" w14:paraId="13E5D87E" w14:textId="77777777" w:rsidTr="003E18A4">
        <w:tc>
          <w:tcPr>
            <w:tcW w:w="817" w:type="dxa"/>
            <w:shd w:val="clear" w:color="auto" w:fill="CCC0D9" w:themeFill="accent4" w:themeFillTint="66"/>
          </w:tcPr>
          <w:p w14:paraId="69EF5C09" w14:textId="77777777" w:rsidR="00BC051C" w:rsidRDefault="00BC051C" w:rsidP="003E18A4">
            <w:pPr>
              <w:pStyle w:val="TableText"/>
              <w:spacing w:before="0" w:after="0" w:line="276" w:lineRule="auto"/>
              <w:rPr>
                <w:b/>
                <w:szCs w:val="16"/>
              </w:rPr>
            </w:pPr>
          </w:p>
        </w:tc>
        <w:tc>
          <w:tcPr>
            <w:tcW w:w="8728" w:type="dxa"/>
            <w:gridSpan w:val="2"/>
            <w:shd w:val="clear" w:color="auto" w:fill="CCC0D9" w:themeFill="accent4" w:themeFillTint="66"/>
          </w:tcPr>
          <w:p w14:paraId="1EAAA76E" w14:textId="77777777" w:rsidR="00BC051C" w:rsidRPr="00137A5F" w:rsidRDefault="00BC051C" w:rsidP="003E18A4">
            <w:pPr>
              <w:pStyle w:val="TableText"/>
              <w:spacing w:before="0" w:after="0" w:line="276" w:lineRule="auto"/>
              <w:rPr>
                <w:b/>
                <w:szCs w:val="16"/>
              </w:rPr>
            </w:pPr>
            <w:r>
              <w:rPr>
                <w:b/>
                <w:szCs w:val="16"/>
              </w:rPr>
              <w:t>PLP3 Knowledge Products</w:t>
            </w:r>
          </w:p>
        </w:tc>
      </w:tr>
      <w:tr w:rsidR="00BC051C" w:rsidRPr="00E72304" w14:paraId="338BB46A" w14:textId="77777777" w:rsidTr="003E18A4">
        <w:tc>
          <w:tcPr>
            <w:tcW w:w="817" w:type="dxa"/>
          </w:tcPr>
          <w:p w14:paraId="73AF0FB8" w14:textId="77777777" w:rsidR="00BC051C" w:rsidRPr="00DD491D" w:rsidRDefault="00BC051C" w:rsidP="003E18A4">
            <w:pPr>
              <w:pStyle w:val="TableText"/>
              <w:spacing w:before="0" w:after="0" w:line="276" w:lineRule="auto"/>
              <w:rPr>
                <w:szCs w:val="16"/>
              </w:rPr>
            </w:pPr>
          </w:p>
        </w:tc>
        <w:tc>
          <w:tcPr>
            <w:tcW w:w="7229" w:type="dxa"/>
            <w:shd w:val="clear" w:color="auto" w:fill="auto"/>
          </w:tcPr>
          <w:p w14:paraId="1DFAFDA8" w14:textId="77777777" w:rsidR="00BC051C" w:rsidRDefault="00BC051C" w:rsidP="003E18A4">
            <w:pPr>
              <w:pStyle w:val="TableText"/>
              <w:spacing w:before="0" w:after="0" w:line="276" w:lineRule="auto"/>
              <w:rPr>
                <w:szCs w:val="16"/>
              </w:rPr>
            </w:pPr>
            <w:r w:rsidRPr="00320A21">
              <w:rPr>
                <w:i/>
                <w:szCs w:val="16"/>
              </w:rPr>
              <w:t>Country Fact Sheets:</w:t>
            </w:r>
            <w:r>
              <w:rPr>
                <w:szCs w:val="16"/>
              </w:rPr>
              <w:t xml:space="preserve"> Pacific Regional, Samoa, Solomon Islands, Tonga and Vanuatu </w:t>
            </w:r>
            <w:hyperlink r:id="rId35" w:history="1">
              <w:r w:rsidRPr="00137A5F">
                <w:rPr>
                  <w:rStyle w:val="Hyperlink"/>
                  <w:rFonts w:eastAsiaTheme="majorEastAsia"/>
                  <w:szCs w:val="16"/>
                </w:rPr>
                <w:t>http://www.plp.org.fj/resource/country-fact-sheets/</w:t>
              </w:r>
            </w:hyperlink>
          </w:p>
        </w:tc>
        <w:tc>
          <w:tcPr>
            <w:tcW w:w="1499" w:type="dxa"/>
            <w:shd w:val="clear" w:color="auto" w:fill="auto"/>
          </w:tcPr>
          <w:p w14:paraId="40E1DA97" w14:textId="77777777" w:rsidR="00BC051C" w:rsidRPr="00E72304" w:rsidRDefault="00BC051C" w:rsidP="003E18A4">
            <w:pPr>
              <w:pStyle w:val="TableText"/>
              <w:spacing w:before="0" w:after="0" w:line="276" w:lineRule="auto"/>
              <w:rPr>
                <w:szCs w:val="16"/>
              </w:rPr>
            </w:pPr>
            <w:r>
              <w:rPr>
                <w:szCs w:val="16"/>
              </w:rPr>
              <w:t>5 pieces</w:t>
            </w:r>
          </w:p>
        </w:tc>
      </w:tr>
      <w:tr w:rsidR="00BC051C" w:rsidRPr="00E72304" w14:paraId="31CE9107" w14:textId="77777777" w:rsidTr="003E18A4">
        <w:tc>
          <w:tcPr>
            <w:tcW w:w="817" w:type="dxa"/>
          </w:tcPr>
          <w:p w14:paraId="11950D05" w14:textId="77777777" w:rsidR="00BC051C" w:rsidRPr="00320A21" w:rsidRDefault="00BC051C" w:rsidP="003E18A4">
            <w:pPr>
              <w:pStyle w:val="TableText"/>
              <w:spacing w:before="0" w:after="0" w:line="276" w:lineRule="auto"/>
              <w:rPr>
                <w:i/>
                <w:szCs w:val="16"/>
              </w:rPr>
            </w:pPr>
          </w:p>
        </w:tc>
        <w:tc>
          <w:tcPr>
            <w:tcW w:w="7229" w:type="dxa"/>
            <w:shd w:val="clear" w:color="auto" w:fill="auto"/>
          </w:tcPr>
          <w:p w14:paraId="1E21295F" w14:textId="77777777" w:rsidR="00BC051C" w:rsidRDefault="00BC051C" w:rsidP="003E18A4">
            <w:pPr>
              <w:pStyle w:val="TableText"/>
              <w:spacing w:before="0" w:after="0" w:line="276" w:lineRule="auto"/>
              <w:rPr>
                <w:szCs w:val="16"/>
              </w:rPr>
            </w:pPr>
            <w:r w:rsidRPr="00320A21">
              <w:rPr>
                <w:i/>
                <w:szCs w:val="16"/>
              </w:rPr>
              <w:t>PLP  Sector Fact Sheets:</w:t>
            </w:r>
            <w:r>
              <w:rPr>
                <w:szCs w:val="16"/>
              </w:rPr>
              <w:t xml:space="preserve"> PLP, Pacific Regional Leadership Initiative, Women's Leadership and Pacific Regional Leadership </w:t>
            </w:r>
            <w:hyperlink r:id="rId36" w:history="1">
              <w:r w:rsidRPr="00137A5F">
                <w:rPr>
                  <w:rStyle w:val="Hyperlink"/>
                  <w:rFonts w:eastAsiaTheme="majorEastAsia"/>
                  <w:szCs w:val="16"/>
                </w:rPr>
                <w:t>http://www.plp.org.fj/resource/country-fact-sheets/</w:t>
              </w:r>
            </w:hyperlink>
          </w:p>
        </w:tc>
        <w:tc>
          <w:tcPr>
            <w:tcW w:w="1499" w:type="dxa"/>
            <w:shd w:val="clear" w:color="auto" w:fill="auto"/>
          </w:tcPr>
          <w:p w14:paraId="793CEFF5" w14:textId="77777777" w:rsidR="00BC051C" w:rsidRPr="00E72304" w:rsidRDefault="00BC051C" w:rsidP="003E18A4">
            <w:pPr>
              <w:pStyle w:val="TableText"/>
              <w:spacing w:before="0" w:after="0" w:line="276" w:lineRule="auto"/>
              <w:rPr>
                <w:szCs w:val="16"/>
              </w:rPr>
            </w:pPr>
            <w:r>
              <w:rPr>
                <w:szCs w:val="16"/>
              </w:rPr>
              <w:t>4 pieces</w:t>
            </w:r>
          </w:p>
        </w:tc>
      </w:tr>
      <w:tr w:rsidR="00BC051C" w:rsidRPr="00E72304" w14:paraId="1E73A5F4" w14:textId="77777777" w:rsidTr="003E18A4">
        <w:tc>
          <w:tcPr>
            <w:tcW w:w="817" w:type="dxa"/>
          </w:tcPr>
          <w:p w14:paraId="5C9E794E" w14:textId="77777777" w:rsidR="00BC051C" w:rsidRPr="00320A21" w:rsidRDefault="00BC051C" w:rsidP="003E18A4">
            <w:pPr>
              <w:pStyle w:val="TableText"/>
              <w:spacing w:before="0" w:after="0" w:line="276" w:lineRule="auto"/>
              <w:rPr>
                <w:i/>
              </w:rPr>
            </w:pPr>
          </w:p>
        </w:tc>
        <w:tc>
          <w:tcPr>
            <w:tcW w:w="7229" w:type="dxa"/>
            <w:shd w:val="clear" w:color="auto" w:fill="auto"/>
          </w:tcPr>
          <w:p w14:paraId="46A09547" w14:textId="77777777" w:rsidR="00BC051C" w:rsidRDefault="00BC051C" w:rsidP="003E18A4">
            <w:pPr>
              <w:pStyle w:val="TableText"/>
              <w:spacing w:before="0" w:after="0" w:line="276" w:lineRule="auto"/>
              <w:rPr>
                <w:szCs w:val="16"/>
              </w:rPr>
            </w:pPr>
            <w:r w:rsidRPr="00320A21">
              <w:rPr>
                <w:i/>
              </w:rPr>
              <w:t>PLP Briefing Notes:</w:t>
            </w:r>
            <w:r w:rsidRPr="007C3C3A">
              <w:t xml:space="preserve"> </w:t>
            </w:r>
            <w:r>
              <w:t xml:space="preserve">The Impact of ‘Green Growth’ in the Pacific Island Region – joint ANU/ USP/ PLP research project, </w:t>
            </w:r>
            <w:r w:rsidRPr="007C3C3A">
              <w:t>Analysis of Women Councillors’ experience in WISDM coalition activities in Vanuatu, Leaders and Coalitions, Approach to Action Research, PLP Analytical Framework, Pacific Regional Youth Employment Scan, Samoa Chambe</w:t>
            </w:r>
            <w:r>
              <w:t xml:space="preserve">r of Commerce and Industry Inc., </w:t>
            </w:r>
            <w:r w:rsidRPr="007C3C3A">
              <w:t xml:space="preserve">Adaptive Leadership, </w:t>
            </w:r>
            <w:r>
              <w:t xml:space="preserve">Pacific Regional Green Growth Leaders Coalition, </w:t>
            </w:r>
            <w:r w:rsidRPr="007C3C3A">
              <w:t xml:space="preserve">Tonga Private Sector Scan, and Lessons learned on Thinking and Working Politically on CEDAW in </w:t>
            </w:r>
            <w:r>
              <w:t xml:space="preserve">Tonga </w:t>
            </w:r>
            <w:hyperlink r:id="rId37" w:history="1">
              <w:r w:rsidRPr="00320A21">
                <w:rPr>
                  <w:rStyle w:val="Hyperlink"/>
                  <w:rFonts w:eastAsiaTheme="majorEastAsia"/>
                  <w:szCs w:val="16"/>
                </w:rPr>
                <w:t>http://www.plp.org.fj/resource/policy</w:t>
              </w:r>
            </w:hyperlink>
            <w:r w:rsidRPr="00320A21">
              <w:rPr>
                <w:rStyle w:val="Hyperlink"/>
                <w:rFonts w:eastAsiaTheme="majorEastAsia"/>
                <w:szCs w:val="16"/>
              </w:rPr>
              <w:t>briefs/</w:t>
            </w:r>
          </w:p>
        </w:tc>
        <w:tc>
          <w:tcPr>
            <w:tcW w:w="1499" w:type="dxa"/>
            <w:shd w:val="clear" w:color="auto" w:fill="auto"/>
          </w:tcPr>
          <w:p w14:paraId="198BACDF" w14:textId="77777777" w:rsidR="00BC051C" w:rsidRPr="00E72304" w:rsidRDefault="00BC051C" w:rsidP="003E18A4">
            <w:pPr>
              <w:pStyle w:val="TableText"/>
              <w:spacing w:before="0" w:after="0" w:line="276" w:lineRule="auto"/>
              <w:rPr>
                <w:szCs w:val="16"/>
              </w:rPr>
            </w:pPr>
            <w:r>
              <w:rPr>
                <w:szCs w:val="16"/>
              </w:rPr>
              <w:t>11 pieces</w:t>
            </w:r>
          </w:p>
        </w:tc>
      </w:tr>
      <w:tr w:rsidR="00BC051C" w:rsidRPr="00E72304" w14:paraId="76E9C369" w14:textId="77777777" w:rsidTr="003E18A4">
        <w:tc>
          <w:tcPr>
            <w:tcW w:w="817" w:type="dxa"/>
          </w:tcPr>
          <w:p w14:paraId="55B24B4B" w14:textId="77777777" w:rsidR="00BC051C" w:rsidRPr="00320A21" w:rsidRDefault="00BC051C" w:rsidP="003E18A4">
            <w:pPr>
              <w:pStyle w:val="TableText"/>
              <w:spacing w:before="0" w:after="0" w:line="276" w:lineRule="auto"/>
              <w:rPr>
                <w:i/>
              </w:rPr>
            </w:pPr>
          </w:p>
        </w:tc>
        <w:tc>
          <w:tcPr>
            <w:tcW w:w="7229" w:type="dxa"/>
            <w:shd w:val="clear" w:color="auto" w:fill="auto"/>
          </w:tcPr>
          <w:p w14:paraId="33FF6B4A" w14:textId="77777777" w:rsidR="00BC051C" w:rsidRDefault="00BC051C" w:rsidP="003E18A4">
            <w:pPr>
              <w:pStyle w:val="TableText"/>
              <w:spacing w:before="0" w:after="0" w:line="276" w:lineRule="auto"/>
            </w:pPr>
            <w:r w:rsidRPr="00320A21">
              <w:rPr>
                <w:i/>
              </w:rPr>
              <w:t>Discussion Papers:</w:t>
            </w:r>
            <w:r>
              <w:t xml:space="preserve"> Evaluation of the Youth at Work Program, Tonga Private Sector Scan, Lessons learned on Thinking and Working Politically on CEDAW in Tonga and Analysis of Women Councillors’ experience in WISDM coalition activities in Vanuatu</w:t>
            </w:r>
          </w:p>
          <w:p w14:paraId="68C3D710" w14:textId="77777777" w:rsidR="00BC051C" w:rsidRPr="007C3C3A" w:rsidRDefault="0052195D" w:rsidP="003E18A4">
            <w:pPr>
              <w:pStyle w:val="TableText"/>
              <w:spacing w:before="0" w:after="0" w:line="276" w:lineRule="auto"/>
            </w:pPr>
            <w:hyperlink r:id="rId38" w:history="1">
              <w:r w:rsidR="00BC051C" w:rsidRPr="00320A21">
                <w:rPr>
                  <w:rStyle w:val="Hyperlink"/>
                  <w:rFonts w:eastAsiaTheme="majorEastAsia"/>
                </w:rPr>
                <w:t>http://www.plp.org.fj/resource/discussion-papers/</w:t>
              </w:r>
            </w:hyperlink>
            <w:r w:rsidR="00BC051C">
              <w:rPr>
                <w:rStyle w:val="Hyperlink"/>
                <w:rFonts w:eastAsiaTheme="majorEastAsia"/>
              </w:rPr>
              <w:t xml:space="preserve"> </w:t>
            </w:r>
          </w:p>
        </w:tc>
        <w:tc>
          <w:tcPr>
            <w:tcW w:w="1499" w:type="dxa"/>
            <w:shd w:val="clear" w:color="auto" w:fill="auto"/>
          </w:tcPr>
          <w:p w14:paraId="3C1E7135" w14:textId="77777777" w:rsidR="00BC051C" w:rsidRPr="007C3C3A" w:rsidRDefault="00BC051C" w:rsidP="003E18A4">
            <w:pPr>
              <w:pStyle w:val="TableText"/>
              <w:spacing w:before="0" w:after="0" w:line="276" w:lineRule="auto"/>
            </w:pPr>
            <w:r>
              <w:t>4 pieces</w:t>
            </w:r>
          </w:p>
        </w:tc>
      </w:tr>
    </w:tbl>
    <w:p w14:paraId="00FA8617" w14:textId="77777777" w:rsidR="00BC051C" w:rsidRDefault="00BC051C" w:rsidP="00BC051C"/>
    <w:p w14:paraId="25F6C60C" w14:textId="77777777" w:rsidR="00BC051C" w:rsidRDefault="00BC051C" w:rsidP="00BC051C">
      <w:pPr>
        <w:rPr>
          <w:rFonts w:ascii="Calibri" w:eastAsiaTheme="majorEastAsia" w:hAnsi="Calibri" w:cstheme="majorBidi"/>
          <w:b/>
          <w:bCs/>
          <w:color w:val="757575"/>
          <w:sz w:val="50"/>
          <w:szCs w:val="26"/>
        </w:rPr>
      </w:pPr>
      <w:r>
        <w:br w:type="page"/>
      </w:r>
    </w:p>
    <w:p w14:paraId="07187BDA" w14:textId="77777777" w:rsidR="00CD5ECE" w:rsidRDefault="00CD5ECE" w:rsidP="00337E1A">
      <w:pPr>
        <w:pStyle w:val="Heading2"/>
        <w:numPr>
          <w:ilvl w:val="0"/>
          <w:numId w:val="0"/>
        </w:numPr>
        <w:spacing w:before="240" w:after="120"/>
        <w:ind w:left="431" w:hanging="431"/>
      </w:pPr>
      <w:bookmarkStart w:id="64" w:name="_Toc486247225"/>
      <w:r>
        <w:t xml:space="preserve">Annex 8: </w:t>
      </w:r>
      <w:r w:rsidRPr="00D67E75">
        <w:t>People Consulted</w:t>
      </w:r>
      <w:bookmarkEnd w:id="64"/>
    </w:p>
    <w:tbl>
      <w:tblPr>
        <w:tblStyle w:val="TableGrid"/>
        <w:tblW w:w="0" w:type="auto"/>
        <w:tblLook w:val="04A0" w:firstRow="1" w:lastRow="0" w:firstColumn="1" w:lastColumn="0" w:noHBand="0" w:noVBand="1"/>
      </w:tblPr>
      <w:tblGrid>
        <w:gridCol w:w="8908"/>
      </w:tblGrid>
      <w:tr w:rsidR="00CD5ECE" w:rsidRPr="001E70DC" w14:paraId="6F0136AC" w14:textId="77777777" w:rsidTr="00337E1A">
        <w:tc>
          <w:tcPr>
            <w:tcW w:w="8908" w:type="dxa"/>
            <w:tcBorders>
              <w:top w:val="nil"/>
              <w:left w:val="nil"/>
              <w:bottom w:val="nil"/>
              <w:right w:val="nil"/>
            </w:tcBorders>
          </w:tcPr>
          <w:tbl>
            <w:tblPr>
              <w:tblStyle w:val="TableGrid"/>
              <w:tblW w:w="0" w:type="auto"/>
              <w:tblInd w:w="108" w:type="dxa"/>
              <w:tblLook w:val="04A0" w:firstRow="1" w:lastRow="0" w:firstColumn="1" w:lastColumn="0" w:noHBand="0" w:noVBand="1"/>
            </w:tblPr>
            <w:tblGrid>
              <w:gridCol w:w="2189"/>
              <w:gridCol w:w="2801"/>
              <w:gridCol w:w="3584"/>
            </w:tblGrid>
            <w:tr w:rsidR="009C7A2C" w:rsidRPr="008C2A90" w14:paraId="06F50D9B" w14:textId="77777777" w:rsidTr="00FB0282">
              <w:tc>
                <w:tcPr>
                  <w:tcW w:w="2189" w:type="dxa"/>
                  <w:tcBorders>
                    <w:bottom w:val="single" w:sz="4" w:space="0" w:color="auto"/>
                  </w:tcBorders>
                </w:tcPr>
                <w:p w14:paraId="51540FBB" w14:textId="77777777" w:rsidR="008C2A90" w:rsidRPr="00F043D1" w:rsidRDefault="008C2A90" w:rsidP="008C2A90">
                  <w:pPr>
                    <w:rPr>
                      <w:rFonts w:ascii="Calibri" w:hAnsi="Calibri"/>
                      <w:b/>
                    </w:rPr>
                  </w:pPr>
                  <w:r w:rsidRPr="00F043D1">
                    <w:rPr>
                      <w:rFonts w:ascii="Calibri" w:hAnsi="Calibri"/>
                      <w:b/>
                    </w:rPr>
                    <w:t>Name</w:t>
                  </w:r>
                </w:p>
              </w:tc>
              <w:tc>
                <w:tcPr>
                  <w:tcW w:w="2801" w:type="dxa"/>
                  <w:tcBorders>
                    <w:bottom w:val="single" w:sz="4" w:space="0" w:color="auto"/>
                  </w:tcBorders>
                </w:tcPr>
                <w:p w14:paraId="20EC5D9A" w14:textId="77777777" w:rsidR="008C2A90" w:rsidRPr="00F043D1" w:rsidRDefault="008C2A90" w:rsidP="008C2A90">
                  <w:pPr>
                    <w:jc w:val="left"/>
                    <w:rPr>
                      <w:rFonts w:ascii="Calibri" w:hAnsi="Calibri"/>
                      <w:b/>
                    </w:rPr>
                  </w:pPr>
                  <w:r w:rsidRPr="00F043D1">
                    <w:rPr>
                      <w:rFonts w:ascii="Calibri" w:hAnsi="Calibri"/>
                      <w:b/>
                    </w:rPr>
                    <w:t>Title</w:t>
                  </w:r>
                </w:p>
              </w:tc>
              <w:tc>
                <w:tcPr>
                  <w:tcW w:w="3584" w:type="dxa"/>
                  <w:tcBorders>
                    <w:bottom w:val="single" w:sz="4" w:space="0" w:color="auto"/>
                  </w:tcBorders>
                </w:tcPr>
                <w:p w14:paraId="26CFA4E1" w14:textId="77777777" w:rsidR="008C2A90" w:rsidRPr="00F043D1" w:rsidRDefault="008C2A90" w:rsidP="008C2A90">
                  <w:pPr>
                    <w:jc w:val="left"/>
                    <w:rPr>
                      <w:rFonts w:ascii="Calibri" w:hAnsi="Calibri"/>
                      <w:b/>
                    </w:rPr>
                  </w:pPr>
                  <w:r w:rsidRPr="00F043D1">
                    <w:rPr>
                      <w:rFonts w:ascii="Calibri" w:hAnsi="Calibri"/>
                      <w:b/>
                    </w:rPr>
                    <w:t>Organisation</w:t>
                  </w:r>
                </w:p>
              </w:tc>
            </w:tr>
            <w:tr w:rsidR="008C2A90" w:rsidRPr="008C2A90" w14:paraId="5E74F510" w14:textId="77777777" w:rsidTr="008C2A90">
              <w:tc>
                <w:tcPr>
                  <w:tcW w:w="8574" w:type="dxa"/>
                  <w:gridSpan w:val="3"/>
                  <w:tcBorders>
                    <w:left w:val="nil"/>
                    <w:right w:val="nil"/>
                  </w:tcBorders>
                </w:tcPr>
                <w:p w14:paraId="7C64DEE0" w14:textId="77777777" w:rsidR="00945729" w:rsidRDefault="00945729" w:rsidP="008C2A90">
                  <w:pPr>
                    <w:jc w:val="left"/>
                    <w:rPr>
                      <w:rFonts w:ascii="Calibri" w:hAnsi="Calibri"/>
                      <w:b/>
                    </w:rPr>
                  </w:pPr>
                </w:p>
                <w:p w14:paraId="021799D3" w14:textId="77777777" w:rsidR="008C2A90" w:rsidRPr="00F043D1" w:rsidRDefault="008C2A90" w:rsidP="008C2A90">
                  <w:pPr>
                    <w:jc w:val="left"/>
                    <w:rPr>
                      <w:rFonts w:ascii="Calibri" w:hAnsi="Calibri"/>
                      <w:b/>
                    </w:rPr>
                  </w:pPr>
                  <w:r w:rsidRPr="00F043D1">
                    <w:rPr>
                      <w:rFonts w:ascii="Calibri" w:hAnsi="Calibri"/>
                      <w:b/>
                    </w:rPr>
                    <w:t>DFAT</w:t>
                  </w:r>
                </w:p>
              </w:tc>
            </w:tr>
            <w:tr w:rsidR="009C7A2C" w:rsidRPr="008C2A90" w14:paraId="62B0BEB4" w14:textId="77777777" w:rsidTr="00FB0282">
              <w:tc>
                <w:tcPr>
                  <w:tcW w:w="2189" w:type="dxa"/>
                </w:tcPr>
                <w:p w14:paraId="47EA569C" w14:textId="77777777" w:rsidR="008C2A90" w:rsidRPr="00F043D1" w:rsidRDefault="008C2A90" w:rsidP="008C2A90">
                  <w:pPr>
                    <w:rPr>
                      <w:rFonts w:ascii="Calibri" w:hAnsi="Calibri"/>
                    </w:rPr>
                  </w:pPr>
                  <w:r w:rsidRPr="00F043D1">
                    <w:rPr>
                      <w:rFonts w:ascii="Calibri" w:hAnsi="Calibri"/>
                    </w:rPr>
                    <w:t>Ben Burdon</w:t>
                  </w:r>
                </w:p>
              </w:tc>
              <w:tc>
                <w:tcPr>
                  <w:tcW w:w="2801" w:type="dxa"/>
                </w:tcPr>
                <w:p w14:paraId="04096974" w14:textId="77777777" w:rsidR="008C2A90" w:rsidRPr="00F043D1" w:rsidRDefault="008C2A90" w:rsidP="008C2A90">
                  <w:pPr>
                    <w:jc w:val="left"/>
                    <w:rPr>
                      <w:rFonts w:ascii="Calibri" w:hAnsi="Calibri"/>
                    </w:rPr>
                  </w:pPr>
                  <w:r w:rsidRPr="00F043D1">
                    <w:rPr>
                      <w:rFonts w:ascii="Calibri" w:hAnsi="Calibri"/>
                    </w:rPr>
                    <w:t>Assistant Secretary</w:t>
                  </w:r>
                </w:p>
              </w:tc>
              <w:tc>
                <w:tcPr>
                  <w:tcW w:w="3584" w:type="dxa"/>
                </w:tcPr>
                <w:p w14:paraId="781F4541" w14:textId="77777777" w:rsidR="008C2A90" w:rsidRPr="00F043D1" w:rsidRDefault="008C2A90" w:rsidP="008C2A90">
                  <w:pPr>
                    <w:jc w:val="left"/>
                    <w:rPr>
                      <w:rFonts w:ascii="Calibri" w:hAnsi="Calibri"/>
                    </w:rPr>
                  </w:pPr>
                  <w:r w:rsidRPr="00F043D1">
                    <w:rPr>
                      <w:rFonts w:ascii="Calibri" w:hAnsi="Calibri"/>
                    </w:rPr>
                    <w:t>Pacific Integration, Labour Mobility and Security Cooperation Branch</w:t>
                  </w:r>
                </w:p>
              </w:tc>
            </w:tr>
            <w:tr w:rsidR="009C7A2C" w:rsidRPr="008C2A90" w14:paraId="1F6E5DFF" w14:textId="77777777" w:rsidTr="00FB0282">
              <w:tc>
                <w:tcPr>
                  <w:tcW w:w="2189" w:type="dxa"/>
                </w:tcPr>
                <w:p w14:paraId="3190F567" w14:textId="77777777" w:rsidR="008C2A90" w:rsidRPr="00F043D1" w:rsidRDefault="008C2A90" w:rsidP="008C2A90">
                  <w:pPr>
                    <w:rPr>
                      <w:rFonts w:ascii="Calibri" w:hAnsi="Calibri"/>
                    </w:rPr>
                  </w:pPr>
                  <w:r w:rsidRPr="00F043D1">
                    <w:rPr>
                      <w:rFonts w:ascii="Calibri" w:hAnsi="Calibri"/>
                    </w:rPr>
                    <w:t>Rob Christie</w:t>
                  </w:r>
                </w:p>
              </w:tc>
              <w:tc>
                <w:tcPr>
                  <w:tcW w:w="2801" w:type="dxa"/>
                </w:tcPr>
                <w:p w14:paraId="21234D7B" w14:textId="77777777" w:rsidR="008C2A90" w:rsidRPr="00F043D1" w:rsidRDefault="008C2A90" w:rsidP="008C2A90">
                  <w:pPr>
                    <w:jc w:val="left"/>
                    <w:rPr>
                      <w:rFonts w:ascii="Calibri" w:hAnsi="Calibri"/>
                    </w:rPr>
                  </w:pPr>
                  <w:r w:rsidRPr="00F043D1">
                    <w:rPr>
                      <w:rFonts w:ascii="Calibri" w:hAnsi="Calibri"/>
                    </w:rPr>
                    <w:t>Assistant Secretary</w:t>
                  </w:r>
                </w:p>
              </w:tc>
              <w:tc>
                <w:tcPr>
                  <w:tcW w:w="3584" w:type="dxa"/>
                </w:tcPr>
                <w:p w14:paraId="62603216" w14:textId="77777777" w:rsidR="008C2A90" w:rsidRPr="00F043D1" w:rsidRDefault="008C2A90" w:rsidP="008C2A90">
                  <w:pPr>
                    <w:jc w:val="left"/>
                    <w:rPr>
                      <w:rFonts w:ascii="Calibri" w:hAnsi="Calibri"/>
                    </w:rPr>
                  </w:pPr>
                  <w:r w:rsidRPr="00F043D1">
                    <w:rPr>
                      <w:rFonts w:ascii="Calibri" w:hAnsi="Calibri"/>
                    </w:rPr>
                    <w:t>Pacific Aid Effectiveness and Advice Branch</w:t>
                  </w:r>
                </w:p>
              </w:tc>
            </w:tr>
            <w:tr w:rsidR="009C7A2C" w:rsidRPr="008C2A90" w14:paraId="6D612F55" w14:textId="77777777" w:rsidTr="00FB0282">
              <w:tc>
                <w:tcPr>
                  <w:tcW w:w="2189" w:type="dxa"/>
                </w:tcPr>
                <w:p w14:paraId="6818B79B" w14:textId="77777777" w:rsidR="008C2A90" w:rsidRPr="00F043D1" w:rsidRDefault="008C2A90" w:rsidP="008C2A90">
                  <w:pPr>
                    <w:rPr>
                      <w:rFonts w:ascii="Calibri" w:hAnsi="Calibri"/>
                    </w:rPr>
                  </w:pPr>
                  <w:r w:rsidRPr="00F043D1">
                    <w:rPr>
                      <w:rFonts w:ascii="Calibri" w:hAnsi="Calibri"/>
                    </w:rPr>
                    <w:t>Robin Perry</w:t>
                  </w:r>
                </w:p>
              </w:tc>
              <w:tc>
                <w:tcPr>
                  <w:tcW w:w="2801" w:type="dxa"/>
                </w:tcPr>
                <w:p w14:paraId="1748A973" w14:textId="77777777" w:rsidR="008C2A90" w:rsidRPr="00F043D1" w:rsidRDefault="008C2A90" w:rsidP="008C2A90">
                  <w:pPr>
                    <w:jc w:val="left"/>
                    <w:rPr>
                      <w:rFonts w:ascii="Calibri" w:hAnsi="Calibri"/>
                    </w:rPr>
                  </w:pPr>
                  <w:r w:rsidRPr="00F043D1">
                    <w:rPr>
                      <w:rFonts w:ascii="Calibri" w:hAnsi="Calibri"/>
                    </w:rPr>
                    <w:t>Assistant Director</w:t>
                  </w:r>
                </w:p>
              </w:tc>
              <w:tc>
                <w:tcPr>
                  <w:tcW w:w="3584" w:type="dxa"/>
                </w:tcPr>
                <w:p w14:paraId="59996915" w14:textId="77777777" w:rsidR="008C2A90" w:rsidRPr="00F043D1" w:rsidRDefault="008C2A90" w:rsidP="008C2A90">
                  <w:pPr>
                    <w:jc w:val="left"/>
                    <w:rPr>
                      <w:rFonts w:ascii="Calibri" w:hAnsi="Calibri"/>
                    </w:rPr>
                  </w:pPr>
                  <w:r w:rsidRPr="00F043D1">
                    <w:rPr>
                      <w:rFonts w:ascii="Calibri" w:hAnsi="Calibri"/>
                    </w:rPr>
                    <w:t>Solomon Islands Desk</w:t>
                  </w:r>
                </w:p>
              </w:tc>
            </w:tr>
            <w:tr w:rsidR="009C7A2C" w:rsidRPr="008C2A90" w14:paraId="3CAFC336" w14:textId="77777777" w:rsidTr="00FB0282">
              <w:tc>
                <w:tcPr>
                  <w:tcW w:w="2189" w:type="dxa"/>
                </w:tcPr>
                <w:p w14:paraId="4461AE83" w14:textId="77777777" w:rsidR="008C2A90" w:rsidRPr="00F043D1" w:rsidRDefault="008C2A90" w:rsidP="008C2A90">
                  <w:pPr>
                    <w:rPr>
                      <w:rFonts w:ascii="Calibri" w:hAnsi="Calibri"/>
                    </w:rPr>
                  </w:pPr>
                  <w:r w:rsidRPr="00F043D1">
                    <w:rPr>
                      <w:rFonts w:ascii="Calibri" w:hAnsi="Calibri"/>
                    </w:rPr>
                    <w:t>Anne O'Keefe</w:t>
                  </w:r>
                </w:p>
              </w:tc>
              <w:tc>
                <w:tcPr>
                  <w:tcW w:w="2801" w:type="dxa"/>
                </w:tcPr>
                <w:p w14:paraId="7270C150" w14:textId="77777777" w:rsidR="008C2A90" w:rsidRPr="00F043D1" w:rsidRDefault="008C2A90" w:rsidP="008C2A90">
                  <w:pPr>
                    <w:jc w:val="left"/>
                    <w:rPr>
                      <w:rFonts w:ascii="Calibri" w:hAnsi="Calibri"/>
                    </w:rPr>
                  </w:pPr>
                  <w:r w:rsidRPr="00F043D1">
                    <w:rPr>
                      <w:rFonts w:ascii="Calibri" w:hAnsi="Calibri"/>
                    </w:rPr>
                    <w:t>Policy Officer</w:t>
                  </w:r>
                </w:p>
              </w:tc>
              <w:tc>
                <w:tcPr>
                  <w:tcW w:w="3584" w:type="dxa"/>
                </w:tcPr>
                <w:p w14:paraId="6AB4FF37" w14:textId="77777777" w:rsidR="008C2A90" w:rsidRPr="00F043D1" w:rsidRDefault="008C2A90" w:rsidP="008C2A90">
                  <w:pPr>
                    <w:jc w:val="left"/>
                    <w:rPr>
                      <w:rFonts w:ascii="Calibri" w:hAnsi="Calibri"/>
                    </w:rPr>
                  </w:pPr>
                  <w:r w:rsidRPr="00F043D1">
                    <w:rPr>
                      <w:rFonts w:ascii="Calibri" w:hAnsi="Calibri"/>
                    </w:rPr>
                    <w:t>Pacific Security Cooperation and People Section</w:t>
                  </w:r>
                </w:p>
              </w:tc>
            </w:tr>
            <w:tr w:rsidR="009C7A2C" w:rsidRPr="008C2A90" w14:paraId="39948B79" w14:textId="77777777" w:rsidTr="00FB0282">
              <w:tc>
                <w:tcPr>
                  <w:tcW w:w="2189" w:type="dxa"/>
                </w:tcPr>
                <w:p w14:paraId="3DE0CD7A" w14:textId="77777777" w:rsidR="008C2A90" w:rsidRPr="00F043D1" w:rsidRDefault="008C2A90" w:rsidP="008C2A90">
                  <w:pPr>
                    <w:rPr>
                      <w:rFonts w:ascii="Calibri" w:hAnsi="Calibri"/>
                    </w:rPr>
                  </w:pPr>
                  <w:r w:rsidRPr="00F043D1">
                    <w:rPr>
                      <w:rFonts w:ascii="Calibri" w:hAnsi="Calibri"/>
                    </w:rPr>
                    <w:t>Tracey Newbury</w:t>
                  </w:r>
                </w:p>
              </w:tc>
              <w:tc>
                <w:tcPr>
                  <w:tcW w:w="2801" w:type="dxa"/>
                </w:tcPr>
                <w:p w14:paraId="74379982" w14:textId="77777777" w:rsidR="008C2A90" w:rsidRPr="00F043D1" w:rsidRDefault="008C2A90" w:rsidP="008C2A90">
                  <w:pPr>
                    <w:jc w:val="left"/>
                    <w:rPr>
                      <w:rFonts w:ascii="Calibri" w:hAnsi="Calibri"/>
                    </w:rPr>
                  </w:pPr>
                  <w:r w:rsidRPr="00F043D1">
                    <w:rPr>
                      <w:rFonts w:ascii="Calibri" w:hAnsi="Calibri"/>
                    </w:rPr>
                    <w:t>Director</w:t>
                  </w:r>
                </w:p>
              </w:tc>
              <w:tc>
                <w:tcPr>
                  <w:tcW w:w="3584" w:type="dxa"/>
                </w:tcPr>
                <w:p w14:paraId="1409086A" w14:textId="77777777" w:rsidR="008C2A90" w:rsidRPr="00F043D1" w:rsidRDefault="008C2A90" w:rsidP="008C2A90">
                  <w:pPr>
                    <w:jc w:val="left"/>
                    <w:rPr>
                      <w:rFonts w:ascii="Calibri" w:hAnsi="Calibri"/>
                    </w:rPr>
                  </w:pPr>
                  <w:r w:rsidRPr="00F043D1">
                    <w:rPr>
                      <w:rFonts w:ascii="Calibri" w:hAnsi="Calibri"/>
                    </w:rPr>
                    <w:t>Pacific Gender, Equality and Disability Inclusiveness Section</w:t>
                  </w:r>
                </w:p>
              </w:tc>
            </w:tr>
            <w:tr w:rsidR="009C7A2C" w:rsidRPr="008C2A90" w14:paraId="67D6FBD9" w14:textId="77777777" w:rsidTr="00FB0282">
              <w:tc>
                <w:tcPr>
                  <w:tcW w:w="2189" w:type="dxa"/>
                </w:tcPr>
                <w:p w14:paraId="12B766F1" w14:textId="77777777" w:rsidR="008C2A90" w:rsidRPr="00F043D1" w:rsidRDefault="008C2A90" w:rsidP="008C2A90">
                  <w:pPr>
                    <w:rPr>
                      <w:rFonts w:ascii="Calibri" w:hAnsi="Calibri"/>
                    </w:rPr>
                  </w:pPr>
                  <w:r w:rsidRPr="00F043D1">
                    <w:rPr>
                      <w:rFonts w:ascii="Calibri" w:hAnsi="Calibri"/>
                    </w:rPr>
                    <w:t>Gaye Moore</w:t>
                  </w:r>
                </w:p>
              </w:tc>
              <w:tc>
                <w:tcPr>
                  <w:tcW w:w="2801" w:type="dxa"/>
                </w:tcPr>
                <w:p w14:paraId="20F4F80E" w14:textId="77777777" w:rsidR="008C2A90" w:rsidRPr="00F043D1" w:rsidRDefault="008C2A90" w:rsidP="008C2A90">
                  <w:pPr>
                    <w:jc w:val="left"/>
                    <w:rPr>
                      <w:rFonts w:ascii="Calibri" w:hAnsi="Calibri"/>
                    </w:rPr>
                  </w:pPr>
                  <w:r w:rsidRPr="00F043D1">
                    <w:rPr>
                      <w:rFonts w:ascii="Calibri" w:hAnsi="Calibri"/>
                    </w:rPr>
                    <w:t>Assistant Director</w:t>
                  </w:r>
                </w:p>
              </w:tc>
              <w:tc>
                <w:tcPr>
                  <w:tcW w:w="3584" w:type="dxa"/>
                </w:tcPr>
                <w:p w14:paraId="70DCF604" w14:textId="77777777" w:rsidR="008C2A90" w:rsidRPr="00F043D1" w:rsidRDefault="008C2A90" w:rsidP="008C2A90">
                  <w:pPr>
                    <w:jc w:val="left"/>
                    <w:rPr>
                      <w:rFonts w:ascii="Calibri" w:hAnsi="Calibri"/>
                    </w:rPr>
                  </w:pPr>
                  <w:r w:rsidRPr="00F043D1">
                    <w:rPr>
                      <w:rFonts w:ascii="Calibri" w:hAnsi="Calibri"/>
                    </w:rPr>
                    <w:t>Pacific Gender, Equality and Disability Inclusiveness Section</w:t>
                  </w:r>
                </w:p>
              </w:tc>
            </w:tr>
            <w:tr w:rsidR="009C7A2C" w:rsidRPr="008C2A90" w14:paraId="63F483B8" w14:textId="77777777" w:rsidTr="00FB0282">
              <w:tc>
                <w:tcPr>
                  <w:tcW w:w="2189" w:type="dxa"/>
                </w:tcPr>
                <w:p w14:paraId="3D88B289" w14:textId="77777777" w:rsidR="008C2A90" w:rsidRPr="00F043D1" w:rsidRDefault="008C2A90" w:rsidP="008C2A90">
                  <w:pPr>
                    <w:rPr>
                      <w:rFonts w:ascii="Calibri" w:hAnsi="Calibri"/>
                    </w:rPr>
                  </w:pPr>
                  <w:r w:rsidRPr="00F043D1">
                    <w:rPr>
                      <w:rFonts w:ascii="Calibri" w:hAnsi="Calibri"/>
                    </w:rPr>
                    <w:t>Michael Wilson</w:t>
                  </w:r>
                </w:p>
              </w:tc>
              <w:tc>
                <w:tcPr>
                  <w:tcW w:w="2801" w:type="dxa"/>
                </w:tcPr>
                <w:p w14:paraId="40361187" w14:textId="77777777" w:rsidR="008C2A90" w:rsidRPr="00F043D1" w:rsidRDefault="008C2A90" w:rsidP="008C2A90">
                  <w:pPr>
                    <w:jc w:val="left"/>
                    <w:rPr>
                      <w:rFonts w:ascii="Calibri" w:hAnsi="Calibri"/>
                    </w:rPr>
                  </w:pPr>
                  <w:r w:rsidRPr="00F043D1">
                    <w:rPr>
                      <w:rFonts w:ascii="Calibri" w:hAnsi="Calibri"/>
                    </w:rPr>
                    <w:t>Assistant Secretary</w:t>
                  </w:r>
                </w:p>
              </w:tc>
              <w:tc>
                <w:tcPr>
                  <w:tcW w:w="3584" w:type="dxa"/>
                </w:tcPr>
                <w:p w14:paraId="754B4720" w14:textId="77777777" w:rsidR="008C2A90" w:rsidRPr="00F043D1" w:rsidRDefault="008C2A90" w:rsidP="008C2A90">
                  <w:pPr>
                    <w:jc w:val="left"/>
                    <w:rPr>
                      <w:rFonts w:ascii="Calibri" w:hAnsi="Calibri"/>
                    </w:rPr>
                  </w:pPr>
                  <w:r w:rsidRPr="00F043D1">
                    <w:rPr>
                      <w:rFonts w:ascii="Calibri" w:hAnsi="Calibri"/>
                    </w:rPr>
                    <w:t>Governance, Fragility and Water Branch</w:t>
                  </w:r>
                </w:p>
              </w:tc>
            </w:tr>
            <w:tr w:rsidR="009C7A2C" w:rsidRPr="008C2A90" w14:paraId="2DFC36AF" w14:textId="77777777" w:rsidTr="00FB0282">
              <w:tc>
                <w:tcPr>
                  <w:tcW w:w="2189" w:type="dxa"/>
                </w:tcPr>
                <w:p w14:paraId="366E15AB" w14:textId="77777777" w:rsidR="008C2A90" w:rsidRPr="00F043D1" w:rsidRDefault="008C2A90" w:rsidP="008C2A90">
                  <w:pPr>
                    <w:rPr>
                      <w:rFonts w:ascii="Calibri" w:hAnsi="Calibri"/>
                    </w:rPr>
                  </w:pPr>
                  <w:r w:rsidRPr="00F043D1">
                    <w:rPr>
                      <w:rFonts w:ascii="Calibri" w:hAnsi="Calibri"/>
                    </w:rPr>
                    <w:t>Kirsten Bishop</w:t>
                  </w:r>
                </w:p>
              </w:tc>
              <w:tc>
                <w:tcPr>
                  <w:tcW w:w="2801" w:type="dxa"/>
                </w:tcPr>
                <w:p w14:paraId="38420335" w14:textId="77777777" w:rsidR="008C2A90" w:rsidRPr="00F043D1" w:rsidRDefault="008C2A90" w:rsidP="008C2A90">
                  <w:pPr>
                    <w:jc w:val="left"/>
                    <w:rPr>
                      <w:rFonts w:ascii="Calibri" w:hAnsi="Calibri"/>
                    </w:rPr>
                  </w:pPr>
                  <w:r w:rsidRPr="00F043D1">
                    <w:rPr>
                      <w:rFonts w:ascii="Calibri" w:hAnsi="Calibri"/>
                    </w:rPr>
                    <w:t>Director</w:t>
                  </w:r>
                </w:p>
              </w:tc>
              <w:tc>
                <w:tcPr>
                  <w:tcW w:w="3584" w:type="dxa"/>
                </w:tcPr>
                <w:p w14:paraId="5781EA09" w14:textId="77777777" w:rsidR="008C2A90" w:rsidRPr="00F043D1" w:rsidRDefault="008C2A90" w:rsidP="008C2A90">
                  <w:pPr>
                    <w:jc w:val="left"/>
                    <w:rPr>
                      <w:rFonts w:ascii="Calibri" w:hAnsi="Calibri"/>
                    </w:rPr>
                  </w:pPr>
                  <w:r w:rsidRPr="00F043D1">
                    <w:rPr>
                      <w:rFonts w:ascii="Calibri" w:hAnsi="Calibri"/>
                    </w:rPr>
                    <w:t>Governance, Fragility and Water Branch</w:t>
                  </w:r>
                </w:p>
              </w:tc>
            </w:tr>
            <w:tr w:rsidR="009C7A2C" w:rsidRPr="008C2A90" w14:paraId="014B994F" w14:textId="77777777" w:rsidTr="00FB0282">
              <w:tc>
                <w:tcPr>
                  <w:tcW w:w="2189" w:type="dxa"/>
                </w:tcPr>
                <w:p w14:paraId="3FCAA221" w14:textId="77777777" w:rsidR="008C2A90" w:rsidRPr="00F043D1" w:rsidRDefault="008C2A90" w:rsidP="008C2A90">
                  <w:pPr>
                    <w:rPr>
                      <w:rFonts w:ascii="Calibri" w:hAnsi="Calibri"/>
                    </w:rPr>
                  </w:pPr>
                  <w:r w:rsidRPr="00F043D1">
                    <w:rPr>
                      <w:rFonts w:ascii="Calibri" w:hAnsi="Calibri"/>
                    </w:rPr>
                    <w:t>Sarah Boddington</w:t>
                  </w:r>
                </w:p>
              </w:tc>
              <w:tc>
                <w:tcPr>
                  <w:tcW w:w="2801" w:type="dxa"/>
                </w:tcPr>
                <w:p w14:paraId="5BBA9B90" w14:textId="77777777" w:rsidR="008C2A90" w:rsidRPr="00F043D1" w:rsidRDefault="008C2A90" w:rsidP="008C2A90">
                  <w:pPr>
                    <w:jc w:val="left"/>
                    <w:rPr>
                      <w:rFonts w:ascii="Calibri" w:hAnsi="Calibri"/>
                    </w:rPr>
                  </w:pPr>
                  <w:r w:rsidRPr="00F043D1">
                    <w:rPr>
                      <w:rFonts w:ascii="Calibri" w:hAnsi="Calibri"/>
                    </w:rPr>
                    <w:t>Director</w:t>
                  </w:r>
                </w:p>
              </w:tc>
              <w:tc>
                <w:tcPr>
                  <w:tcW w:w="3584" w:type="dxa"/>
                </w:tcPr>
                <w:p w14:paraId="20EEB968" w14:textId="77777777" w:rsidR="008C2A90" w:rsidRPr="00F043D1" w:rsidRDefault="008C2A90" w:rsidP="008C2A90">
                  <w:pPr>
                    <w:jc w:val="left"/>
                    <w:rPr>
                      <w:rFonts w:ascii="Calibri" w:hAnsi="Calibri"/>
                    </w:rPr>
                  </w:pPr>
                  <w:r w:rsidRPr="00F043D1">
                    <w:rPr>
                      <w:rFonts w:ascii="Calibri" w:hAnsi="Calibri"/>
                    </w:rPr>
                    <w:t>Governance, Fragility and Water Branch</w:t>
                  </w:r>
                </w:p>
              </w:tc>
            </w:tr>
            <w:tr w:rsidR="009C7A2C" w:rsidRPr="008C2A90" w14:paraId="028A7101" w14:textId="77777777" w:rsidTr="00FB0282">
              <w:tc>
                <w:tcPr>
                  <w:tcW w:w="2189" w:type="dxa"/>
                </w:tcPr>
                <w:p w14:paraId="4C452CF6" w14:textId="77777777" w:rsidR="008C2A90" w:rsidRPr="00F043D1" w:rsidRDefault="008C2A90" w:rsidP="008C2A90">
                  <w:pPr>
                    <w:rPr>
                      <w:rFonts w:ascii="Calibri" w:hAnsi="Calibri"/>
                    </w:rPr>
                  </w:pPr>
                  <w:r w:rsidRPr="00F043D1">
                    <w:rPr>
                      <w:rFonts w:ascii="Calibri" w:hAnsi="Calibri"/>
                    </w:rPr>
                    <w:t>Aimee Milligan</w:t>
                  </w:r>
                </w:p>
              </w:tc>
              <w:tc>
                <w:tcPr>
                  <w:tcW w:w="2801" w:type="dxa"/>
                </w:tcPr>
                <w:p w14:paraId="14DABB3A" w14:textId="77777777" w:rsidR="008C2A90" w:rsidRPr="00F043D1" w:rsidRDefault="008C2A90" w:rsidP="008C2A90">
                  <w:pPr>
                    <w:jc w:val="left"/>
                    <w:rPr>
                      <w:rFonts w:ascii="Calibri" w:hAnsi="Calibri"/>
                    </w:rPr>
                  </w:pPr>
                  <w:r w:rsidRPr="00F043D1">
                    <w:rPr>
                      <w:rFonts w:ascii="Calibri" w:hAnsi="Calibri"/>
                    </w:rPr>
                    <w:t>Policy Officer</w:t>
                  </w:r>
                </w:p>
              </w:tc>
              <w:tc>
                <w:tcPr>
                  <w:tcW w:w="3584" w:type="dxa"/>
                </w:tcPr>
                <w:p w14:paraId="264D678E" w14:textId="77777777" w:rsidR="008C2A90" w:rsidRPr="00F043D1" w:rsidRDefault="008C2A90" w:rsidP="008C2A90">
                  <w:pPr>
                    <w:jc w:val="left"/>
                    <w:rPr>
                      <w:rFonts w:ascii="Calibri" w:hAnsi="Calibri"/>
                    </w:rPr>
                  </w:pPr>
                  <w:r w:rsidRPr="00F043D1">
                    <w:rPr>
                      <w:rFonts w:ascii="Calibri" w:hAnsi="Calibri"/>
                    </w:rPr>
                    <w:t>Governance, Fragility and Water Branch</w:t>
                  </w:r>
                </w:p>
              </w:tc>
            </w:tr>
            <w:tr w:rsidR="009C7A2C" w:rsidRPr="008C2A90" w14:paraId="778F5DED" w14:textId="77777777" w:rsidTr="00FB0282">
              <w:tc>
                <w:tcPr>
                  <w:tcW w:w="2189" w:type="dxa"/>
                </w:tcPr>
                <w:p w14:paraId="141DF29B" w14:textId="77777777" w:rsidR="008C2A90" w:rsidRPr="00F043D1" w:rsidRDefault="008C2A90" w:rsidP="008C2A90">
                  <w:pPr>
                    <w:rPr>
                      <w:rFonts w:ascii="Calibri" w:hAnsi="Calibri"/>
                    </w:rPr>
                  </w:pPr>
                  <w:r w:rsidRPr="00F043D1">
                    <w:rPr>
                      <w:rFonts w:ascii="Calibri" w:hAnsi="Calibri"/>
                    </w:rPr>
                    <w:t>Olivia Chambers</w:t>
                  </w:r>
                </w:p>
              </w:tc>
              <w:tc>
                <w:tcPr>
                  <w:tcW w:w="2801" w:type="dxa"/>
                </w:tcPr>
                <w:p w14:paraId="5BF0E379" w14:textId="77777777" w:rsidR="008C2A90" w:rsidRPr="00F043D1" w:rsidRDefault="008C2A90" w:rsidP="008C2A90">
                  <w:pPr>
                    <w:jc w:val="left"/>
                    <w:rPr>
                      <w:rFonts w:ascii="Calibri" w:hAnsi="Calibri"/>
                    </w:rPr>
                  </w:pPr>
                  <w:r w:rsidRPr="00F043D1">
                    <w:rPr>
                      <w:rFonts w:ascii="Calibri" w:hAnsi="Calibri"/>
                    </w:rPr>
                    <w:t>Policy Officer</w:t>
                  </w:r>
                </w:p>
              </w:tc>
              <w:tc>
                <w:tcPr>
                  <w:tcW w:w="3584" w:type="dxa"/>
                </w:tcPr>
                <w:p w14:paraId="43538E85" w14:textId="77777777" w:rsidR="008C2A90" w:rsidRPr="00F043D1" w:rsidRDefault="008C2A90" w:rsidP="008C2A90">
                  <w:pPr>
                    <w:jc w:val="left"/>
                    <w:rPr>
                      <w:rFonts w:ascii="Calibri" w:hAnsi="Calibri"/>
                    </w:rPr>
                  </w:pPr>
                  <w:r w:rsidRPr="00F043D1">
                    <w:rPr>
                      <w:rFonts w:ascii="Calibri" w:hAnsi="Calibri"/>
                    </w:rPr>
                    <w:t>Governance, Fragility and Water Branch</w:t>
                  </w:r>
                </w:p>
              </w:tc>
            </w:tr>
            <w:tr w:rsidR="009C7A2C" w:rsidRPr="008C2A90" w14:paraId="5EA62923" w14:textId="77777777" w:rsidTr="00FB0282">
              <w:trPr>
                <w:trHeight w:val="563"/>
              </w:trPr>
              <w:tc>
                <w:tcPr>
                  <w:tcW w:w="2189" w:type="dxa"/>
                </w:tcPr>
                <w:p w14:paraId="52135697" w14:textId="77777777" w:rsidR="008C2A90" w:rsidRPr="00F043D1" w:rsidRDefault="008C2A90" w:rsidP="008C2A90">
                  <w:pPr>
                    <w:rPr>
                      <w:rFonts w:ascii="Calibri" w:hAnsi="Calibri"/>
                    </w:rPr>
                  </w:pPr>
                  <w:r w:rsidRPr="00F043D1">
                    <w:rPr>
                      <w:rFonts w:ascii="Calibri" w:hAnsi="Calibri"/>
                    </w:rPr>
                    <w:t>Sheona McKenna</w:t>
                  </w:r>
                </w:p>
              </w:tc>
              <w:tc>
                <w:tcPr>
                  <w:tcW w:w="2801" w:type="dxa"/>
                </w:tcPr>
                <w:p w14:paraId="4AEDC4AF" w14:textId="77777777" w:rsidR="008C2A90" w:rsidRPr="00F043D1" w:rsidRDefault="008C2A90" w:rsidP="008C2A90">
                  <w:pPr>
                    <w:jc w:val="left"/>
                    <w:rPr>
                      <w:rFonts w:ascii="Calibri" w:hAnsi="Calibri"/>
                    </w:rPr>
                  </w:pPr>
                  <w:r w:rsidRPr="00F043D1">
                    <w:rPr>
                      <w:rFonts w:ascii="Calibri" w:hAnsi="Calibri"/>
                    </w:rPr>
                    <w:t>Director (and former DFAT official in PLP)</w:t>
                  </w:r>
                </w:p>
              </w:tc>
              <w:tc>
                <w:tcPr>
                  <w:tcW w:w="3584" w:type="dxa"/>
                </w:tcPr>
                <w:p w14:paraId="1E9F41A5" w14:textId="77777777" w:rsidR="008C2A90" w:rsidRPr="00F043D1" w:rsidRDefault="008C2A90" w:rsidP="008C2A90">
                  <w:pPr>
                    <w:jc w:val="left"/>
                    <w:rPr>
                      <w:rFonts w:ascii="Calibri" w:hAnsi="Calibri"/>
                    </w:rPr>
                  </w:pPr>
                  <w:r w:rsidRPr="00F043D1">
                    <w:rPr>
                      <w:rFonts w:ascii="Calibri" w:hAnsi="Calibri"/>
                    </w:rPr>
                    <w:t>Australia Awards and Alumni Branch</w:t>
                  </w:r>
                </w:p>
              </w:tc>
            </w:tr>
            <w:tr w:rsidR="009C7A2C" w:rsidRPr="008C2A90" w14:paraId="5C8CCA57" w14:textId="77777777" w:rsidTr="00FB0282">
              <w:tc>
                <w:tcPr>
                  <w:tcW w:w="2189" w:type="dxa"/>
                  <w:tcBorders>
                    <w:bottom w:val="single" w:sz="4" w:space="0" w:color="auto"/>
                  </w:tcBorders>
                </w:tcPr>
                <w:p w14:paraId="27850785" w14:textId="77777777" w:rsidR="008C2A90" w:rsidRPr="00F043D1" w:rsidRDefault="008C2A90" w:rsidP="008C2A90">
                  <w:pPr>
                    <w:rPr>
                      <w:rFonts w:ascii="Calibri" w:hAnsi="Calibri"/>
                    </w:rPr>
                  </w:pPr>
                  <w:r w:rsidRPr="00F043D1">
                    <w:rPr>
                      <w:rFonts w:ascii="Calibri" w:hAnsi="Calibri"/>
                    </w:rPr>
                    <w:t>Dennis Davey</w:t>
                  </w:r>
                </w:p>
              </w:tc>
              <w:tc>
                <w:tcPr>
                  <w:tcW w:w="2801" w:type="dxa"/>
                  <w:tcBorders>
                    <w:bottom w:val="single" w:sz="4" w:space="0" w:color="auto"/>
                  </w:tcBorders>
                </w:tcPr>
                <w:p w14:paraId="357E510F" w14:textId="77777777" w:rsidR="008C2A90" w:rsidRPr="00F043D1" w:rsidRDefault="008C2A90" w:rsidP="008C2A90">
                  <w:pPr>
                    <w:jc w:val="left"/>
                    <w:rPr>
                      <w:rFonts w:ascii="Calibri" w:hAnsi="Calibri"/>
                    </w:rPr>
                  </w:pPr>
                  <w:r w:rsidRPr="00F043D1">
                    <w:rPr>
                      <w:rFonts w:ascii="Calibri" w:hAnsi="Calibri"/>
                    </w:rPr>
                    <w:t>Assistant Director</w:t>
                  </w:r>
                </w:p>
              </w:tc>
              <w:tc>
                <w:tcPr>
                  <w:tcW w:w="3584" w:type="dxa"/>
                  <w:tcBorders>
                    <w:bottom w:val="single" w:sz="4" w:space="0" w:color="auto"/>
                  </w:tcBorders>
                </w:tcPr>
                <w:p w14:paraId="49F87AD3" w14:textId="77777777" w:rsidR="008C2A90" w:rsidRPr="00F043D1" w:rsidRDefault="008C2A90" w:rsidP="008C2A90">
                  <w:pPr>
                    <w:jc w:val="left"/>
                    <w:rPr>
                      <w:rFonts w:ascii="Calibri" w:hAnsi="Calibri"/>
                    </w:rPr>
                  </w:pPr>
                  <w:r w:rsidRPr="00F043D1">
                    <w:rPr>
                      <w:rFonts w:ascii="Calibri" w:hAnsi="Calibri"/>
                    </w:rPr>
                    <w:t>Vanuatu Desk</w:t>
                  </w:r>
                </w:p>
              </w:tc>
            </w:tr>
            <w:tr w:rsidR="009C7A2C" w:rsidRPr="008C2A90" w14:paraId="263CA2D4" w14:textId="77777777" w:rsidTr="00FB0282">
              <w:tc>
                <w:tcPr>
                  <w:tcW w:w="2189" w:type="dxa"/>
                  <w:tcBorders>
                    <w:bottom w:val="single" w:sz="4" w:space="0" w:color="auto"/>
                  </w:tcBorders>
                </w:tcPr>
                <w:p w14:paraId="203B55B5" w14:textId="77777777" w:rsidR="008C2A90" w:rsidRPr="00F043D1" w:rsidRDefault="008C2A90" w:rsidP="008C2A90">
                  <w:pPr>
                    <w:rPr>
                      <w:rFonts w:ascii="Calibri" w:hAnsi="Calibri"/>
                    </w:rPr>
                  </w:pPr>
                  <w:r w:rsidRPr="00F043D1">
                    <w:rPr>
                      <w:rFonts w:ascii="Calibri" w:hAnsi="Calibri"/>
                    </w:rPr>
                    <w:t>Marco Salvio</w:t>
                  </w:r>
                </w:p>
              </w:tc>
              <w:tc>
                <w:tcPr>
                  <w:tcW w:w="2801" w:type="dxa"/>
                  <w:tcBorders>
                    <w:bottom w:val="single" w:sz="4" w:space="0" w:color="auto"/>
                  </w:tcBorders>
                </w:tcPr>
                <w:p w14:paraId="1F53BC06" w14:textId="77777777" w:rsidR="008C2A90" w:rsidRPr="00F043D1" w:rsidRDefault="008C2A90" w:rsidP="008C2A90">
                  <w:pPr>
                    <w:jc w:val="left"/>
                    <w:rPr>
                      <w:rFonts w:ascii="Calibri" w:hAnsi="Calibri"/>
                    </w:rPr>
                  </w:pPr>
                  <w:r w:rsidRPr="00F043D1">
                    <w:rPr>
                      <w:rFonts w:ascii="Calibri" w:hAnsi="Calibri"/>
                    </w:rPr>
                    <w:t>Director</w:t>
                  </w:r>
                </w:p>
              </w:tc>
              <w:tc>
                <w:tcPr>
                  <w:tcW w:w="3584" w:type="dxa"/>
                  <w:tcBorders>
                    <w:bottom w:val="single" w:sz="4" w:space="0" w:color="auto"/>
                  </w:tcBorders>
                </w:tcPr>
                <w:p w14:paraId="6A60FFA7" w14:textId="77777777" w:rsidR="008C2A90" w:rsidRPr="00F043D1" w:rsidRDefault="008C2A90" w:rsidP="008C2A90">
                  <w:pPr>
                    <w:jc w:val="left"/>
                    <w:rPr>
                      <w:rFonts w:ascii="Calibri" w:hAnsi="Calibri"/>
                    </w:rPr>
                  </w:pPr>
                  <w:r w:rsidRPr="00F043D1">
                    <w:rPr>
                      <w:rFonts w:ascii="Calibri" w:hAnsi="Calibri"/>
                    </w:rPr>
                    <w:t>Pacific Regional Organisations and Governance Section</w:t>
                  </w:r>
                </w:p>
              </w:tc>
            </w:tr>
            <w:tr w:rsidR="009C7A2C" w:rsidRPr="008C2A90" w14:paraId="648781F1" w14:textId="77777777" w:rsidTr="00FB0282">
              <w:tc>
                <w:tcPr>
                  <w:tcW w:w="2189" w:type="dxa"/>
                  <w:tcBorders>
                    <w:bottom w:val="single" w:sz="4" w:space="0" w:color="auto"/>
                  </w:tcBorders>
                </w:tcPr>
                <w:p w14:paraId="7F3F6DD6" w14:textId="77777777" w:rsidR="008C2A90" w:rsidRPr="00F043D1" w:rsidRDefault="008C2A90" w:rsidP="008C2A90">
                  <w:pPr>
                    <w:rPr>
                      <w:rFonts w:ascii="Calibri" w:hAnsi="Calibri"/>
                    </w:rPr>
                  </w:pPr>
                  <w:r w:rsidRPr="00F043D1">
                    <w:rPr>
                      <w:rFonts w:ascii="Calibri" w:hAnsi="Calibri"/>
                    </w:rPr>
                    <w:t>Marcus Khan</w:t>
                  </w:r>
                </w:p>
              </w:tc>
              <w:tc>
                <w:tcPr>
                  <w:tcW w:w="2801" w:type="dxa"/>
                  <w:tcBorders>
                    <w:bottom w:val="single" w:sz="4" w:space="0" w:color="auto"/>
                  </w:tcBorders>
                </w:tcPr>
                <w:p w14:paraId="3F65AE3E" w14:textId="77777777" w:rsidR="008C2A90" w:rsidRPr="00F043D1" w:rsidRDefault="008C2A90" w:rsidP="008C2A90">
                  <w:pPr>
                    <w:jc w:val="left"/>
                    <w:rPr>
                      <w:rFonts w:ascii="Calibri" w:hAnsi="Calibri"/>
                    </w:rPr>
                  </w:pPr>
                  <w:r w:rsidRPr="00F043D1">
                    <w:rPr>
                      <w:rFonts w:ascii="Calibri" w:hAnsi="Calibri"/>
                    </w:rPr>
                    <w:t>Assistant Director</w:t>
                  </w:r>
                </w:p>
              </w:tc>
              <w:tc>
                <w:tcPr>
                  <w:tcW w:w="3584" w:type="dxa"/>
                  <w:tcBorders>
                    <w:bottom w:val="single" w:sz="4" w:space="0" w:color="auto"/>
                  </w:tcBorders>
                </w:tcPr>
                <w:p w14:paraId="3ADA51F9" w14:textId="77777777" w:rsidR="008C2A90" w:rsidRPr="00F043D1" w:rsidRDefault="008C2A90" w:rsidP="008C2A90">
                  <w:pPr>
                    <w:jc w:val="left"/>
                    <w:rPr>
                      <w:rFonts w:ascii="Calibri" w:hAnsi="Calibri"/>
                    </w:rPr>
                  </w:pPr>
                  <w:r w:rsidRPr="00F043D1">
                    <w:rPr>
                      <w:rFonts w:ascii="Calibri" w:hAnsi="Calibri"/>
                    </w:rPr>
                    <w:t>Pacific Regional Organisations and Governance Section</w:t>
                  </w:r>
                </w:p>
              </w:tc>
            </w:tr>
            <w:tr w:rsidR="009C7A2C" w:rsidRPr="008C2A90" w:rsidDel="003B1BD3" w14:paraId="0F56A3A9" w14:textId="77777777" w:rsidTr="00FB0282">
              <w:tc>
                <w:tcPr>
                  <w:tcW w:w="2189" w:type="dxa"/>
                  <w:tcBorders>
                    <w:bottom w:val="single" w:sz="4" w:space="0" w:color="auto"/>
                  </w:tcBorders>
                </w:tcPr>
                <w:p w14:paraId="3D90D524" w14:textId="77777777" w:rsidR="008C2A90" w:rsidRPr="00F043D1" w:rsidDel="003B1BD3" w:rsidRDefault="008C2A90" w:rsidP="008C2A90">
                  <w:pPr>
                    <w:rPr>
                      <w:rFonts w:ascii="Calibri" w:hAnsi="Calibri"/>
                    </w:rPr>
                  </w:pPr>
                  <w:r w:rsidRPr="00F043D1">
                    <w:rPr>
                      <w:rFonts w:ascii="Calibri" w:hAnsi="Calibri"/>
                    </w:rPr>
                    <w:t>Jo Cowley</w:t>
                  </w:r>
                </w:p>
              </w:tc>
              <w:tc>
                <w:tcPr>
                  <w:tcW w:w="2801" w:type="dxa"/>
                  <w:tcBorders>
                    <w:bottom w:val="single" w:sz="4" w:space="0" w:color="auto"/>
                  </w:tcBorders>
                </w:tcPr>
                <w:p w14:paraId="784D90B4" w14:textId="77777777" w:rsidR="008C2A90" w:rsidRPr="00F043D1" w:rsidDel="003B1BD3" w:rsidRDefault="008C2A90" w:rsidP="008C2A90">
                  <w:pPr>
                    <w:jc w:val="left"/>
                    <w:rPr>
                      <w:rFonts w:ascii="Calibri" w:hAnsi="Calibri"/>
                    </w:rPr>
                  </w:pPr>
                  <w:r w:rsidRPr="00F043D1">
                    <w:rPr>
                      <w:rFonts w:ascii="Calibri" w:hAnsi="Calibri"/>
                    </w:rPr>
                    <w:t>Director</w:t>
                  </w:r>
                </w:p>
              </w:tc>
              <w:tc>
                <w:tcPr>
                  <w:tcW w:w="3584" w:type="dxa"/>
                  <w:tcBorders>
                    <w:bottom w:val="single" w:sz="4" w:space="0" w:color="auto"/>
                  </w:tcBorders>
                </w:tcPr>
                <w:p w14:paraId="52B5464C" w14:textId="77777777" w:rsidR="008C2A90" w:rsidRPr="00F043D1" w:rsidDel="003B1BD3" w:rsidRDefault="008C2A90" w:rsidP="008C2A90">
                  <w:pPr>
                    <w:jc w:val="left"/>
                    <w:rPr>
                      <w:rFonts w:ascii="Calibri" w:hAnsi="Calibri"/>
                    </w:rPr>
                  </w:pPr>
                  <w:r w:rsidRPr="00F043D1">
                    <w:rPr>
                      <w:rFonts w:ascii="Calibri" w:hAnsi="Calibri"/>
                    </w:rPr>
                    <w:t>Pacific Security Cooperation and People Section</w:t>
                  </w:r>
                </w:p>
              </w:tc>
            </w:tr>
            <w:tr w:rsidR="009C7A2C" w:rsidRPr="008C2A90" w14:paraId="081FF434" w14:textId="77777777" w:rsidTr="00FB0282">
              <w:tc>
                <w:tcPr>
                  <w:tcW w:w="2189" w:type="dxa"/>
                  <w:tcBorders>
                    <w:bottom w:val="single" w:sz="4" w:space="0" w:color="auto"/>
                  </w:tcBorders>
                </w:tcPr>
                <w:p w14:paraId="09D139E7" w14:textId="77777777" w:rsidR="008C2A90" w:rsidRPr="00F043D1" w:rsidRDefault="008C2A90" w:rsidP="008C2A90">
                  <w:pPr>
                    <w:rPr>
                      <w:rFonts w:ascii="Calibri" w:hAnsi="Calibri"/>
                    </w:rPr>
                  </w:pPr>
                  <w:r w:rsidRPr="00F043D1">
                    <w:rPr>
                      <w:rFonts w:ascii="Calibri" w:hAnsi="Calibri"/>
                    </w:rPr>
                    <w:t>Yeshe Smith</w:t>
                  </w:r>
                </w:p>
              </w:tc>
              <w:tc>
                <w:tcPr>
                  <w:tcW w:w="2801" w:type="dxa"/>
                  <w:tcBorders>
                    <w:bottom w:val="single" w:sz="4" w:space="0" w:color="auto"/>
                  </w:tcBorders>
                  <w:shd w:val="clear" w:color="auto" w:fill="auto"/>
                </w:tcPr>
                <w:p w14:paraId="3AA70C8A" w14:textId="77777777" w:rsidR="008C2A90" w:rsidRPr="00F043D1" w:rsidRDefault="008C2A90" w:rsidP="008C2A90">
                  <w:pPr>
                    <w:jc w:val="left"/>
                    <w:rPr>
                      <w:rFonts w:ascii="Calibri" w:hAnsi="Calibri"/>
                    </w:rPr>
                  </w:pPr>
                  <w:r w:rsidRPr="00F043D1">
                    <w:rPr>
                      <w:rFonts w:ascii="Calibri" w:hAnsi="Calibri"/>
                    </w:rPr>
                    <w:t>Program and Partnerships Manager (and former DFAT official in PLP)</w:t>
                  </w:r>
                </w:p>
                <w:p w14:paraId="3598D7C2" w14:textId="77777777" w:rsidR="008C2A90" w:rsidRPr="00F043D1" w:rsidRDefault="008C2A90" w:rsidP="008C2A90">
                  <w:pPr>
                    <w:jc w:val="left"/>
                    <w:rPr>
                      <w:rFonts w:ascii="Calibri" w:hAnsi="Calibri"/>
                    </w:rPr>
                  </w:pPr>
                </w:p>
              </w:tc>
              <w:tc>
                <w:tcPr>
                  <w:tcW w:w="3584" w:type="dxa"/>
                  <w:tcBorders>
                    <w:bottom w:val="single" w:sz="4" w:space="0" w:color="auto"/>
                  </w:tcBorders>
                  <w:shd w:val="clear" w:color="auto" w:fill="auto"/>
                </w:tcPr>
                <w:p w14:paraId="439A0E36" w14:textId="77777777" w:rsidR="008C2A90" w:rsidRPr="00F043D1" w:rsidRDefault="008C2A90" w:rsidP="008C2A90">
                  <w:pPr>
                    <w:jc w:val="left"/>
                    <w:rPr>
                      <w:rFonts w:ascii="Calibri" w:hAnsi="Calibri"/>
                    </w:rPr>
                  </w:pPr>
                  <w:r w:rsidRPr="00F043D1">
                    <w:rPr>
                      <w:rFonts w:ascii="Calibri" w:hAnsi="Calibri"/>
                    </w:rPr>
                    <w:t>Institute for Human Security and Social Change, La Trobe University</w:t>
                  </w:r>
                </w:p>
              </w:tc>
            </w:tr>
            <w:tr w:rsidR="009C7A2C" w:rsidRPr="008C2A90" w14:paraId="1F224264" w14:textId="77777777" w:rsidTr="00FB0282">
              <w:tc>
                <w:tcPr>
                  <w:tcW w:w="2189" w:type="dxa"/>
                  <w:tcBorders>
                    <w:bottom w:val="single" w:sz="4" w:space="0" w:color="auto"/>
                  </w:tcBorders>
                </w:tcPr>
                <w:p w14:paraId="4CE82669" w14:textId="77777777" w:rsidR="008C2A90" w:rsidRPr="00F043D1" w:rsidRDefault="008C2A90" w:rsidP="008C2A90">
                  <w:pPr>
                    <w:rPr>
                      <w:rFonts w:ascii="Calibri" w:hAnsi="Calibri"/>
                    </w:rPr>
                  </w:pPr>
                  <w:r w:rsidRPr="00F043D1">
                    <w:rPr>
                      <w:rFonts w:ascii="Calibri" w:hAnsi="Calibri"/>
                    </w:rPr>
                    <w:t>Sandra Kraushaar</w:t>
                  </w:r>
                </w:p>
              </w:tc>
              <w:tc>
                <w:tcPr>
                  <w:tcW w:w="2801" w:type="dxa"/>
                  <w:tcBorders>
                    <w:bottom w:val="single" w:sz="4" w:space="0" w:color="auto"/>
                  </w:tcBorders>
                </w:tcPr>
                <w:p w14:paraId="01167AD7" w14:textId="77777777" w:rsidR="008C2A90" w:rsidRPr="00F043D1" w:rsidRDefault="008C2A90" w:rsidP="008C2A90">
                  <w:pPr>
                    <w:jc w:val="left"/>
                    <w:rPr>
                      <w:rFonts w:ascii="Calibri" w:hAnsi="Calibri"/>
                    </w:rPr>
                  </w:pPr>
                  <w:r w:rsidRPr="00F043D1">
                    <w:rPr>
                      <w:rFonts w:ascii="Calibri" w:hAnsi="Calibri"/>
                    </w:rPr>
                    <w:t>Assistant Director (and former DFAT official in PLP)</w:t>
                  </w:r>
                </w:p>
              </w:tc>
              <w:tc>
                <w:tcPr>
                  <w:tcW w:w="3584" w:type="dxa"/>
                  <w:tcBorders>
                    <w:bottom w:val="single" w:sz="4" w:space="0" w:color="auto"/>
                  </w:tcBorders>
                </w:tcPr>
                <w:p w14:paraId="567344C6" w14:textId="77777777" w:rsidR="008C2A90" w:rsidRPr="00F043D1" w:rsidRDefault="008C2A90" w:rsidP="008C2A90">
                  <w:pPr>
                    <w:jc w:val="left"/>
                    <w:rPr>
                      <w:rFonts w:ascii="Calibri" w:hAnsi="Calibri"/>
                    </w:rPr>
                  </w:pPr>
                  <w:r w:rsidRPr="00F043D1">
                    <w:rPr>
                      <w:rFonts w:ascii="Calibri" w:hAnsi="Calibri"/>
                    </w:rPr>
                    <w:t>Governance, Fragility and Water Branch</w:t>
                  </w:r>
                </w:p>
              </w:tc>
            </w:tr>
            <w:tr w:rsidR="009C7A2C" w:rsidRPr="008C2A90" w14:paraId="5680785D" w14:textId="77777777" w:rsidTr="00FB0282">
              <w:tc>
                <w:tcPr>
                  <w:tcW w:w="2189" w:type="dxa"/>
                  <w:tcBorders>
                    <w:bottom w:val="single" w:sz="4" w:space="0" w:color="auto"/>
                  </w:tcBorders>
                </w:tcPr>
                <w:p w14:paraId="0059A8D6" w14:textId="77777777" w:rsidR="008C2A90" w:rsidRPr="00F043D1" w:rsidRDefault="008C2A90" w:rsidP="008C2A90">
                  <w:pPr>
                    <w:rPr>
                      <w:rFonts w:ascii="Calibri" w:hAnsi="Calibri"/>
                    </w:rPr>
                  </w:pPr>
                  <w:r w:rsidRPr="00F043D1">
                    <w:rPr>
                      <w:rFonts w:ascii="Calibri" w:hAnsi="Calibri"/>
                    </w:rPr>
                    <w:t>Sarah Goulding</w:t>
                  </w:r>
                </w:p>
              </w:tc>
              <w:tc>
                <w:tcPr>
                  <w:tcW w:w="2801" w:type="dxa"/>
                  <w:tcBorders>
                    <w:bottom w:val="single" w:sz="4" w:space="0" w:color="auto"/>
                  </w:tcBorders>
                </w:tcPr>
                <w:p w14:paraId="0AAEB731" w14:textId="77777777" w:rsidR="008C2A90" w:rsidRPr="00F043D1" w:rsidRDefault="008C2A90" w:rsidP="008C2A90">
                  <w:pPr>
                    <w:jc w:val="left"/>
                    <w:rPr>
                      <w:rFonts w:ascii="Calibri" w:hAnsi="Calibri"/>
                    </w:rPr>
                  </w:pPr>
                  <w:r w:rsidRPr="00F043D1">
                    <w:rPr>
                      <w:rFonts w:ascii="Calibri" w:hAnsi="Calibri"/>
                    </w:rPr>
                    <w:t>Director</w:t>
                  </w:r>
                </w:p>
              </w:tc>
              <w:tc>
                <w:tcPr>
                  <w:tcW w:w="3584" w:type="dxa"/>
                  <w:tcBorders>
                    <w:bottom w:val="single" w:sz="4" w:space="0" w:color="auto"/>
                  </w:tcBorders>
                </w:tcPr>
                <w:p w14:paraId="6BB69509" w14:textId="77777777" w:rsidR="008C2A90" w:rsidRPr="00F043D1" w:rsidRDefault="008C2A90" w:rsidP="008C2A90">
                  <w:pPr>
                    <w:jc w:val="left"/>
                    <w:rPr>
                      <w:rFonts w:ascii="Calibri" w:hAnsi="Calibri"/>
                    </w:rPr>
                  </w:pPr>
                  <w:r w:rsidRPr="00F043D1">
                    <w:rPr>
                      <w:rFonts w:ascii="Calibri" w:hAnsi="Calibri"/>
                    </w:rPr>
                    <w:t>ODE Evaluation Section</w:t>
                  </w:r>
                </w:p>
              </w:tc>
            </w:tr>
            <w:tr w:rsidR="009C7A2C" w:rsidRPr="008C2A90" w14:paraId="4BC3035B" w14:textId="77777777" w:rsidTr="00FB0282">
              <w:tc>
                <w:tcPr>
                  <w:tcW w:w="2189" w:type="dxa"/>
                  <w:tcBorders>
                    <w:bottom w:val="single" w:sz="4" w:space="0" w:color="auto"/>
                  </w:tcBorders>
                </w:tcPr>
                <w:p w14:paraId="19966D51" w14:textId="77777777" w:rsidR="008C2A90" w:rsidRPr="00F043D1" w:rsidRDefault="008C2A90" w:rsidP="008C2A90">
                  <w:pPr>
                    <w:rPr>
                      <w:rFonts w:ascii="Calibri" w:hAnsi="Calibri"/>
                    </w:rPr>
                  </w:pPr>
                  <w:r w:rsidRPr="00F043D1">
                    <w:rPr>
                      <w:rFonts w:ascii="Calibri" w:hAnsi="Calibri"/>
                    </w:rPr>
                    <w:t>Simon Flores</w:t>
                  </w:r>
                </w:p>
              </w:tc>
              <w:tc>
                <w:tcPr>
                  <w:tcW w:w="2801" w:type="dxa"/>
                  <w:tcBorders>
                    <w:bottom w:val="single" w:sz="4" w:space="0" w:color="auto"/>
                  </w:tcBorders>
                </w:tcPr>
                <w:p w14:paraId="3AEC749F" w14:textId="77777777" w:rsidR="008C2A90" w:rsidRPr="00F043D1" w:rsidRDefault="008C2A90" w:rsidP="008C2A90">
                  <w:pPr>
                    <w:jc w:val="left"/>
                    <w:rPr>
                      <w:rFonts w:ascii="Calibri" w:hAnsi="Calibri"/>
                    </w:rPr>
                  </w:pPr>
                  <w:r w:rsidRPr="00F043D1">
                    <w:rPr>
                      <w:rFonts w:ascii="Calibri" w:hAnsi="Calibri"/>
                    </w:rPr>
                    <w:t>Director</w:t>
                  </w:r>
                </w:p>
              </w:tc>
              <w:tc>
                <w:tcPr>
                  <w:tcW w:w="3584" w:type="dxa"/>
                  <w:tcBorders>
                    <w:bottom w:val="single" w:sz="4" w:space="0" w:color="auto"/>
                  </w:tcBorders>
                </w:tcPr>
                <w:p w14:paraId="1C42DA72" w14:textId="77777777" w:rsidR="008C2A90" w:rsidRPr="00F043D1" w:rsidRDefault="008C2A90" w:rsidP="008C2A90">
                  <w:pPr>
                    <w:jc w:val="left"/>
                    <w:rPr>
                      <w:rFonts w:ascii="Calibri" w:hAnsi="Calibri"/>
                    </w:rPr>
                  </w:pPr>
                  <w:r w:rsidRPr="00F043D1">
                    <w:rPr>
                      <w:rFonts w:ascii="Calibri" w:hAnsi="Calibri"/>
                    </w:rPr>
                    <w:t>Polynesia Desk</w:t>
                  </w:r>
                </w:p>
              </w:tc>
            </w:tr>
            <w:tr w:rsidR="009C7A2C" w:rsidRPr="008C2A90" w14:paraId="08F3EF8A" w14:textId="77777777" w:rsidTr="00FB0282">
              <w:tc>
                <w:tcPr>
                  <w:tcW w:w="2189" w:type="dxa"/>
                  <w:tcBorders>
                    <w:bottom w:val="single" w:sz="4" w:space="0" w:color="auto"/>
                  </w:tcBorders>
                </w:tcPr>
                <w:p w14:paraId="13649FE4" w14:textId="77777777" w:rsidR="008C2A90" w:rsidRPr="00F043D1" w:rsidRDefault="008C2A90" w:rsidP="008C2A90">
                  <w:pPr>
                    <w:rPr>
                      <w:rFonts w:ascii="Calibri" w:hAnsi="Calibri"/>
                    </w:rPr>
                  </w:pPr>
                  <w:r w:rsidRPr="00F043D1">
                    <w:rPr>
                      <w:rFonts w:ascii="Calibri" w:hAnsi="Calibri"/>
                    </w:rPr>
                    <w:t>Takuro Steele</w:t>
                  </w:r>
                </w:p>
              </w:tc>
              <w:tc>
                <w:tcPr>
                  <w:tcW w:w="2801" w:type="dxa"/>
                  <w:tcBorders>
                    <w:bottom w:val="single" w:sz="4" w:space="0" w:color="auto"/>
                  </w:tcBorders>
                </w:tcPr>
                <w:p w14:paraId="16569B8A" w14:textId="77777777" w:rsidR="008C2A90" w:rsidRPr="00F043D1" w:rsidRDefault="008C2A90" w:rsidP="008C2A90">
                  <w:pPr>
                    <w:jc w:val="left"/>
                    <w:rPr>
                      <w:rFonts w:ascii="Calibri" w:hAnsi="Calibri"/>
                    </w:rPr>
                  </w:pPr>
                  <w:r w:rsidRPr="00F043D1">
                    <w:rPr>
                      <w:rFonts w:ascii="Calibri" w:hAnsi="Calibri"/>
                    </w:rPr>
                    <w:t>Program Officer</w:t>
                  </w:r>
                </w:p>
              </w:tc>
              <w:tc>
                <w:tcPr>
                  <w:tcW w:w="3584" w:type="dxa"/>
                  <w:tcBorders>
                    <w:bottom w:val="single" w:sz="4" w:space="0" w:color="auto"/>
                  </w:tcBorders>
                </w:tcPr>
                <w:p w14:paraId="1399A8F8" w14:textId="77777777" w:rsidR="008C2A90" w:rsidRPr="00F043D1" w:rsidRDefault="008C2A90" w:rsidP="008C2A90">
                  <w:pPr>
                    <w:jc w:val="left"/>
                    <w:rPr>
                      <w:rFonts w:ascii="Calibri" w:hAnsi="Calibri"/>
                    </w:rPr>
                  </w:pPr>
                  <w:r w:rsidRPr="00F043D1">
                    <w:rPr>
                      <w:rFonts w:ascii="Calibri" w:hAnsi="Calibri"/>
                    </w:rPr>
                    <w:t>Polynesia Desk</w:t>
                  </w:r>
                </w:p>
              </w:tc>
            </w:tr>
            <w:tr w:rsidR="009C7A2C" w:rsidRPr="008C2A90" w14:paraId="2DA05CF9" w14:textId="77777777" w:rsidTr="00FB0282">
              <w:tc>
                <w:tcPr>
                  <w:tcW w:w="2189" w:type="dxa"/>
                  <w:tcBorders>
                    <w:bottom w:val="single" w:sz="4" w:space="0" w:color="auto"/>
                  </w:tcBorders>
                </w:tcPr>
                <w:p w14:paraId="11393284" w14:textId="77777777" w:rsidR="008C2A90" w:rsidRPr="00F043D1" w:rsidRDefault="008C2A90" w:rsidP="008C2A90">
                  <w:pPr>
                    <w:rPr>
                      <w:rFonts w:ascii="Calibri" w:hAnsi="Calibri"/>
                    </w:rPr>
                  </w:pPr>
                  <w:r w:rsidRPr="00F043D1">
                    <w:rPr>
                      <w:rFonts w:ascii="Calibri" w:hAnsi="Calibri"/>
                    </w:rPr>
                    <w:t>Margaret Twomey</w:t>
                  </w:r>
                </w:p>
              </w:tc>
              <w:tc>
                <w:tcPr>
                  <w:tcW w:w="2801" w:type="dxa"/>
                  <w:tcBorders>
                    <w:bottom w:val="single" w:sz="4" w:space="0" w:color="auto"/>
                  </w:tcBorders>
                </w:tcPr>
                <w:p w14:paraId="5A5399F7" w14:textId="77777777" w:rsidR="008C2A90" w:rsidRPr="00F043D1" w:rsidRDefault="008C2A90" w:rsidP="008C2A90">
                  <w:pPr>
                    <w:jc w:val="left"/>
                    <w:rPr>
                      <w:rFonts w:ascii="Calibri" w:hAnsi="Calibri"/>
                    </w:rPr>
                  </w:pPr>
                  <w:r w:rsidRPr="00F043D1">
                    <w:rPr>
                      <w:rFonts w:ascii="Calibri" w:hAnsi="Calibri"/>
                    </w:rPr>
                    <w:t>HOM</w:t>
                  </w:r>
                </w:p>
              </w:tc>
              <w:tc>
                <w:tcPr>
                  <w:tcW w:w="3584" w:type="dxa"/>
                  <w:tcBorders>
                    <w:bottom w:val="single" w:sz="4" w:space="0" w:color="auto"/>
                  </w:tcBorders>
                </w:tcPr>
                <w:p w14:paraId="5446726B" w14:textId="77777777" w:rsidR="008C2A90" w:rsidRPr="00F043D1" w:rsidRDefault="008C2A90" w:rsidP="008C2A90">
                  <w:pPr>
                    <w:jc w:val="left"/>
                    <w:rPr>
                      <w:rFonts w:ascii="Calibri" w:hAnsi="Calibri"/>
                    </w:rPr>
                  </w:pPr>
                  <w:r w:rsidRPr="00F043D1">
                    <w:rPr>
                      <w:rFonts w:ascii="Calibri" w:hAnsi="Calibri"/>
                    </w:rPr>
                    <w:t>Suva Post</w:t>
                  </w:r>
                </w:p>
              </w:tc>
            </w:tr>
            <w:tr w:rsidR="009C7A2C" w:rsidRPr="008C2A90" w14:paraId="7F2C7818" w14:textId="77777777" w:rsidTr="00FB0282">
              <w:tc>
                <w:tcPr>
                  <w:tcW w:w="2189" w:type="dxa"/>
                  <w:tcBorders>
                    <w:bottom w:val="single" w:sz="4" w:space="0" w:color="auto"/>
                  </w:tcBorders>
                </w:tcPr>
                <w:p w14:paraId="7C1B77B9" w14:textId="77777777" w:rsidR="008C2A90" w:rsidRPr="00F043D1" w:rsidRDefault="008C2A90" w:rsidP="008C2A90">
                  <w:pPr>
                    <w:rPr>
                      <w:rFonts w:ascii="Calibri" w:hAnsi="Calibri"/>
                    </w:rPr>
                  </w:pPr>
                  <w:r w:rsidRPr="00F043D1">
                    <w:rPr>
                      <w:rFonts w:ascii="Calibri" w:hAnsi="Calibri"/>
                    </w:rPr>
                    <w:t>Matthew Lapworth</w:t>
                  </w:r>
                </w:p>
              </w:tc>
              <w:tc>
                <w:tcPr>
                  <w:tcW w:w="2801" w:type="dxa"/>
                  <w:tcBorders>
                    <w:bottom w:val="single" w:sz="4" w:space="0" w:color="auto"/>
                  </w:tcBorders>
                </w:tcPr>
                <w:p w14:paraId="44CCE80C" w14:textId="77777777" w:rsidR="008C2A90" w:rsidRPr="00F043D1" w:rsidRDefault="008C2A90" w:rsidP="008C2A90">
                  <w:pPr>
                    <w:jc w:val="left"/>
                    <w:rPr>
                      <w:rFonts w:ascii="Calibri" w:hAnsi="Calibri"/>
                    </w:rPr>
                  </w:pPr>
                  <w:r w:rsidRPr="00F043D1">
                    <w:rPr>
                      <w:rFonts w:ascii="Calibri" w:hAnsi="Calibri"/>
                    </w:rPr>
                    <w:t>Counsellor</w:t>
                  </w:r>
                </w:p>
              </w:tc>
              <w:tc>
                <w:tcPr>
                  <w:tcW w:w="3584" w:type="dxa"/>
                  <w:tcBorders>
                    <w:bottom w:val="single" w:sz="4" w:space="0" w:color="auto"/>
                  </w:tcBorders>
                </w:tcPr>
                <w:p w14:paraId="03EEE74F" w14:textId="77777777" w:rsidR="008C2A90" w:rsidRPr="00F043D1" w:rsidRDefault="008C2A90" w:rsidP="008C2A90">
                  <w:pPr>
                    <w:jc w:val="left"/>
                    <w:rPr>
                      <w:rFonts w:ascii="Calibri" w:hAnsi="Calibri"/>
                    </w:rPr>
                  </w:pPr>
                  <w:r w:rsidRPr="00F043D1">
                    <w:rPr>
                      <w:rFonts w:ascii="Calibri" w:hAnsi="Calibri"/>
                    </w:rPr>
                    <w:t>Suva Post</w:t>
                  </w:r>
                </w:p>
              </w:tc>
            </w:tr>
            <w:tr w:rsidR="009C7A2C" w:rsidRPr="008C2A90" w14:paraId="3BAC4CB8" w14:textId="77777777" w:rsidTr="00FB0282">
              <w:tc>
                <w:tcPr>
                  <w:tcW w:w="2189" w:type="dxa"/>
                  <w:tcBorders>
                    <w:bottom w:val="single" w:sz="4" w:space="0" w:color="auto"/>
                  </w:tcBorders>
                </w:tcPr>
                <w:p w14:paraId="68082BF9" w14:textId="77777777" w:rsidR="008C2A90" w:rsidRPr="00F043D1" w:rsidRDefault="008C2A90" w:rsidP="008C2A90">
                  <w:pPr>
                    <w:rPr>
                      <w:rFonts w:ascii="Calibri" w:hAnsi="Calibri"/>
                    </w:rPr>
                  </w:pPr>
                  <w:r w:rsidRPr="00F043D1">
                    <w:rPr>
                      <w:rFonts w:ascii="Calibri" w:hAnsi="Calibri"/>
                    </w:rPr>
                    <w:t>Melinia Nawadra</w:t>
                  </w:r>
                </w:p>
              </w:tc>
              <w:tc>
                <w:tcPr>
                  <w:tcW w:w="2801" w:type="dxa"/>
                  <w:tcBorders>
                    <w:bottom w:val="single" w:sz="4" w:space="0" w:color="auto"/>
                  </w:tcBorders>
                </w:tcPr>
                <w:p w14:paraId="1C8BE805" w14:textId="77777777" w:rsidR="008C2A90" w:rsidRPr="00F043D1" w:rsidRDefault="008C2A90" w:rsidP="008C2A90">
                  <w:pPr>
                    <w:jc w:val="left"/>
                    <w:rPr>
                      <w:rFonts w:ascii="Calibri" w:hAnsi="Calibri"/>
                    </w:rPr>
                  </w:pPr>
                  <w:r w:rsidRPr="00F043D1">
                    <w:rPr>
                      <w:rFonts w:ascii="Calibri" w:hAnsi="Calibri"/>
                    </w:rPr>
                    <w:t>Senior Program Manager</w:t>
                  </w:r>
                </w:p>
              </w:tc>
              <w:tc>
                <w:tcPr>
                  <w:tcW w:w="3584" w:type="dxa"/>
                  <w:tcBorders>
                    <w:bottom w:val="single" w:sz="4" w:space="0" w:color="auto"/>
                  </w:tcBorders>
                </w:tcPr>
                <w:p w14:paraId="3E50C542" w14:textId="77777777" w:rsidR="008C2A90" w:rsidRPr="00F043D1" w:rsidRDefault="008C2A90" w:rsidP="008C2A90">
                  <w:pPr>
                    <w:jc w:val="left"/>
                    <w:rPr>
                      <w:rFonts w:ascii="Calibri" w:hAnsi="Calibri"/>
                    </w:rPr>
                  </w:pPr>
                  <w:r w:rsidRPr="00F043D1">
                    <w:rPr>
                      <w:rFonts w:ascii="Calibri" w:hAnsi="Calibri"/>
                    </w:rPr>
                    <w:t>Suva Post</w:t>
                  </w:r>
                </w:p>
              </w:tc>
            </w:tr>
            <w:tr w:rsidR="009C7A2C" w:rsidRPr="008C2A90" w14:paraId="4CBF2FFF" w14:textId="77777777" w:rsidTr="00FB0282">
              <w:tc>
                <w:tcPr>
                  <w:tcW w:w="2189" w:type="dxa"/>
                  <w:tcBorders>
                    <w:bottom w:val="single" w:sz="4" w:space="0" w:color="auto"/>
                  </w:tcBorders>
                </w:tcPr>
                <w:p w14:paraId="5C07FD38" w14:textId="77777777" w:rsidR="008C2A90" w:rsidRPr="00F043D1" w:rsidRDefault="008C2A90" w:rsidP="008C2A90">
                  <w:pPr>
                    <w:rPr>
                      <w:rFonts w:ascii="Calibri" w:hAnsi="Calibri"/>
                    </w:rPr>
                  </w:pPr>
                  <w:r w:rsidRPr="00F043D1">
                    <w:rPr>
                      <w:rFonts w:ascii="Calibri" w:hAnsi="Calibri"/>
                    </w:rPr>
                    <w:t>Emily Elliot</w:t>
                  </w:r>
                </w:p>
              </w:tc>
              <w:tc>
                <w:tcPr>
                  <w:tcW w:w="2801" w:type="dxa"/>
                  <w:tcBorders>
                    <w:bottom w:val="single" w:sz="4" w:space="0" w:color="auto"/>
                  </w:tcBorders>
                </w:tcPr>
                <w:p w14:paraId="398A2709" w14:textId="77777777" w:rsidR="008C2A90" w:rsidRPr="00F043D1" w:rsidRDefault="008C2A90" w:rsidP="008C2A90">
                  <w:pPr>
                    <w:jc w:val="left"/>
                    <w:rPr>
                      <w:rFonts w:ascii="Calibri" w:hAnsi="Calibri"/>
                    </w:rPr>
                  </w:pPr>
                  <w:r w:rsidRPr="00F043D1">
                    <w:rPr>
                      <w:rFonts w:ascii="Calibri" w:hAnsi="Calibri"/>
                    </w:rPr>
                    <w:t>Program Manager</w:t>
                  </w:r>
                </w:p>
              </w:tc>
              <w:tc>
                <w:tcPr>
                  <w:tcW w:w="3584" w:type="dxa"/>
                  <w:tcBorders>
                    <w:bottom w:val="single" w:sz="4" w:space="0" w:color="auto"/>
                  </w:tcBorders>
                </w:tcPr>
                <w:p w14:paraId="04084802" w14:textId="77777777" w:rsidR="008C2A90" w:rsidRPr="00F043D1" w:rsidRDefault="008C2A90" w:rsidP="008C2A90">
                  <w:pPr>
                    <w:jc w:val="left"/>
                    <w:rPr>
                      <w:rFonts w:ascii="Calibri" w:hAnsi="Calibri"/>
                    </w:rPr>
                  </w:pPr>
                  <w:r w:rsidRPr="00F043D1">
                    <w:rPr>
                      <w:rFonts w:ascii="Calibri" w:hAnsi="Calibri"/>
                    </w:rPr>
                    <w:t>Suva Post</w:t>
                  </w:r>
                </w:p>
              </w:tc>
            </w:tr>
            <w:tr w:rsidR="009C7A2C" w:rsidRPr="008C2A90" w14:paraId="63688B86" w14:textId="77777777" w:rsidTr="00FB0282">
              <w:tc>
                <w:tcPr>
                  <w:tcW w:w="2189" w:type="dxa"/>
                  <w:tcBorders>
                    <w:bottom w:val="single" w:sz="4" w:space="0" w:color="auto"/>
                  </w:tcBorders>
                </w:tcPr>
                <w:p w14:paraId="5DA1171C" w14:textId="77777777" w:rsidR="008C2A90" w:rsidRPr="00F043D1" w:rsidRDefault="008C2A90" w:rsidP="008C2A90">
                  <w:pPr>
                    <w:rPr>
                      <w:rFonts w:ascii="Calibri" w:hAnsi="Calibri"/>
                    </w:rPr>
                  </w:pPr>
                  <w:r w:rsidRPr="00F043D1">
                    <w:rPr>
                      <w:rFonts w:ascii="Calibri" w:hAnsi="Calibri"/>
                    </w:rPr>
                    <w:t>Ray Bojczuk</w:t>
                  </w:r>
                </w:p>
              </w:tc>
              <w:tc>
                <w:tcPr>
                  <w:tcW w:w="2801" w:type="dxa"/>
                  <w:tcBorders>
                    <w:bottom w:val="single" w:sz="4" w:space="0" w:color="auto"/>
                  </w:tcBorders>
                </w:tcPr>
                <w:p w14:paraId="08008656" w14:textId="77777777" w:rsidR="008C2A90" w:rsidRPr="00F043D1" w:rsidRDefault="008C2A90" w:rsidP="008C2A90">
                  <w:pPr>
                    <w:jc w:val="left"/>
                    <w:rPr>
                      <w:rFonts w:ascii="Calibri" w:hAnsi="Calibri"/>
                    </w:rPr>
                  </w:pPr>
                  <w:r w:rsidRPr="00F043D1">
                    <w:rPr>
                      <w:rFonts w:ascii="Calibri" w:hAnsi="Calibri"/>
                    </w:rPr>
                    <w:t>First Secretary</w:t>
                  </w:r>
                </w:p>
              </w:tc>
              <w:tc>
                <w:tcPr>
                  <w:tcW w:w="3584" w:type="dxa"/>
                  <w:tcBorders>
                    <w:bottom w:val="single" w:sz="4" w:space="0" w:color="auto"/>
                  </w:tcBorders>
                </w:tcPr>
                <w:p w14:paraId="172E39B5" w14:textId="77777777" w:rsidR="008C2A90" w:rsidRPr="00F043D1" w:rsidRDefault="008C2A90" w:rsidP="008C2A90">
                  <w:pPr>
                    <w:jc w:val="left"/>
                    <w:rPr>
                      <w:rFonts w:ascii="Calibri" w:hAnsi="Calibri"/>
                    </w:rPr>
                  </w:pPr>
                  <w:r w:rsidRPr="00F043D1">
                    <w:rPr>
                      <w:rFonts w:ascii="Calibri" w:hAnsi="Calibri"/>
                    </w:rPr>
                    <w:t>Suva Post</w:t>
                  </w:r>
                </w:p>
              </w:tc>
            </w:tr>
            <w:tr w:rsidR="009C7A2C" w:rsidRPr="008C2A90" w14:paraId="2800481A" w14:textId="77777777" w:rsidTr="00FB0282">
              <w:tc>
                <w:tcPr>
                  <w:tcW w:w="2189" w:type="dxa"/>
                  <w:tcBorders>
                    <w:bottom w:val="single" w:sz="4" w:space="0" w:color="auto"/>
                  </w:tcBorders>
                </w:tcPr>
                <w:p w14:paraId="3CBD8B6A" w14:textId="77777777" w:rsidR="008C2A90" w:rsidRPr="00F043D1" w:rsidRDefault="008C2A90" w:rsidP="008C2A90">
                  <w:pPr>
                    <w:rPr>
                      <w:rFonts w:ascii="Calibri" w:hAnsi="Calibri"/>
                    </w:rPr>
                  </w:pPr>
                  <w:r w:rsidRPr="00F043D1">
                    <w:rPr>
                      <w:rFonts w:ascii="Calibri" w:hAnsi="Calibri"/>
                    </w:rPr>
                    <w:t>Suzanne Bent</w:t>
                  </w:r>
                </w:p>
              </w:tc>
              <w:tc>
                <w:tcPr>
                  <w:tcW w:w="2801" w:type="dxa"/>
                  <w:tcBorders>
                    <w:bottom w:val="single" w:sz="4" w:space="0" w:color="auto"/>
                  </w:tcBorders>
                </w:tcPr>
                <w:p w14:paraId="4E9A4563" w14:textId="77777777" w:rsidR="008C2A90" w:rsidRPr="00F043D1" w:rsidRDefault="008C2A90" w:rsidP="008C2A90">
                  <w:pPr>
                    <w:jc w:val="left"/>
                    <w:rPr>
                      <w:rFonts w:ascii="Calibri" w:hAnsi="Calibri"/>
                    </w:rPr>
                  </w:pPr>
                  <w:r w:rsidRPr="00F043D1">
                    <w:rPr>
                      <w:rFonts w:ascii="Calibri" w:hAnsi="Calibri"/>
                    </w:rPr>
                    <w:t>First Secretary</w:t>
                  </w:r>
                </w:p>
              </w:tc>
              <w:tc>
                <w:tcPr>
                  <w:tcW w:w="3584" w:type="dxa"/>
                  <w:tcBorders>
                    <w:bottom w:val="single" w:sz="4" w:space="0" w:color="auto"/>
                  </w:tcBorders>
                </w:tcPr>
                <w:p w14:paraId="0F64C5AD" w14:textId="77777777" w:rsidR="008C2A90" w:rsidRPr="00F043D1" w:rsidRDefault="008C2A90" w:rsidP="008C2A90">
                  <w:pPr>
                    <w:jc w:val="left"/>
                    <w:rPr>
                      <w:rFonts w:ascii="Calibri" w:hAnsi="Calibri"/>
                    </w:rPr>
                  </w:pPr>
                  <w:r w:rsidRPr="00F043D1">
                    <w:rPr>
                      <w:rFonts w:ascii="Calibri" w:hAnsi="Calibri"/>
                    </w:rPr>
                    <w:t>Suva Post</w:t>
                  </w:r>
                </w:p>
              </w:tc>
            </w:tr>
            <w:tr w:rsidR="009C7A2C" w:rsidRPr="008C2A90" w14:paraId="5734B8A2" w14:textId="77777777" w:rsidTr="00FB0282">
              <w:tc>
                <w:tcPr>
                  <w:tcW w:w="2189" w:type="dxa"/>
                  <w:tcBorders>
                    <w:bottom w:val="single" w:sz="4" w:space="0" w:color="auto"/>
                  </w:tcBorders>
                </w:tcPr>
                <w:p w14:paraId="2DDAE783" w14:textId="77777777" w:rsidR="008C2A90" w:rsidRPr="00F043D1" w:rsidRDefault="008C2A90" w:rsidP="008C2A90">
                  <w:pPr>
                    <w:rPr>
                      <w:rFonts w:ascii="Calibri" w:hAnsi="Calibri"/>
                    </w:rPr>
                  </w:pPr>
                  <w:r w:rsidRPr="00F043D1">
                    <w:rPr>
                      <w:rFonts w:ascii="Calibri" w:hAnsi="Calibri"/>
                    </w:rPr>
                    <w:t>Marina Illingworth</w:t>
                  </w:r>
                </w:p>
              </w:tc>
              <w:tc>
                <w:tcPr>
                  <w:tcW w:w="2801" w:type="dxa"/>
                  <w:tcBorders>
                    <w:bottom w:val="single" w:sz="4" w:space="0" w:color="auto"/>
                  </w:tcBorders>
                </w:tcPr>
                <w:p w14:paraId="41F04CCE" w14:textId="77777777" w:rsidR="008C2A90" w:rsidRPr="00F043D1" w:rsidRDefault="008C2A90" w:rsidP="008C2A90">
                  <w:pPr>
                    <w:jc w:val="left"/>
                    <w:rPr>
                      <w:rFonts w:ascii="Calibri" w:hAnsi="Calibri"/>
                    </w:rPr>
                  </w:pPr>
                  <w:r w:rsidRPr="00F043D1">
                    <w:rPr>
                      <w:rFonts w:ascii="Calibri" w:hAnsi="Calibri"/>
                    </w:rPr>
                    <w:t>Senior Program Manager</w:t>
                  </w:r>
                </w:p>
              </w:tc>
              <w:tc>
                <w:tcPr>
                  <w:tcW w:w="3584" w:type="dxa"/>
                  <w:tcBorders>
                    <w:bottom w:val="single" w:sz="4" w:space="0" w:color="auto"/>
                  </w:tcBorders>
                </w:tcPr>
                <w:p w14:paraId="3ABF47DD" w14:textId="77777777" w:rsidR="008C2A90" w:rsidRPr="00F043D1" w:rsidRDefault="008C2A90" w:rsidP="008C2A90">
                  <w:pPr>
                    <w:jc w:val="left"/>
                    <w:rPr>
                      <w:rFonts w:ascii="Calibri" w:hAnsi="Calibri"/>
                    </w:rPr>
                  </w:pPr>
                  <w:r w:rsidRPr="00F043D1">
                    <w:rPr>
                      <w:rFonts w:ascii="Calibri" w:hAnsi="Calibri"/>
                    </w:rPr>
                    <w:t>Suva Post</w:t>
                  </w:r>
                </w:p>
              </w:tc>
            </w:tr>
            <w:tr w:rsidR="009C7A2C" w:rsidRPr="008C2A90" w14:paraId="60F3B429" w14:textId="77777777" w:rsidTr="00FB0282">
              <w:tc>
                <w:tcPr>
                  <w:tcW w:w="2189" w:type="dxa"/>
                  <w:tcBorders>
                    <w:bottom w:val="single" w:sz="4" w:space="0" w:color="auto"/>
                  </w:tcBorders>
                </w:tcPr>
                <w:p w14:paraId="1C9C0668" w14:textId="77777777" w:rsidR="008C2A90" w:rsidRPr="00F043D1" w:rsidRDefault="008C2A90" w:rsidP="008C2A90">
                  <w:pPr>
                    <w:rPr>
                      <w:rFonts w:ascii="Calibri" w:hAnsi="Calibri"/>
                    </w:rPr>
                  </w:pPr>
                  <w:r w:rsidRPr="00F043D1">
                    <w:rPr>
                      <w:rFonts w:ascii="Calibri" w:hAnsi="Calibri"/>
                    </w:rPr>
                    <w:t>Peter Raab</w:t>
                  </w:r>
                </w:p>
              </w:tc>
              <w:tc>
                <w:tcPr>
                  <w:tcW w:w="2801" w:type="dxa"/>
                  <w:tcBorders>
                    <w:bottom w:val="single" w:sz="4" w:space="0" w:color="auto"/>
                  </w:tcBorders>
                </w:tcPr>
                <w:p w14:paraId="28AE784F" w14:textId="77777777" w:rsidR="008C2A90" w:rsidRPr="00F043D1" w:rsidRDefault="008C2A90" w:rsidP="008C2A90">
                  <w:pPr>
                    <w:jc w:val="left"/>
                    <w:rPr>
                      <w:rFonts w:ascii="Calibri" w:hAnsi="Calibri"/>
                    </w:rPr>
                  </w:pPr>
                  <w:r w:rsidRPr="00F043D1">
                    <w:rPr>
                      <w:rFonts w:ascii="Calibri" w:hAnsi="Calibri"/>
                    </w:rPr>
                    <w:t>First Secretary</w:t>
                  </w:r>
                </w:p>
              </w:tc>
              <w:tc>
                <w:tcPr>
                  <w:tcW w:w="3584" w:type="dxa"/>
                  <w:tcBorders>
                    <w:bottom w:val="single" w:sz="4" w:space="0" w:color="auto"/>
                  </w:tcBorders>
                </w:tcPr>
                <w:p w14:paraId="484A2ED6" w14:textId="77777777" w:rsidR="008C2A90" w:rsidRPr="00F043D1" w:rsidRDefault="008C2A90" w:rsidP="008C2A90">
                  <w:pPr>
                    <w:jc w:val="left"/>
                    <w:rPr>
                      <w:rFonts w:ascii="Calibri" w:hAnsi="Calibri"/>
                    </w:rPr>
                  </w:pPr>
                  <w:r w:rsidRPr="00F043D1">
                    <w:rPr>
                      <w:rFonts w:ascii="Calibri" w:hAnsi="Calibri"/>
                    </w:rPr>
                    <w:t>Suva Post</w:t>
                  </w:r>
                </w:p>
              </w:tc>
            </w:tr>
            <w:tr w:rsidR="009C7A2C" w:rsidRPr="008C2A90" w14:paraId="2E2EDE3E" w14:textId="77777777" w:rsidTr="00FB0282">
              <w:tc>
                <w:tcPr>
                  <w:tcW w:w="2189" w:type="dxa"/>
                  <w:tcBorders>
                    <w:bottom w:val="single" w:sz="4" w:space="0" w:color="auto"/>
                  </w:tcBorders>
                </w:tcPr>
                <w:p w14:paraId="005382BB" w14:textId="77777777" w:rsidR="008C2A90" w:rsidRPr="00F043D1" w:rsidRDefault="008C2A90" w:rsidP="008C2A90">
                  <w:pPr>
                    <w:rPr>
                      <w:rFonts w:ascii="Calibri" w:hAnsi="Calibri"/>
                    </w:rPr>
                  </w:pPr>
                  <w:r w:rsidRPr="00F043D1">
                    <w:rPr>
                      <w:rFonts w:ascii="Calibri" w:hAnsi="Calibri"/>
                    </w:rPr>
                    <w:t>Leaine Robinson</w:t>
                  </w:r>
                </w:p>
              </w:tc>
              <w:tc>
                <w:tcPr>
                  <w:tcW w:w="2801" w:type="dxa"/>
                  <w:tcBorders>
                    <w:bottom w:val="single" w:sz="4" w:space="0" w:color="auto"/>
                  </w:tcBorders>
                </w:tcPr>
                <w:p w14:paraId="1ECB00C0" w14:textId="77777777" w:rsidR="008C2A90" w:rsidRPr="00F043D1" w:rsidRDefault="008C2A90" w:rsidP="008C2A90">
                  <w:pPr>
                    <w:jc w:val="left"/>
                    <w:rPr>
                      <w:rFonts w:ascii="Calibri" w:hAnsi="Calibri"/>
                    </w:rPr>
                  </w:pPr>
                  <w:r w:rsidRPr="00F043D1">
                    <w:rPr>
                      <w:rFonts w:ascii="Calibri" w:hAnsi="Calibri"/>
                    </w:rPr>
                    <w:t>Senior Program Manager</w:t>
                  </w:r>
                </w:p>
              </w:tc>
              <w:tc>
                <w:tcPr>
                  <w:tcW w:w="3584" w:type="dxa"/>
                  <w:tcBorders>
                    <w:bottom w:val="single" w:sz="4" w:space="0" w:color="auto"/>
                  </w:tcBorders>
                </w:tcPr>
                <w:p w14:paraId="6CE87DCC" w14:textId="77777777" w:rsidR="008C2A90" w:rsidRPr="00F043D1" w:rsidRDefault="008C2A90" w:rsidP="008C2A90">
                  <w:pPr>
                    <w:jc w:val="left"/>
                    <w:rPr>
                      <w:rFonts w:ascii="Calibri" w:hAnsi="Calibri"/>
                    </w:rPr>
                  </w:pPr>
                  <w:r w:rsidRPr="00F043D1">
                    <w:rPr>
                      <w:rFonts w:ascii="Calibri" w:hAnsi="Calibri"/>
                    </w:rPr>
                    <w:t>Suva Post</w:t>
                  </w:r>
                </w:p>
              </w:tc>
            </w:tr>
            <w:tr w:rsidR="009C7A2C" w:rsidRPr="008C2A90" w14:paraId="4552900B" w14:textId="77777777" w:rsidTr="00FB0282">
              <w:tc>
                <w:tcPr>
                  <w:tcW w:w="2189" w:type="dxa"/>
                  <w:tcBorders>
                    <w:bottom w:val="single" w:sz="4" w:space="0" w:color="auto"/>
                  </w:tcBorders>
                </w:tcPr>
                <w:p w14:paraId="5710AFFD" w14:textId="77777777" w:rsidR="008C2A90" w:rsidRPr="00F043D1" w:rsidRDefault="008C2A90" w:rsidP="008C2A90">
                  <w:pPr>
                    <w:rPr>
                      <w:rFonts w:ascii="Calibri" w:hAnsi="Calibri"/>
                    </w:rPr>
                  </w:pPr>
                  <w:r w:rsidRPr="00F043D1">
                    <w:rPr>
                      <w:rFonts w:ascii="Calibri" w:hAnsi="Calibri"/>
                    </w:rPr>
                    <w:t>Leone Tupua</w:t>
                  </w:r>
                </w:p>
              </w:tc>
              <w:tc>
                <w:tcPr>
                  <w:tcW w:w="2801" w:type="dxa"/>
                  <w:tcBorders>
                    <w:bottom w:val="single" w:sz="4" w:space="0" w:color="auto"/>
                  </w:tcBorders>
                </w:tcPr>
                <w:p w14:paraId="363C50FB" w14:textId="77777777" w:rsidR="008C2A90" w:rsidRPr="00F043D1" w:rsidRDefault="008C2A90" w:rsidP="008C2A90">
                  <w:pPr>
                    <w:jc w:val="left"/>
                    <w:rPr>
                      <w:rFonts w:ascii="Calibri" w:hAnsi="Calibri"/>
                    </w:rPr>
                  </w:pPr>
                  <w:r w:rsidRPr="00F043D1">
                    <w:rPr>
                      <w:rFonts w:ascii="Calibri" w:hAnsi="Calibri"/>
                    </w:rPr>
                    <w:t>Program Manager</w:t>
                  </w:r>
                </w:p>
              </w:tc>
              <w:tc>
                <w:tcPr>
                  <w:tcW w:w="3584" w:type="dxa"/>
                  <w:tcBorders>
                    <w:bottom w:val="single" w:sz="4" w:space="0" w:color="auto"/>
                  </w:tcBorders>
                </w:tcPr>
                <w:p w14:paraId="42FB7F61" w14:textId="77777777" w:rsidR="008C2A90" w:rsidRPr="00F043D1" w:rsidRDefault="008C2A90" w:rsidP="008C2A90">
                  <w:pPr>
                    <w:jc w:val="left"/>
                    <w:rPr>
                      <w:rFonts w:ascii="Calibri" w:hAnsi="Calibri"/>
                    </w:rPr>
                  </w:pPr>
                  <w:r w:rsidRPr="00F043D1">
                    <w:rPr>
                      <w:rFonts w:ascii="Calibri" w:hAnsi="Calibri"/>
                    </w:rPr>
                    <w:t>Suva Post</w:t>
                  </w:r>
                </w:p>
              </w:tc>
            </w:tr>
            <w:tr w:rsidR="009C7A2C" w:rsidRPr="008C2A90" w14:paraId="0AB5B51B" w14:textId="77777777" w:rsidTr="00FB0282">
              <w:tc>
                <w:tcPr>
                  <w:tcW w:w="2189" w:type="dxa"/>
                  <w:tcBorders>
                    <w:bottom w:val="single" w:sz="4" w:space="0" w:color="auto"/>
                  </w:tcBorders>
                </w:tcPr>
                <w:p w14:paraId="0B6CCDBE" w14:textId="77777777" w:rsidR="008C2A90" w:rsidRPr="00F043D1" w:rsidRDefault="008C2A90" w:rsidP="008C2A90">
                  <w:pPr>
                    <w:rPr>
                      <w:rFonts w:ascii="Calibri" w:hAnsi="Calibri"/>
                    </w:rPr>
                  </w:pPr>
                  <w:r w:rsidRPr="00F043D1">
                    <w:rPr>
                      <w:rFonts w:ascii="Calibri" w:hAnsi="Calibri"/>
                    </w:rPr>
                    <w:t>Isaac Grace</w:t>
                  </w:r>
                </w:p>
              </w:tc>
              <w:tc>
                <w:tcPr>
                  <w:tcW w:w="2801" w:type="dxa"/>
                  <w:tcBorders>
                    <w:bottom w:val="single" w:sz="4" w:space="0" w:color="auto"/>
                  </w:tcBorders>
                </w:tcPr>
                <w:p w14:paraId="681D9A08" w14:textId="77777777" w:rsidR="008C2A90" w:rsidRPr="00F043D1" w:rsidRDefault="008C2A90" w:rsidP="008C2A90">
                  <w:pPr>
                    <w:jc w:val="left"/>
                    <w:rPr>
                      <w:rFonts w:ascii="Calibri" w:hAnsi="Calibri"/>
                    </w:rPr>
                  </w:pPr>
                  <w:r w:rsidRPr="00F043D1">
                    <w:rPr>
                      <w:rFonts w:ascii="Calibri" w:hAnsi="Calibri"/>
                    </w:rPr>
                    <w:t>Program Manager</w:t>
                  </w:r>
                </w:p>
              </w:tc>
              <w:tc>
                <w:tcPr>
                  <w:tcW w:w="3584" w:type="dxa"/>
                  <w:tcBorders>
                    <w:bottom w:val="single" w:sz="4" w:space="0" w:color="auto"/>
                  </w:tcBorders>
                </w:tcPr>
                <w:p w14:paraId="52AB24F5" w14:textId="77777777" w:rsidR="008C2A90" w:rsidRPr="00F043D1" w:rsidRDefault="008C2A90" w:rsidP="008C2A90">
                  <w:pPr>
                    <w:jc w:val="left"/>
                    <w:rPr>
                      <w:rFonts w:ascii="Calibri" w:hAnsi="Calibri"/>
                    </w:rPr>
                  </w:pPr>
                  <w:r w:rsidRPr="00F043D1">
                    <w:rPr>
                      <w:rFonts w:ascii="Calibri" w:hAnsi="Calibri"/>
                    </w:rPr>
                    <w:t>Suva Post</w:t>
                  </w:r>
                </w:p>
              </w:tc>
            </w:tr>
            <w:tr w:rsidR="009C7A2C" w:rsidRPr="008C2A90" w14:paraId="594F19DB" w14:textId="77777777" w:rsidTr="00FB0282">
              <w:tc>
                <w:tcPr>
                  <w:tcW w:w="2189" w:type="dxa"/>
                  <w:tcBorders>
                    <w:bottom w:val="single" w:sz="4" w:space="0" w:color="auto"/>
                  </w:tcBorders>
                </w:tcPr>
                <w:p w14:paraId="77F18813" w14:textId="77777777" w:rsidR="008C2A90" w:rsidRPr="00F043D1" w:rsidRDefault="008C2A90" w:rsidP="008C2A90">
                  <w:pPr>
                    <w:rPr>
                      <w:rFonts w:ascii="Calibri" w:hAnsi="Calibri"/>
                    </w:rPr>
                  </w:pPr>
                  <w:r w:rsidRPr="00F043D1">
                    <w:rPr>
                      <w:rFonts w:ascii="Calibri" w:hAnsi="Calibri"/>
                    </w:rPr>
                    <w:t>Ma'ake Komailevuka</w:t>
                  </w:r>
                </w:p>
              </w:tc>
              <w:tc>
                <w:tcPr>
                  <w:tcW w:w="2801" w:type="dxa"/>
                  <w:tcBorders>
                    <w:bottom w:val="single" w:sz="4" w:space="0" w:color="auto"/>
                  </w:tcBorders>
                </w:tcPr>
                <w:p w14:paraId="07FE34BF" w14:textId="77777777" w:rsidR="008C2A90" w:rsidRPr="00F043D1" w:rsidRDefault="008C2A90" w:rsidP="008C2A90">
                  <w:pPr>
                    <w:jc w:val="left"/>
                    <w:rPr>
                      <w:rFonts w:ascii="Calibri" w:hAnsi="Calibri"/>
                    </w:rPr>
                  </w:pPr>
                  <w:r w:rsidRPr="00F043D1">
                    <w:rPr>
                      <w:rFonts w:ascii="Calibri" w:hAnsi="Calibri"/>
                    </w:rPr>
                    <w:t>Program Manager</w:t>
                  </w:r>
                </w:p>
              </w:tc>
              <w:tc>
                <w:tcPr>
                  <w:tcW w:w="3584" w:type="dxa"/>
                  <w:tcBorders>
                    <w:bottom w:val="single" w:sz="4" w:space="0" w:color="auto"/>
                  </w:tcBorders>
                </w:tcPr>
                <w:p w14:paraId="3E3A2FF8" w14:textId="77777777" w:rsidR="008C2A90" w:rsidRPr="00F043D1" w:rsidRDefault="008C2A90" w:rsidP="008C2A90">
                  <w:pPr>
                    <w:jc w:val="left"/>
                    <w:rPr>
                      <w:rFonts w:ascii="Calibri" w:hAnsi="Calibri"/>
                    </w:rPr>
                  </w:pPr>
                  <w:r w:rsidRPr="00F043D1">
                    <w:rPr>
                      <w:rFonts w:ascii="Calibri" w:hAnsi="Calibri"/>
                    </w:rPr>
                    <w:t>Suva Post</w:t>
                  </w:r>
                </w:p>
              </w:tc>
            </w:tr>
            <w:tr w:rsidR="009C7A2C" w:rsidRPr="008C2A90" w14:paraId="1C01004A" w14:textId="77777777" w:rsidTr="00FB0282">
              <w:tc>
                <w:tcPr>
                  <w:tcW w:w="2189" w:type="dxa"/>
                  <w:tcBorders>
                    <w:bottom w:val="single" w:sz="4" w:space="0" w:color="auto"/>
                  </w:tcBorders>
                </w:tcPr>
                <w:p w14:paraId="4A9FBB74" w14:textId="77777777" w:rsidR="008C2A90" w:rsidRPr="00F043D1" w:rsidRDefault="008C2A90" w:rsidP="008C2A90">
                  <w:pPr>
                    <w:rPr>
                      <w:rFonts w:ascii="Calibri" w:hAnsi="Calibri"/>
                    </w:rPr>
                  </w:pPr>
                  <w:r w:rsidRPr="00F043D1">
                    <w:rPr>
                      <w:rFonts w:ascii="Calibri" w:hAnsi="Calibri"/>
                    </w:rPr>
                    <w:t>Mere Nailatikau</w:t>
                  </w:r>
                </w:p>
              </w:tc>
              <w:tc>
                <w:tcPr>
                  <w:tcW w:w="2801" w:type="dxa"/>
                  <w:tcBorders>
                    <w:bottom w:val="single" w:sz="4" w:space="0" w:color="auto"/>
                  </w:tcBorders>
                </w:tcPr>
                <w:p w14:paraId="6CE72342" w14:textId="77777777" w:rsidR="008C2A90" w:rsidRPr="00F043D1" w:rsidRDefault="008C2A90" w:rsidP="008C2A90">
                  <w:pPr>
                    <w:jc w:val="left"/>
                    <w:rPr>
                      <w:rFonts w:ascii="Calibri" w:hAnsi="Calibri"/>
                    </w:rPr>
                  </w:pPr>
                  <w:r w:rsidRPr="00F043D1">
                    <w:rPr>
                      <w:rFonts w:ascii="Calibri" w:hAnsi="Calibri"/>
                    </w:rPr>
                    <w:t>Program Manager</w:t>
                  </w:r>
                </w:p>
              </w:tc>
              <w:tc>
                <w:tcPr>
                  <w:tcW w:w="3584" w:type="dxa"/>
                  <w:tcBorders>
                    <w:bottom w:val="single" w:sz="4" w:space="0" w:color="auto"/>
                  </w:tcBorders>
                </w:tcPr>
                <w:p w14:paraId="7A409E2C" w14:textId="77777777" w:rsidR="008C2A90" w:rsidRPr="00F043D1" w:rsidRDefault="008C2A90" w:rsidP="008C2A90">
                  <w:pPr>
                    <w:jc w:val="left"/>
                    <w:rPr>
                      <w:rFonts w:ascii="Calibri" w:hAnsi="Calibri"/>
                    </w:rPr>
                  </w:pPr>
                  <w:r w:rsidRPr="00F043D1">
                    <w:rPr>
                      <w:rFonts w:ascii="Calibri" w:hAnsi="Calibri"/>
                    </w:rPr>
                    <w:t>Suva Post</w:t>
                  </w:r>
                </w:p>
              </w:tc>
            </w:tr>
            <w:tr w:rsidR="009C7A2C" w:rsidRPr="008C2A90" w14:paraId="7E52C228" w14:textId="77777777" w:rsidTr="00FB0282">
              <w:tc>
                <w:tcPr>
                  <w:tcW w:w="2189" w:type="dxa"/>
                  <w:tcBorders>
                    <w:bottom w:val="single" w:sz="4" w:space="0" w:color="auto"/>
                  </w:tcBorders>
                </w:tcPr>
                <w:p w14:paraId="6D74C590" w14:textId="77777777" w:rsidR="008C2A90" w:rsidRPr="00F043D1" w:rsidRDefault="008C2A90" w:rsidP="008C2A90">
                  <w:pPr>
                    <w:rPr>
                      <w:rFonts w:ascii="Calibri" w:hAnsi="Calibri"/>
                    </w:rPr>
                  </w:pPr>
                  <w:r w:rsidRPr="00F043D1">
                    <w:rPr>
                      <w:rFonts w:ascii="Calibri" w:hAnsi="Calibri"/>
                    </w:rPr>
                    <w:t>Susan Ryle</w:t>
                  </w:r>
                </w:p>
              </w:tc>
              <w:tc>
                <w:tcPr>
                  <w:tcW w:w="2801" w:type="dxa"/>
                  <w:tcBorders>
                    <w:bottom w:val="single" w:sz="4" w:space="0" w:color="auto"/>
                  </w:tcBorders>
                  <w:shd w:val="clear" w:color="auto" w:fill="auto"/>
                </w:tcPr>
                <w:p w14:paraId="33CC055F" w14:textId="77777777" w:rsidR="008C2A90" w:rsidRPr="00F043D1" w:rsidRDefault="008C2A90" w:rsidP="008C2A90">
                  <w:pPr>
                    <w:jc w:val="left"/>
                    <w:rPr>
                      <w:rFonts w:ascii="Calibri" w:hAnsi="Calibri"/>
                    </w:rPr>
                  </w:pPr>
                  <w:r w:rsidRPr="00F043D1">
                    <w:rPr>
                      <w:rFonts w:ascii="Calibri" w:hAnsi="Calibri"/>
                    </w:rPr>
                    <w:t>DHOM</w:t>
                  </w:r>
                </w:p>
              </w:tc>
              <w:tc>
                <w:tcPr>
                  <w:tcW w:w="3584" w:type="dxa"/>
                  <w:tcBorders>
                    <w:bottom w:val="single" w:sz="4" w:space="0" w:color="auto"/>
                  </w:tcBorders>
                </w:tcPr>
                <w:p w14:paraId="34F6E242" w14:textId="77777777" w:rsidR="008C2A90" w:rsidRPr="00F043D1" w:rsidRDefault="008C2A90" w:rsidP="008C2A90">
                  <w:pPr>
                    <w:jc w:val="left"/>
                    <w:rPr>
                      <w:rFonts w:ascii="Calibri" w:hAnsi="Calibri"/>
                    </w:rPr>
                  </w:pPr>
                  <w:r w:rsidRPr="00F043D1">
                    <w:rPr>
                      <w:rFonts w:ascii="Calibri" w:hAnsi="Calibri"/>
                    </w:rPr>
                    <w:t>Port Vila Post</w:t>
                  </w:r>
                </w:p>
              </w:tc>
            </w:tr>
            <w:tr w:rsidR="009C7A2C" w:rsidRPr="008C2A90" w14:paraId="041EDF95" w14:textId="77777777" w:rsidTr="00FB0282">
              <w:tc>
                <w:tcPr>
                  <w:tcW w:w="2189" w:type="dxa"/>
                  <w:tcBorders>
                    <w:bottom w:val="single" w:sz="4" w:space="0" w:color="auto"/>
                  </w:tcBorders>
                </w:tcPr>
                <w:p w14:paraId="47EF83F9" w14:textId="77777777" w:rsidR="008C2A90" w:rsidRPr="00F043D1" w:rsidRDefault="008C2A90" w:rsidP="008C2A90">
                  <w:pPr>
                    <w:rPr>
                      <w:rFonts w:ascii="Calibri" w:hAnsi="Calibri"/>
                    </w:rPr>
                  </w:pPr>
                  <w:r w:rsidRPr="00F043D1">
                    <w:rPr>
                      <w:rFonts w:ascii="Calibri" w:hAnsi="Calibri"/>
                    </w:rPr>
                    <w:t>Helen Corrigan</w:t>
                  </w:r>
                </w:p>
              </w:tc>
              <w:tc>
                <w:tcPr>
                  <w:tcW w:w="2801" w:type="dxa"/>
                  <w:tcBorders>
                    <w:bottom w:val="single" w:sz="4" w:space="0" w:color="auto"/>
                  </w:tcBorders>
                  <w:shd w:val="clear" w:color="auto" w:fill="auto"/>
                </w:tcPr>
                <w:p w14:paraId="4AA6C2A5" w14:textId="77777777" w:rsidR="008C2A90" w:rsidRPr="00F043D1" w:rsidRDefault="008C2A90" w:rsidP="008C2A90">
                  <w:pPr>
                    <w:jc w:val="left"/>
                    <w:rPr>
                      <w:rFonts w:ascii="Calibri" w:hAnsi="Calibri"/>
                    </w:rPr>
                  </w:pPr>
                  <w:r w:rsidRPr="00F043D1">
                    <w:rPr>
                      <w:rFonts w:ascii="Calibri" w:hAnsi="Calibri"/>
                    </w:rPr>
                    <w:t>Senior Program Manager</w:t>
                  </w:r>
                </w:p>
              </w:tc>
              <w:tc>
                <w:tcPr>
                  <w:tcW w:w="3584" w:type="dxa"/>
                  <w:tcBorders>
                    <w:bottom w:val="single" w:sz="4" w:space="0" w:color="auto"/>
                  </w:tcBorders>
                </w:tcPr>
                <w:p w14:paraId="7A860FF3" w14:textId="77777777" w:rsidR="008C2A90" w:rsidRPr="00F043D1" w:rsidRDefault="008C2A90" w:rsidP="008C2A90">
                  <w:pPr>
                    <w:jc w:val="left"/>
                    <w:rPr>
                      <w:rFonts w:ascii="Calibri" w:hAnsi="Calibri"/>
                    </w:rPr>
                  </w:pPr>
                  <w:r w:rsidRPr="00F043D1">
                    <w:rPr>
                      <w:rFonts w:ascii="Calibri" w:hAnsi="Calibri"/>
                    </w:rPr>
                    <w:t>Port Vila Post</w:t>
                  </w:r>
                </w:p>
              </w:tc>
            </w:tr>
            <w:tr w:rsidR="009C7A2C" w:rsidRPr="008C2A90" w14:paraId="1A677BA7" w14:textId="77777777" w:rsidTr="00FB0282">
              <w:tc>
                <w:tcPr>
                  <w:tcW w:w="2189" w:type="dxa"/>
                  <w:tcBorders>
                    <w:bottom w:val="single" w:sz="4" w:space="0" w:color="auto"/>
                  </w:tcBorders>
                </w:tcPr>
                <w:p w14:paraId="2F7405D0" w14:textId="77777777" w:rsidR="008C2A90" w:rsidRPr="00F043D1" w:rsidRDefault="008C2A90" w:rsidP="008C2A90">
                  <w:pPr>
                    <w:rPr>
                      <w:rFonts w:ascii="Calibri" w:hAnsi="Calibri"/>
                    </w:rPr>
                  </w:pPr>
                  <w:r w:rsidRPr="00F043D1">
                    <w:rPr>
                      <w:rFonts w:ascii="Calibri" w:hAnsi="Calibri"/>
                    </w:rPr>
                    <w:t>Patricia Fred</w:t>
                  </w:r>
                </w:p>
              </w:tc>
              <w:tc>
                <w:tcPr>
                  <w:tcW w:w="2801" w:type="dxa"/>
                  <w:tcBorders>
                    <w:bottom w:val="single" w:sz="4" w:space="0" w:color="auto"/>
                  </w:tcBorders>
                  <w:shd w:val="clear" w:color="auto" w:fill="auto"/>
                </w:tcPr>
                <w:p w14:paraId="110FB643" w14:textId="77777777" w:rsidR="008C2A90" w:rsidRPr="00F043D1" w:rsidRDefault="008C2A90" w:rsidP="008C2A90">
                  <w:pPr>
                    <w:jc w:val="left"/>
                    <w:rPr>
                      <w:rFonts w:ascii="Calibri" w:hAnsi="Calibri"/>
                    </w:rPr>
                  </w:pPr>
                  <w:r w:rsidRPr="00F043D1">
                    <w:rPr>
                      <w:rFonts w:ascii="Calibri" w:hAnsi="Calibri"/>
                    </w:rPr>
                    <w:t>Program Manager</w:t>
                  </w:r>
                </w:p>
              </w:tc>
              <w:tc>
                <w:tcPr>
                  <w:tcW w:w="3584" w:type="dxa"/>
                  <w:tcBorders>
                    <w:bottom w:val="single" w:sz="4" w:space="0" w:color="auto"/>
                  </w:tcBorders>
                </w:tcPr>
                <w:p w14:paraId="22CFD693" w14:textId="77777777" w:rsidR="008C2A90" w:rsidRPr="00F043D1" w:rsidRDefault="008C2A90" w:rsidP="008C2A90">
                  <w:pPr>
                    <w:jc w:val="left"/>
                    <w:rPr>
                      <w:rFonts w:ascii="Calibri" w:hAnsi="Calibri"/>
                    </w:rPr>
                  </w:pPr>
                  <w:r w:rsidRPr="00F043D1">
                    <w:rPr>
                      <w:rFonts w:ascii="Calibri" w:hAnsi="Calibri"/>
                    </w:rPr>
                    <w:t>Port Vila Post</w:t>
                  </w:r>
                </w:p>
              </w:tc>
            </w:tr>
            <w:tr w:rsidR="009C7A2C" w:rsidRPr="008C2A90" w14:paraId="6A4FA61D" w14:textId="77777777" w:rsidTr="00FB0282">
              <w:tc>
                <w:tcPr>
                  <w:tcW w:w="2189" w:type="dxa"/>
                  <w:tcBorders>
                    <w:bottom w:val="single" w:sz="4" w:space="0" w:color="auto"/>
                  </w:tcBorders>
                </w:tcPr>
                <w:p w14:paraId="0EFF7CA1" w14:textId="77777777" w:rsidR="008C2A90" w:rsidRPr="00F043D1" w:rsidRDefault="008C2A90" w:rsidP="008C2A90">
                  <w:pPr>
                    <w:rPr>
                      <w:rFonts w:ascii="Calibri" w:hAnsi="Calibri"/>
                    </w:rPr>
                  </w:pPr>
                  <w:r w:rsidRPr="00F043D1">
                    <w:rPr>
                      <w:rFonts w:ascii="Calibri" w:hAnsi="Calibri"/>
                    </w:rPr>
                    <w:t>Michael Hassett</w:t>
                  </w:r>
                </w:p>
              </w:tc>
              <w:tc>
                <w:tcPr>
                  <w:tcW w:w="2801" w:type="dxa"/>
                  <w:tcBorders>
                    <w:bottom w:val="single" w:sz="4" w:space="0" w:color="auto"/>
                  </w:tcBorders>
                </w:tcPr>
                <w:p w14:paraId="7A5CE07C" w14:textId="77777777" w:rsidR="008C2A90" w:rsidRPr="00F043D1" w:rsidRDefault="008C2A90" w:rsidP="008C2A90">
                  <w:pPr>
                    <w:jc w:val="left"/>
                    <w:rPr>
                      <w:rFonts w:ascii="Calibri" w:hAnsi="Calibri"/>
                    </w:rPr>
                  </w:pPr>
                  <w:r w:rsidRPr="00F043D1">
                    <w:rPr>
                      <w:rFonts w:ascii="Calibri" w:hAnsi="Calibri"/>
                    </w:rPr>
                    <w:t>DHOM</w:t>
                  </w:r>
                </w:p>
              </w:tc>
              <w:tc>
                <w:tcPr>
                  <w:tcW w:w="3584" w:type="dxa"/>
                  <w:tcBorders>
                    <w:bottom w:val="single" w:sz="4" w:space="0" w:color="auto"/>
                  </w:tcBorders>
                </w:tcPr>
                <w:p w14:paraId="581CF77F" w14:textId="77777777" w:rsidR="008C2A90" w:rsidRPr="00F043D1" w:rsidRDefault="008C2A90" w:rsidP="008C2A90">
                  <w:pPr>
                    <w:jc w:val="left"/>
                    <w:rPr>
                      <w:rFonts w:ascii="Calibri" w:hAnsi="Calibri"/>
                    </w:rPr>
                  </w:pPr>
                  <w:r w:rsidRPr="00F043D1">
                    <w:rPr>
                      <w:rFonts w:ascii="Calibri" w:hAnsi="Calibri"/>
                    </w:rPr>
                    <w:t>Honiara Post</w:t>
                  </w:r>
                </w:p>
              </w:tc>
            </w:tr>
            <w:tr w:rsidR="009C7A2C" w:rsidRPr="008C2A90" w14:paraId="2862AFD2" w14:textId="77777777" w:rsidTr="00FB0282">
              <w:tc>
                <w:tcPr>
                  <w:tcW w:w="2189" w:type="dxa"/>
                  <w:tcBorders>
                    <w:bottom w:val="single" w:sz="4" w:space="0" w:color="auto"/>
                  </w:tcBorders>
                </w:tcPr>
                <w:p w14:paraId="0CA4A4B8" w14:textId="77777777" w:rsidR="008C2A90" w:rsidRPr="00F043D1" w:rsidRDefault="008C2A90" w:rsidP="008C2A90">
                  <w:pPr>
                    <w:rPr>
                      <w:rFonts w:ascii="Calibri" w:hAnsi="Calibri"/>
                    </w:rPr>
                  </w:pPr>
                  <w:r w:rsidRPr="00F043D1">
                    <w:rPr>
                      <w:rFonts w:ascii="Calibri" w:hAnsi="Calibri"/>
                    </w:rPr>
                    <w:t>Grant Follett</w:t>
                  </w:r>
                </w:p>
              </w:tc>
              <w:tc>
                <w:tcPr>
                  <w:tcW w:w="2801" w:type="dxa"/>
                  <w:tcBorders>
                    <w:bottom w:val="single" w:sz="4" w:space="0" w:color="auto"/>
                  </w:tcBorders>
                </w:tcPr>
                <w:p w14:paraId="234FD5D3" w14:textId="77777777" w:rsidR="008C2A90" w:rsidRPr="00F043D1" w:rsidRDefault="008C2A90" w:rsidP="008C2A90">
                  <w:pPr>
                    <w:jc w:val="left"/>
                    <w:rPr>
                      <w:rFonts w:ascii="Calibri" w:hAnsi="Calibri"/>
                    </w:rPr>
                  </w:pPr>
                  <w:r w:rsidRPr="00F043D1">
                    <w:rPr>
                      <w:rFonts w:ascii="Calibri" w:hAnsi="Calibri"/>
                    </w:rPr>
                    <w:t>First Secretary</w:t>
                  </w:r>
                </w:p>
              </w:tc>
              <w:tc>
                <w:tcPr>
                  <w:tcW w:w="3584" w:type="dxa"/>
                  <w:tcBorders>
                    <w:bottom w:val="single" w:sz="4" w:space="0" w:color="auto"/>
                  </w:tcBorders>
                </w:tcPr>
                <w:p w14:paraId="48CAD538" w14:textId="77777777" w:rsidR="008C2A90" w:rsidRPr="00F043D1" w:rsidRDefault="008C2A90" w:rsidP="008C2A90">
                  <w:pPr>
                    <w:jc w:val="left"/>
                    <w:rPr>
                      <w:rFonts w:ascii="Calibri" w:hAnsi="Calibri"/>
                    </w:rPr>
                  </w:pPr>
                  <w:r w:rsidRPr="00F043D1">
                    <w:rPr>
                      <w:rFonts w:ascii="Calibri" w:hAnsi="Calibri"/>
                    </w:rPr>
                    <w:t>Honiara Post</w:t>
                  </w:r>
                </w:p>
              </w:tc>
            </w:tr>
            <w:tr w:rsidR="009C7A2C" w:rsidRPr="008C2A90" w14:paraId="6BC1D0DB" w14:textId="77777777" w:rsidTr="00FB0282">
              <w:tc>
                <w:tcPr>
                  <w:tcW w:w="2189" w:type="dxa"/>
                  <w:tcBorders>
                    <w:bottom w:val="single" w:sz="4" w:space="0" w:color="auto"/>
                  </w:tcBorders>
                </w:tcPr>
                <w:p w14:paraId="6CFFC309" w14:textId="77777777" w:rsidR="008C2A90" w:rsidRPr="00F043D1" w:rsidRDefault="008C2A90" w:rsidP="008C2A90">
                  <w:pPr>
                    <w:rPr>
                      <w:rFonts w:ascii="Calibri" w:hAnsi="Calibri"/>
                    </w:rPr>
                  </w:pPr>
                  <w:r w:rsidRPr="00F043D1">
                    <w:rPr>
                      <w:rFonts w:ascii="Calibri" w:hAnsi="Calibri"/>
                    </w:rPr>
                    <w:t>Bridget Sitai</w:t>
                  </w:r>
                </w:p>
              </w:tc>
              <w:tc>
                <w:tcPr>
                  <w:tcW w:w="2801" w:type="dxa"/>
                  <w:tcBorders>
                    <w:bottom w:val="single" w:sz="4" w:space="0" w:color="auto"/>
                  </w:tcBorders>
                </w:tcPr>
                <w:p w14:paraId="2AEA0F81" w14:textId="77777777" w:rsidR="008C2A90" w:rsidRPr="00F043D1" w:rsidRDefault="008C2A90" w:rsidP="008C2A90">
                  <w:pPr>
                    <w:jc w:val="left"/>
                    <w:rPr>
                      <w:rFonts w:ascii="Calibri" w:hAnsi="Calibri"/>
                    </w:rPr>
                  </w:pPr>
                  <w:r w:rsidRPr="00F043D1">
                    <w:rPr>
                      <w:rFonts w:ascii="Calibri" w:hAnsi="Calibri"/>
                    </w:rPr>
                    <w:t>Senior Program Manager</w:t>
                  </w:r>
                </w:p>
              </w:tc>
              <w:tc>
                <w:tcPr>
                  <w:tcW w:w="3584" w:type="dxa"/>
                  <w:tcBorders>
                    <w:bottom w:val="single" w:sz="4" w:space="0" w:color="auto"/>
                  </w:tcBorders>
                </w:tcPr>
                <w:p w14:paraId="70619C9B" w14:textId="77777777" w:rsidR="008C2A90" w:rsidRPr="00F043D1" w:rsidRDefault="008C2A90" w:rsidP="008C2A90">
                  <w:pPr>
                    <w:jc w:val="left"/>
                    <w:rPr>
                      <w:rFonts w:ascii="Calibri" w:hAnsi="Calibri"/>
                    </w:rPr>
                  </w:pPr>
                  <w:r w:rsidRPr="00F043D1">
                    <w:rPr>
                      <w:rFonts w:ascii="Calibri" w:hAnsi="Calibri"/>
                    </w:rPr>
                    <w:t>Honiara Post</w:t>
                  </w:r>
                </w:p>
              </w:tc>
            </w:tr>
            <w:tr w:rsidR="009C7A2C" w:rsidRPr="008C2A90" w14:paraId="708C1D4D" w14:textId="77777777" w:rsidTr="00FB0282">
              <w:tc>
                <w:tcPr>
                  <w:tcW w:w="2189" w:type="dxa"/>
                  <w:tcBorders>
                    <w:bottom w:val="single" w:sz="4" w:space="0" w:color="auto"/>
                  </w:tcBorders>
                </w:tcPr>
                <w:p w14:paraId="057646CA" w14:textId="77777777" w:rsidR="008C2A90" w:rsidRPr="00F043D1" w:rsidRDefault="008C2A90" w:rsidP="008C2A90">
                  <w:pPr>
                    <w:rPr>
                      <w:rFonts w:ascii="Calibri" w:hAnsi="Calibri"/>
                    </w:rPr>
                  </w:pPr>
                  <w:r w:rsidRPr="00F043D1">
                    <w:rPr>
                      <w:rFonts w:ascii="Calibri" w:hAnsi="Calibri"/>
                    </w:rPr>
                    <w:t>Snehal Sosale</w:t>
                  </w:r>
                </w:p>
              </w:tc>
              <w:tc>
                <w:tcPr>
                  <w:tcW w:w="2801" w:type="dxa"/>
                  <w:tcBorders>
                    <w:bottom w:val="single" w:sz="4" w:space="0" w:color="auto"/>
                  </w:tcBorders>
                </w:tcPr>
                <w:p w14:paraId="25867625" w14:textId="77777777" w:rsidR="008C2A90" w:rsidRPr="00F043D1" w:rsidRDefault="008C2A90" w:rsidP="008C2A90">
                  <w:pPr>
                    <w:jc w:val="left"/>
                    <w:rPr>
                      <w:rFonts w:ascii="Calibri" w:hAnsi="Calibri"/>
                    </w:rPr>
                  </w:pPr>
                  <w:r w:rsidRPr="00F043D1">
                    <w:rPr>
                      <w:rFonts w:ascii="Calibri" w:hAnsi="Calibri"/>
                    </w:rPr>
                    <w:t>Second Secretary</w:t>
                  </w:r>
                </w:p>
              </w:tc>
              <w:tc>
                <w:tcPr>
                  <w:tcW w:w="3584" w:type="dxa"/>
                  <w:tcBorders>
                    <w:bottom w:val="single" w:sz="4" w:space="0" w:color="auto"/>
                  </w:tcBorders>
                </w:tcPr>
                <w:p w14:paraId="326F3D36" w14:textId="77777777" w:rsidR="008C2A90" w:rsidRPr="00F043D1" w:rsidRDefault="008C2A90" w:rsidP="008C2A90">
                  <w:pPr>
                    <w:jc w:val="left"/>
                    <w:rPr>
                      <w:rFonts w:ascii="Calibri" w:hAnsi="Calibri"/>
                    </w:rPr>
                  </w:pPr>
                  <w:r w:rsidRPr="00F043D1">
                    <w:rPr>
                      <w:rFonts w:ascii="Calibri" w:hAnsi="Calibri"/>
                    </w:rPr>
                    <w:t>Honiara Post</w:t>
                  </w:r>
                </w:p>
              </w:tc>
            </w:tr>
            <w:tr w:rsidR="009C7A2C" w:rsidRPr="008C2A90" w14:paraId="5E5AF33D" w14:textId="77777777" w:rsidTr="00FB0282">
              <w:tc>
                <w:tcPr>
                  <w:tcW w:w="2189" w:type="dxa"/>
                  <w:tcBorders>
                    <w:bottom w:val="single" w:sz="4" w:space="0" w:color="auto"/>
                  </w:tcBorders>
                </w:tcPr>
                <w:p w14:paraId="4A4D0743" w14:textId="77777777" w:rsidR="008C2A90" w:rsidRPr="00F043D1" w:rsidRDefault="008C2A90" w:rsidP="008C2A90">
                  <w:pPr>
                    <w:rPr>
                      <w:rFonts w:ascii="Calibri" w:hAnsi="Calibri"/>
                    </w:rPr>
                  </w:pPr>
                  <w:r w:rsidRPr="00F043D1">
                    <w:rPr>
                      <w:rFonts w:ascii="Calibri" w:hAnsi="Calibri"/>
                    </w:rPr>
                    <w:t>Rinnie Herming</w:t>
                  </w:r>
                </w:p>
              </w:tc>
              <w:tc>
                <w:tcPr>
                  <w:tcW w:w="2801" w:type="dxa"/>
                  <w:tcBorders>
                    <w:bottom w:val="single" w:sz="4" w:space="0" w:color="auto"/>
                  </w:tcBorders>
                </w:tcPr>
                <w:p w14:paraId="081C6B96" w14:textId="77777777" w:rsidR="008C2A90" w:rsidRPr="00F043D1" w:rsidRDefault="008C2A90" w:rsidP="008C2A90">
                  <w:pPr>
                    <w:jc w:val="left"/>
                    <w:rPr>
                      <w:rFonts w:ascii="Calibri" w:hAnsi="Calibri"/>
                    </w:rPr>
                  </w:pPr>
                  <w:r w:rsidRPr="00F043D1">
                    <w:rPr>
                      <w:rFonts w:ascii="Calibri" w:hAnsi="Calibri"/>
                    </w:rPr>
                    <w:t>Program Manager</w:t>
                  </w:r>
                </w:p>
              </w:tc>
              <w:tc>
                <w:tcPr>
                  <w:tcW w:w="3584" w:type="dxa"/>
                  <w:tcBorders>
                    <w:bottom w:val="single" w:sz="4" w:space="0" w:color="auto"/>
                  </w:tcBorders>
                </w:tcPr>
                <w:p w14:paraId="45580F97" w14:textId="77777777" w:rsidR="008C2A90" w:rsidRPr="00F043D1" w:rsidRDefault="008C2A90" w:rsidP="008C2A90">
                  <w:pPr>
                    <w:jc w:val="left"/>
                    <w:rPr>
                      <w:rFonts w:ascii="Calibri" w:hAnsi="Calibri"/>
                    </w:rPr>
                  </w:pPr>
                  <w:r w:rsidRPr="00F043D1">
                    <w:rPr>
                      <w:rFonts w:ascii="Calibri" w:hAnsi="Calibri"/>
                    </w:rPr>
                    <w:t>Honiara Post</w:t>
                  </w:r>
                </w:p>
              </w:tc>
            </w:tr>
            <w:tr w:rsidR="009C7A2C" w:rsidRPr="008C2A90" w14:paraId="67F13C52" w14:textId="77777777" w:rsidTr="00FB0282">
              <w:tc>
                <w:tcPr>
                  <w:tcW w:w="2189" w:type="dxa"/>
                  <w:tcBorders>
                    <w:bottom w:val="single" w:sz="4" w:space="0" w:color="auto"/>
                  </w:tcBorders>
                </w:tcPr>
                <w:p w14:paraId="62324DC4" w14:textId="77777777" w:rsidR="008C2A90" w:rsidRPr="00F043D1" w:rsidRDefault="008C2A90" w:rsidP="008C2A90">
                  <w:pPr>
                    <w:rPr>
                      <w:rFonts w:ascii="Calibri" w:hAnsi="Calibri"/>
                    </w:rPr>
                  </w:pPr>
                  <w:r w:rsidRPr="00F043D1">
                    <w:rPr>
                      <w:rFonts w:ascii="Calibri" w:hAnsi="Calibri"/>
                    </w:rPr>
                    <w:t>Jemma Malcolm</w:t>
                  </w:r>
                </w:p>
              </w:tc>
              <w:tc>
                <w:tcPr>
                  <w:tcW w:w="2801" w:type="dxa"/>
                  <w:tcBorders>
                    <w:bottom w:val="single" w:sz="4" w:space="0" w:color="auto"/>
                  </w:tcBorders>
                </w:tcPr>
                <w:p w14:paraId="3EDE338B" w14:textId="77777777" w:rsidR="008C2A90" w:rsidRPr="00F043D1" w:rsidRDefault="008C2A90" w:rsidP="008C2A90">
                  <w:pPr>
                    <w:jc w:val="left"/>
                    <w:rPr>
                      <w:rFonts w:ascii="Calibri" w:hAnsi="Calibri"/>
                    </w:rPr>
                  </w:pPr>
                  <w:r w:rsidRPr="00F043D1">
                    <w:rPr>
                      <w:rFonts w:ascii="Calibri" w:hAnsi="Calibri"/>
                    </w:rPr>
                    <w:t>Second Secretary</w:t>
                  </w:r>
                </w:p>
              </w:tc>
              <w:tc>
                <w:tcPr>
                  <w:tcW w:w="3584" w:type="dxa"/>
                  <w:tcBorders>
                    <w:bottom w:val="single" w:sz="4" w:space="0" w:color="auto"/>
                  </w:tcBorders>
                </w:tcPr>
                <w:p w14:paraId="6D6C1F14" w14:textId="77777777" w:rsidR="008C2A90" w:rsidRPr="00F043D1" w:rsidRDefault="008C2A90" w:rsidP="008C2A90">
                  <w:pPr>
                    <w:jc w:val="left"/>
                    <w:rPr>
                      <w:rFonts w:ascii="Calibri" w:hAnsi="Calibri"/>
                    </w:rPr>
                  </w:pPr>
                  <w:r w:rsidRPr="00F043D1">
                    <w:rPr>
                      <w:rFonts w:ascii="Calibri" w:hAnsi="Calibri"/>
                    </w:rPr>
                    <w:t>Honiara Post</w:t>
                  </w:r>
                </w:p>
              </w:tc>
            </w:tr>
            <w:tr w:rsidR="009C7A2C" w:rsidRPr="008C2A90" w14:paraId="3CD12E9D" w14:textId="77777777" w:rsidTr="00FB0282">
              <w:tc>
                <w:tcPr>
                  <w:tcW w:w="2189" w:type="dxa"/>
                  <w:tcBorders>
                    <w:bottom w:val="single" w:sz="4" w:space="0" w:color="auto"/>
                  </w:tcBorders>
                </w:tcPr>
                <w:p w14:paraId="2CA411F2" w14:textId="77777777" w:rsidR="008C2A90" w:rsidRPr="00F043D1" w:rsidRDefault="008C2A90" w:rsidP="008C2A90">
                  <w:pPr>
                    <w:rPr>
                      <w:rFonts w:ascii="Calibri" w:hAnsi="Calibri"/>
                    </w:rPr>
                  </w:pPr>
                  <w:r w:rsidRPr="00F043D1">
                    <w:rPr>
                      <w:rFonts w:ascii="Calibri" w:hAnsi="Calibri"/>
                    </w:rPr>
                    <w:t>Natalina Hong</w:t>
                  </w:r>
                </w:p>
              </w:tc>
              <w:tc>
                <w:tcPr>
                  <w:tcW w:w="2801" w:type="dxa"/>
                  <w:tcBorders>
                    <w:bottom w:val="single" w:sz="4" w:space="0" w:color="auto"/>
                  </w:tcBorders>
                </w:tcPr>
                <w:p w14:paraId="2D5149EE" w14:textId="77777777" w:rsidR="008C2A90" w:rsidRPr="00F043D1" w:rsidRDefault="008C2A90" w:rsidP="008C2A90">
                  <w:pPr>
                    <w:jc w:val="left"/>
                    <w:rPr>
                      <w:rFonts w:ascii="Calibri" w:hAnsi="Calibri"/>
                    </w:rPr>
                  </w:pPr>
                  <w:r w:rsidRPr="00F043D1">
                    <w:rPr>
                      <w:rFonts w:ascii="Calibri" w:hAnsi="Calibri"/>
                    </w:rPr>
                    <w:t>Program Manager</w:t>
                  </w:r>
                </w:p>
              </w:tc>
              <w:tc>
                <w:tcPr>
                  <w:tcW w:w="3584" w:type="dxa"/>
                  <w:tcBorders>
                    <w:bottom w:val="single" w:sz="4" w:space="0" w:color="auto"/>
                  </w:tcBorders>
                </w:tcPr>
                <w:p w14:paraId="228E0136" w14:textId="77777777" w:rsidR="008C2A90" w:rsidRPr="00F043D1" w:rsidRDefault="008C2A90" w:rsidP="008C2A90">
                  <w:pPr>
                    <w:jc w:val="left"/>
                    <w:rPr>
                      <w:rFonts w:ascii="Calibri" w:hAnsi="Calibri"/>
                    </w:rPr>
                  </w:pPr>
                  <w:r w:rsidRPr="00F043D1">
                    <w:rPr>
                      <w:rFonts w:ascii="Calibri" w:hAnsi="Calibri"/>
                    </w:rPr>
                    <w:t>Honiara Post</w:t>
                  </w:r>
                </w:p>
              </w:tc>
            </w:tr>
            <w:tr w:rsidR="009C7A2C" w:rsidRPr="008C2A90" w14:paraId="7DE0E364" w14:textId="77777777" w:rsidTr="00FB0282">
              <w:tc>
                <w:tcPr>
                  <w:tcW w:w="2189" w:type="dxa"/>
                  <w:tcBorders>
                    <w:bottom w:val="single" w:sz="4" w:space="0" w:color="auto"/>
                  </w:tcBorders>
                  <w:shd w:val="clear" w:color="auto" w:fill="auto"/>
                </w:tcPr>
                <w:p w14:paraId="3FF60724" w14:textId="77777777" w:rsidR="008C2A90" w:rsidRPr="00F043D1" w:rsidRDefault="008C2A90" w:rsidP="008C2A90">
                  <w:pPr>
                    <w:rPr>
                      <w:rFonts w:ascii="Calibri" w:hAnsi="Calibri"/>
                    </w:rPr>
                  </w:pPr>
                  <w:r w:rsidRPr="00F043D1">
                    <w:rPr>
                      <w:rFonts w:ascii="Calibri" w:hAnsi="Calibri"/>
                    </w:rPr>
                    <w:t>Andrew Ford</w:t>
                  </w:r>
                </w:p>
              </w:tc>
              <w:tc>
                <w:tcPr>
                  <w:tcW w:w="2801" w:type="dxa"/>
                  <w:tcBorders>
                    <w:bottom w:val="single" w:sz="4" w:space="0" w:color="auto"/>
                  </w:tcBorders>
                  <w:shd w:val="clear" w:color="auto" w:fill="auto"/>
                </w:tcPr>
                <w:p w14:paraId="5C7CBC34" w14:textId="77777777" w:rsidR="008C2A90" w:rsidRPr="00F043D1" w:rsidRDefault="008C2A90" w:rsidP="008C2A90">
                  <w:pPr>
                    <w:jc w:val="left"/>
                    <w:rPr>
                      <w:rFonts w:ascii="Calibri" w:hAnsi="Calibri"/>
                    </w:rPr>
                  </w:pPr>
                  <w:r w:rsidRPr="00F043D1">
                    <w:rPr>
                      <w:rFonts w:ascii="Calibri" w:hAnsi="Calibri"/>
                    </w:rPr>
                    <w:t>HOM</w:t>
                  </w:r>
                </w:p>
              </w:tc>
              <w:tc>
                <w:tcPr>
                  <w:tcW w:w="3584" w:type="dxa"/>
                  <w:tcBorders>
                    <w:bottom w:val="single" w:sz="4" w:space="0" w:color="auto"/>
                  </w:tcBorders>
                </w:tcPr>
                <w:p w14:paraId="384D05B6" w14:textId="77777777" w:rsidR="008C2A90" w:rsidRPr="00F043D1" w:rsidRDefault="008C2A90" w:rsidP="008C2A90">
                  <w:pPr>
                    <w:jc w:val="left"/>
                    <w:rPr>
                      <w:rFonts w:ascii="Calibri" w:hAnsi="Calibri"/>
                    </w:rPr>
                  </w:pPr>
                  <w:r w:rsidRPr="00F043D1">
                    <w:rPr>
                      <w:rFonts w:ascii="Calibri" w:hAnsi="Calibri"/>
                    </w:rPr>
                    <w:t>Nuku'alofa Post</w:t>
                  </w:r>
                </w:p>
              </w:tc>
            </w:tr>
            <w:tr w:rsidR="009C7A2C" w:rsidRPr="008C2A90" w14:paraId="6613F5F5" w14:textId="77777777" w:rsidTr="00FB0282">
              <w:tc>
                <w:tcPr>
                  <w:tcW w:w="2189" w:type="dxa"/>
                  <w:tcBorders>
                    <w:bottom w:val="single" w:sz="4" w:space="0" w:color="auto"/>
                  </w:tcBorders>
                  <w:shd w:val="clear" w:color="auto" w:fill="auto"/>
                </w:tcPr>
                <w:p w14:paraId="37807016" w14:textId="77777777" w:rsidR="008C2A90" w:rsidRPr="00F043D1" w:rsidRDefault="008C2A90" w:rsidP="008C2A90">
                  <w:pPr>
                    <w:rPr>
                      <w:rFonts w:ascii="Calibri" w:hAnsi="Calibri"/>
                    </w:rPr>
                  </w:pPr>
                  <w:r w:rsidRPr="00F043D1">
                    <w:rPr>
                      <w:rFonts w:ascii="Calibri" w:hAnsi="Calibri"/>
                    </w:rPr>
                    <w:t>Telusa Fotu</w:t>
                  </w:r>
                </w:p>
              </w:tc>
              <w:tc>
                <w:tcPr>
                  <w:tcW w:w="2801" w:type="dxa"/>
                  <w:tcBorders>
                    <w:bottom w:val="single" w:sz="4" w:space="0" w:color="auto"/>
                  </w:tcBorders>
                  <w:shd w:val="clear" w:color="auto" w:fill="auto"/>
                </w:tcPr>
                <w:p w14:paraId="48CE838E" w14:textId="65BBEF3A" w:rsidR="008C2A90" w:rsidRPr="00F043D1" w:rsidRDefault="008C2A90" w:rsidP="008C2A90">
                  <w:pPr>
                    <w:jc w:val="left"/>
                    <w:rPr>
                      <w:rFonts w:ascii="Calibri" w:hAnsi="Calibri"/>
                    </w:rPr>
                  </w:pPr>
                  <w:r w:rsidRPr="00F043D1">
                    <w:rPr>
                      <w:rFonts w:ascii="Calibri" w:hAnsi="Calibri"/>
                    </w:rPr>
                    <w:t>Senior Program Manager</w:t>
                  </w:r>
                </w:p>
              </w:tc>
              <w:tc>
                <w:tcPr>
                  <w:tcW w:w="3584" w:type="dxa"/>
                  <w:tcBorders>
                    <w:bottom w:val="single" w:sz="4" w:space="0" w:color="auto"/>
                  </w:tcBorders>
                </w:tcPr>
                <w:p w14:paraId="3599BDD2" w14:textId="77777777" w:rsidR="008C2A90" w:rsidRPr="00F043D1" w:rsidRDefault="008C2A90" w:rsidP="008C2A90">
                  <w:pPr>
                    <w:jc w:val="left"/>
                    <w:rPr>
                      <w:rFonts w:ascii="Calibri" w:hAnsi="Calibri"/>
                    </w:rPr>
                  </w:pPr>
                  <w:r w:rsidRPr="00F043D1">
                    <w:rPr>
                      <w:rFonts w:ascii="Calibri" w:hAnsi="Calibri"/>
                    </w:rPr>
                    <w:t>Nuku'alofa Post</w:t>
                  </w:r>
                </w:p>
              </w:tc>
            </w:tr>
            <w:tr w:rsidR="009C7A2C" w:rsidRPr="008C2A90" w14:paraId="43F48F2E" w14:textId="77777777" w:rsidTr="00FB0282">
              <w:tc>
                <w:tcPr>
                  <w:tcW w:w="2189" w:type="dxa"/>
                  <w:tcBorders>
                    <w:bottom w:val="single" w:sz="4" w:space="0" w:color="auto"/>
                  </w:tcBorders>
                </w:tcPr>
                <w:p w14:paraId="26CF9B96" w14:textId="77777777" w:rsidR="008C2A90" w:rsidRPr="00F043D1" w:rsidRDefault="008C2A90" w:rsidP="008C2A90">
                  <w:pPr>
                    <w:rPr>
                      <w:rFonts w:ascii="Calibri" w:hAnsi="Calibri"/>
                    </w:rPr>
                  </w:pPr>
                  <w:r w:rsidRPr="00F043D1">
                    <w:rPr>
                      <w:rFonts w:ascii="Calibri" w:hAnsi="Calibri"/>
                    </w:rPr>
                    <w:t>Sue Langford</w:t>
                  </w:r>
                </w:p>
              </w:tc>
              <w:tc>
                <w:tcPr>
                  <w:tcW w:w="2801" w:type="dxa"/>
                  <w:tcBorders>
                    <w:bottom w:val="single" w:sz="4" w:space="0" w:color="auto"/>
                  </w:tcBorders>
                </w:tcPr>
                <w:p w14:paraId="05908C55" w14:textId="77777777" w:rsidR="008C2A90" w:rsidRPr="00F043D1" w:rsidRDefault="008C2A90" w:rsidP="008C2A90">
                  <w:pPr>
                    <w:jc w:val="left"/>
                    <w:rPr>
                      <w:rFonts w:ascii="Calibri" w:hAnsi="Calibri"/>
                    </w:rPr>
                  </w:pPr>
                  <w:r w:rsidRPr="00F043D1">
                    <w:rPr>
                      <w:rFonts w:ascii="Calibri" w:hAnsi="Calibri"/>
                    </w:rPr>
                    <w:t>HOM</w:t>
                  </w:r>
                </w:p>
              </w:tc>
              <w:tc>
                <w:tcPr>
                  <w:tcW w:w="3584" w:type="dxa"/>
                  <w:tcBorders>
                    <w:bottom w:val="single" w:sz="4" w:space="0" w:color="auto"/>
                  </w:tcBorders>
                </w:tcPr>
                <w:p w14:paraId="15644D42" w14:textId="77777777" w:rsidR="008C2A90" w:rsidRPr="00F043D1" w:rsidRDefault="008C2A90" w:rsidP="008C2A90">
                  <w:pPr>
                    <w:jc w:val="left"/>
                    <w:rPr>
                      <w:rFonts w:ascii="Calibri" w:hAnsi="Calibri"/>
                    </w:rPr>
                  </w:pPr>
                  <w:r w:rsidRPr="00F043D1">
                    <w:rPr>
                      <w:rFonts w:ascii="Calibri" w:hAnsi="Calibri"/>
                    </w:rPr>
                    <w:t>Apia Post</w:t>
                  </w:r>
                </w:p>
              </w:tc>
            </w:tr>
            <w:tr w:rsidR="009C7A2C" w:rsidRPr="008C2A90" w14:paraId="38EE9C34" w14:textId="77777777" w:rsidTr="00FB0282">
              <w:tc>
                <w:tcPr>
                  <w:tcW w:w="2189" w:type="dxa"/>
                  <w:tcBorders>
                    <w:bottom w:val="single" w:sz="4" w:space="0" w:color="auto"/>
                  </w:tcBorders>
                </w:tcPr>
                <w:p w14:paraId="1825A604" w14:textId="77777777" w:rsidR="008C2A90" w:rsidRPr="00F043D1" w:rsidRDefault="008C2A90" w:rsidP="008C2A90">
                  <w:pPr>
                    <w:rPr>
                      <w:rFonts w:ascii="Calibri" w:hAnsi="Calibri"/>
                    </w:rPr>
                  </w:pPr>
                  <w:r w:rsidRPr="00F043D1">
                    <w:rPr>
                      <w:rFonts w:ascii="Calibri" w:hAnsi="Calibri"/>
                    </w:rPr>
                    <w:t>Amanda Jewell</w:t>
                  </w:r>
                </w:p>
              </w:tc>
              <w:tc>
                <w:tcPr>
                  <w:tcW w:w="2801" w:type="dxa"/>
                  <w:tcBorders>
                    <w:bottom w:val="single" w:sz="4" w:space="0" w:color="auto"/>
                  </w:tcBorders>
                </w:tcPr>
                <w:p w14:paraId="775E93CF" w14:textId="77777777" w:rsidR="008C2A90" w:rsidRPr="00F043D1" w:rsidRDefault="008C2A90" w:rsidP="008C2A90">
                  <w:pPr>
                    <w:jc w:val="left"/>
                    <w:rPr>
                      <w:rFonts w:ascii="Calibri" w:hAnsi="Calibri"/>
                    </w:rPr>
                  </w:pPr>
                  <w:r w:rsidRPr="00F043D1">
                    <w:rPr>
                      <w:rFonts w:ascii="Calibri" w:hAnsi="Calibri"/>
                    </w:rPr>
                    <w:t>DHOM</w:t>
                  </w:r>
                </w:p>
              </w:tc>
              <w:tc>
                <w:tcPr>
                  <w:tcW w:w="3584" w:type="dxa"/>
                  <w:tcBorders>
                    <w:bottom w:val="single" w:sz="4" w:space="0" w:color="auto"/>
                  </w:tcBorders>
                </w:tcPr>
                <w:p w14:paraId="02595A6C" w14:textId="77777777" w:rsidR="008C2A90" w:rsidRPr="00F043D1" w:rsidRDefault="008C2A90" w:rsidP="008C2A90">
                  <w:pPr>
                    <w:jc w:val="left"/>
                    <w:rPr>
                      <w:rFonts w:ascii="Calibri" w:hAnsi="Calibri"/>
                    </w:rPr>
                  </w:pPr>
                  <w:r w:rsidRPr="00F043D1">
                    <w:rPr>
                      <w:rFonts w:ascii="Calibri" w:hAnsi="Calibri"/>
                    </w:rPr>
                    <w:t>Apia Post</w:t>
                  </w:r>
                </w:p>
              </w:tc>
            </w:tr>
            <w:tr w:rsidR="009C7A2C" w:rsidRPr="008C2A90" w14:paraId="6FF60E9D" w14:textId="77777777" w:rsidTr="00FB0282">
              <w:tc>
                <w:tcPr>
                  <w:tcW w:w="2189" w:type="dxa"/>
                  <w:tcBorders>
                    <w:bottom w:val="single" w:sz="4" w:space="0" w:color="auto"/>
                  </w:tcBorders>
                </w:tcPr>
                <w:p w14:paraId="34EB4EDC" w14:textId="77777777" w:rsidR="008C2A90" w:rsidRPr="00F043D1" w:rsidRDefault="008C2A90" w:rsidP="008C2A90">
                  <w:pPr>
                    <w:rPr>
                      <w:rFonts w:ascii="Calibri" w:hAnsi="Calibri"/>
                    </w:rPr>
                  </w:pPr>
                  <w:r w:rsidRPr="00F043D1">
                    <w:rPr>
                      <w:rFonts w:ascii="Calibri" w:hAnsi="Calibri"/>
                    </w:rPr>
                    <w:t>Ronicera Fuimaono</w:t>
                  </w:r>
                </w:p>
              </w:tc>
              <w:tc>
                <w:tcPr>
                  <w:tcW w:w="2801" w:type="dxa"/>
                  <w:tcBorders>
                    <w:bottom w:val="single" w:sz="4" w:space="0" w:color="auto"/>
                  </w:tcBorders>
                </w:tcPr>
                <w:p w14:paraId="423D21D7" w14:textId="77777777" w:rsidR="008C2A90" w:rsidRPr="00F043D1" w:rsidRDefault="008C2A90" w:rsidP="008C2A90">
                  <w:pPr>
                    <w:jc w:val="left"/>
                    <w:rPr>
                      <w:rFonts w:ascii="Calibri" w:hAnsi="Calibri"/>
                    </w:rPr>
                  </w:pPr>
                  <w:r w:rsidRPr="00F043D1">
                    <w:rPr>
                      <w:rFonts w:ascii="Calibri" w:hAnsi="Calibri"/>
                    </w:rPr>
                    <w:t>Program Manager</w:t>
                  </w:r>
                </w:p>
              </w:tc>
              <w:tc>
                <w:tcPr>
                  <w:tcW w:w="3584" w:type="dxa"/>
                  <w:tcBorders>
                    <w:bottom w:val="single" w:sz="4" w:space="0" w:color="auto"/>
                  </w:tcBorders>
                </w:tcPr>
                <w:p w14:paraId="3E481FBB" w14:textId="77777777" w:rsidR="008C2A90" w:rsidRPr="00F043D1" w:rsidRDefault="008C2A90" w:rsidP="008C2A90">
                  <w:pPr>
                    <w:jc w:val="left"/>
                    <w:rPr>
                      <w:rFonts w:ascii="Calibri" w:hAnsi="Calibri"/>
                    </w:rPr>
                  </w:pPr>
                  <w:r w:rsidRPr="00F043D1">
                    <w:rPr>
                      <w:rFonts w:ascii="Calibri" w:hAnsi="Calibri"/>
                    </w:rPr>
                    <w:t>Apia Post</w:t>
                  </w:r>
                </w:p>
              </w:tc>
            </w:tr>
            <w:tr w:rsidR="008C2A90" w:rsidRPr="008C2A90" w14:paraId="657EC3D2" w14:textId="77777777" w:rsidTr="008C2A90">
              <w:tc>
                <w:tcPr>
                  <w:tcW w:w="8574" w:type="dxa"/>
                  <w:gridSpan w:val="3"/>
                  <w:tcBorders>
                    <w:left w:val="nil"/>
                    <w:right w:val="nil"/>
                  </w:tcBorders>
                </w:tcPr>
                <w:p w14:paraId="44C7236C" w14:textId="77777777" w:rsidR="00945729" w:rsidRDefault="00945729" w:rsidP="008C2A90">
                  <w:pPr>
                    <w:jc w:val="left"/>
                    <w:rPr>
                      <w:rFonts w:ascii="Calibri" w:hAnsi="Calibri"/>
                      <w:b/>
                    </w:rPr>
                  </w:pPr>
                </w:p>
                <w:p w14:paraId="4D9B9A64" w14:textId="77777777" w:rsidR="008C2A90" w:rsidRPr="00945729" w:rsidRDefault="008C2A90" w:rsidP="008C2A90">
                  <w:pPr>
                    <w:jc w:val="left"/>
                    <w:rPr>
                      <w:rFonts w:ascii="Calibri" w:hAnsi="Calibri"/>
                      <w:b/>
                    </w:rPr>
                  </w:pPr>
                  <w:r w:rsidRPr="00945729">
                    <w:rPr>
                      <w:rFonts w:ascii="Calibri" w:hAnsi="Calibri"/>
                      <w:b/>
                    </w:rPr>
                    <w:t xml:space="preserve">PLP </w:t>
                  </w:r>
                </w:p>
              </w:tc>
            </w:tr>
            <w:tr w:rsidR="009C7A2C" w:rsidRPr="008C2A90" w14:paraId="21CE3B67" w14:textId="77777777" w:rsidTr="00FB0282">
              <w:tc>
                <w:tcPr>
                  <w:tcW w:w="2189" w:type="dxa"/>
                  <w:tcBorders>
                    <w:bottom w:val="single" w:sz="4" w:space="0" w:color="auto"/>
                  </w:tcBorders>
                </w:tcPr>
                <w:p w14:paraId="4B2B32CB" w14:textId="77777777" w:rsidR="008C2A90" w:rsidRPr="00F043D1" w:rsidRDefault="008C2A90" w:rsidP="008C2A90">
                  <w:pPr>
                    <w:rPr>
                      <w:rFonts w:ascii="Calibri" w:hAnsi="Calibri"/>
                    </w:rPr>
                  </w:pPr>
                  <w:r w:rsidRPr="00F043D1">
                    <w:rPr>
                      <w:rFonts w:ascii="Calibri" w:hAnsi="Calibri"/>
                    </w:rPr>
                    <w:t>Georgina Cope</w:t>
                  </w:r>
                </w:p>
              </w:tc>
              <w:tc>
                <w:tcPr>
                  <w:tcW w:w="2801" w:type="dxa"/>
                  <w:tcBorders>
                    <w:bottom w:val="single" w:sz="4" w:space="0" w:color="auto"/>
                  </w:tcBorders>
                </w:tcPr>
                <w:p w14:paraId="534877FA" w14:textId="77777777" w:rsidR="008C2A90" w:rsidRPr="00F043D1" w:rsidRDefault="008C2A90" w:rsidP="008C2A90">
                  <w:pPr>
                    <w:jc w:val="left"/>
                    <w:rPr>
                      <w:rFonts w:ascii="Calibri" w:hAnsi="Calibri"/>
                    </w:rPr>
                  </w:pPr>
                  <w:r w:rsidRPr="00F043D1">
                    <w:rPr>
                      <w:rFonts w:ascii="Calibri" w:hAnsi="Calibri"/>
                    </w:rPr>
                    <w:t>Team Leader</w:t>
                  </w:r>
                </w:p>
              </w:tc>
              <w:tc>
                <w:tcPr>
                  <w:tcW w:w="3584" w:type="dxa"/>
                  <w:tcBorders>
                    <w:bottom w:val="single" w:sz="4" w:space="0" w:color="auto"/>
                  </w:tcBorders>
                </w:tcPr>
                <w:p w14:paraId="1E2F90AF" w14:textId="77777777" w:rsidR="008C2A90" w:rsidRPr="00F043D1" w:rsidRDefault="008C2A90" w:rsidP="008C2A90">
                  <w:pPr>
                    <w:jc w:val="left"/>
                    <w:rPr>
                      <w:rFonts w:ascii="Calibri" w:hAnsi="Calibri"/>
                    </w:rPr>
                  </w:pPr>
                  <w:r w:rsidRPr="00F043D1">
                    <w:rPr>
                      <w:rFonts w:ascii="Calibri" w:hAnsi="Calibri"/>
                    </w:rPr>
                    <w:t>Pacific Leadership Program</w:t>
                  </w:r>
                </w:p>
              </w:tc>
            </w:tr>
            <w:tr w:rsidR="009C7A2C" w:rsidRPr="008C2A90" w14:paraId="0294BF25" w14:textId="77777777" w:rsidTr="00FB0282">
              <w:tc>
                <w:tcPr>
                  <w:tcW w:w="2189" w:type="dxa"/>
                  <w:tcBorders>
                    <w:bottom w:val="single" w:sz="4" w:space="0" w:color="auto"/>
                  </w:tcBorders>
                </w:tcPr>
                <w:p w14:paraId="7FC9B03C" w14:textId="77777777" w:rsidR="008C2A90" w:rsidRPr="00F043D1" w:rsidRDefault="008C2A90" w:rsidP="008C2A90">
                  <w:pPr>
                    <w:rPr>
                      <w:rFonts w:ascii="Calibri" w:hAnsi="Calibri"/>
                    </w:rPr>
                  </w:pPr>
                  <w:r w:rsidRPr="00F043D1">
                    <w:rPr>
                      <w:rFonts w:ascii="Calibri" w:hAnsi="Calibri"/>
                    </w:rPr>
                    <w:t>Mereani Rokotuibau</w:t>
                  </w:r>
                </w:p>
              </w:tc>
              <w:tc>
                <w:tcPr>
                  <w:tcW w:w="2801" w:type="dxa"/>
                  <w:tcBorders>
                    <w:bottom w:val="single" w:sz="4" w:space="0" w:color="auto"/>
                  </w:tcBorders>
                </w:tcPr>
                <w:p w14:paraId="777AFB7C" w14:textId="77777777" w:rsidR="008C2A90" w:rsidRPr="00F043D1" w:rsidRDefault="008C2A90" w:rsidP="008C2A90">
                  <w:pPr>
                    <w:jc w:val="left"/>
                    <w:rPr>
                      <w:rFonts w:ascii="Calibri" w:hAnsi="Calibri"/>
                    </w:rPr>
                  </w:pPr>
                  <w:r w:rsidRPr="00F043D1">
                    <w:rPr>
                      <w:rFonts w:ascii="Calibri" w:hAnsi="Calibri"/>
                    </w:rPr>
                    <w:t>Program Manager</w:t>
                  </w:r>
                </w:p>
              </w:tc>
              <w:tc>
                <w:tcPr>
                  <w:tcW w:w="3584" w:type="dxa"/>
                  <w:tcBorders>
                    <w:bottom w:val="single" w:sz="4" w:space="0" w:color="auto"/>
                  </w:tcBorders>
                </w:tcPr>
                <w:p w14:paraId="440EB078" w14:textId="77777777" w:rsidR="008C2A90" w:rsidRPr="00F043D1" w:rsidRDefault="008C2A90" w:rsidP="008C2A90">
                  <w:pPr>
                    <w:jc w:val="left"/>
                    <w:rPr>
                      <w:rFonts w:ascii="Calibri" w:hAnsi="Calibri"/>
                    </w:rPr>
                  </w:pPr>
                  <w:r w:rsidRPr="00F043D1">
                    <w:rPr>
                      <w:rFonts w:ascii="Calibri" w:hAnsi="Calibri"/>
                    </w:rPr>
                    <w:t>Pacific Leadership Program</w:t>
                  </w:r>
                </w:p>
              </w:tc>
            </w:tr>
            <w:tr w:rsidR="009C7A2C" w:rsidRPr="008C2A90" w14:paraId="3B44F4B2" w14:textId="77777777" w:rsidTr="00FB0282">
              <w:tc>
                <w:tcPr>
                  <w:tcW w:w="2189" w:type="dxa"/>
                  <w:tcBorders>
                    <w:bottom w:val="single" w:sz="4" w:space="0" w:color="auto"/>
                  </w:tcBorders>
                </w:tcPr>
                <w:p w14:paraId="1F758FDD" w14:textId="77777777" w:rsidR="008C2A90" w:rsidRPr="00F043D1" w:rsidRDefault="008C2A90" w:rsidP="008C2A90">
                  <w:pPr>
                    <w:rPr>
                      <w:rFonts w:ascii="Calibri" w:hAnsi="Calibri"/>
                    </w:rPr>
                  </w:pPr>
                  <w:r w:rsidRPr="00F043D1">
                    <w:rPr>
                      <w:rFonts w:ascii="Calibri" w:hAnsi="Calibri"/>
                    </w:rPr>
                    <w:t>Shradha Sharma</w:t>
                  </w:r>
                </w:p>
              </w:tc>
              <w:tc>
                <w:tcPr>
                  <w:tcW w:w="2801" w:type="dxa"/>
                  <w:tcBorders>
                    <w:bottom w:val="single" w:sz="4" w:space="0" w:color="auto"/>
                  </w:tcBorders>
                </w:tcPr>
                <w:p w14:paraId="7C1CC536" w14:textId="77777777" w:rsidR="008C2A90" w:rsidRPr="00F043D1" w:rsidRDefault="008C2A90" w:rsidP="008C2A90">
                  <w:pPr>
                    <w:jc w:val="left"/>
                    <w:rPr>
                      <w:rFonts w:ascii="Calibri" w:hAnsi="Calibri"/>
                    </w:rPr>
                  </w:pPr>
                  <w:r w:rsidRPr="00F043D1">
                    <w:rPr>
                      <w:rFonts w:ascii="Calibri" w:hAnsi="Calibri"/>
                    </w:rPr>
                    <w:t>Finance and Admin Manager</w:t>
                  </w:r>
                </w:p>
              </w:tc>
              <w:tc>
                <w:tcPr>
                  <w:tcW w:w="3584" w:type="dxa"/>
                  <w:tcBorders>
                    <w:bottom w:val="single" w:sz="4" w:space="0" w:color="auto"/>
                  </w:tcBorders>
                </w:tcPr>
                <w:p w14:paraId="76C694BC" w14:textId="77777777" w:rsidR="008C2A90" w:rsidRPr="00F043D1" w:rsidRDefault="008C2A90" w:rsidP="008C2A90">
                  <w:pPr>
                    <w:jc w:val="left"/>
                    <w:rPr>
                      <w:rFonts w:ascii="Calibri" w:hAnsi="Calibri"/>
                    </w:rPr>
                  </w:pPr>
                  <w:r w:rsidRPr="00F043D1">
                    <w:rPr>
                      <w:rFonts w:ascii="Calibri" w:hAnsi="Calibri"/>
                    </w:rPr>
                    <w:t>Pacific Leadership Program</w:t>
                  </w:r>
                </w:p>
              </w:tc>
            </w:tr>
            <w:tr w:rsidR="009C7A2C" w:rsidRPr="008C2A90" w14:paraId="06DB9411" w14:textId="77777777" w:rsidTr="00FB0282">
              <w:tc>
                <w:tcPr>
                  <w:tcW w:w="2189" w:type="dxa"/>
                  <w:tcBorders>
                    <w:bottom w:val="single" w:sz="4" w:space="0" w:color="auto"/>
                  </w:tcBorders>
                </w:tcPr>
                <w:p w14:paraId="5F6C2901" w14:textId="77777777" w:rsidR="008C2A90" w:rsidRPr="00F043D1" w:rsidRDefault="008C2A90" w:rsidP="008C2A90">
                  <w:pPr>
                    <w:rPr>
                      <w:rFonts w:ascii="Calibri" w:hAnsi="Calibri"/>
                    </w:rPr>
                  </w:pPr>
                  <w:r w:rsidRPr="00F043D1">
                    <w:rPr>
                      <w:rFonts w:ascii="Calibri" w:hAnsi="Calibri"/>
                    </w:rPr>
                    <w:t>Peni Tawake</w:t>
                  </w:r>
                </w:p>
              </w:tc>
              <w:tc>
                <w:tcPr>
                  <w:tcW w:w="2801" w:type="dxa"/>
                  <w:tcBorders>
                    <w:bottom w:val="single" w:sz="4" w:space="0" w:color="auto"/>
                  </w:tcBorders>
                </w:tcPr>
                <w:p w14:paraId="536DEB1F" w14:textId="77777777" w:rsidR="008C2A90" w:rsidRPr="00F043D1" w:rsidRDefault="008C2A90" w:rsidP="008C2A90">
                  <w:pPr>
                    <w:jc w:val="left"/>
                    <w:rPr>
                      <w:rFonts w:ascii="Calibri" w:hAnsi="Calibri"/>
                    </w:rPr>
                  </w:pPr>
                  <w:r w:rsidRPr="00F043D1">
                    <w:rPr>
                      <w:rFonts w:ascii="Calibri" w:hAnsi="Calibri"/>
                    </w:rPr>
                    <w:t>Program Officer</w:t>
                  </w:r>
                </w:p>
              </w:tc>
              <w:tc>
                <w:tcPr>
                  <w:tcW w:w="3584" w:type="dxa"/>
                  <w:tcBorders>
                    <w:bottom w:val="single" w:sz="4" w:space="0" w:color="auto"/>
                  </w:tcBorders>
                </w:tcPr>
                <w:p w14:paraId="3AE1E359" w14:textId="77777777" w:rsidR="008C2A90" w:rsidRPr="00F043D1" w:rsidRDefault="008C2A90" w:rsidP="008C2A90">
                  <w:pPr>
                    <w:jc w:val="left"/>
                    <w:rPr>
                      <w:rFonts w:ascii="Calibri" w:hAnsi="Calibri"/>
                    </w:rPr>
                  </w:pPr>
                  <w:r w:rsidRPr="00F043D1">
                    <w:rPr>
                      <w:rFonts w:ascii="Calibri" w:hAnsi="Calibri"/>
                    </w:rPr>
                    <w:t>Pacific Leadership Program</w:t>
                  </w:r>
                </w:p>
              </w:tc>
            </w:tr>
            <w:tr w:rsidR="009C7A2C" w:rsidRPr="008C2A90" w14:paraId="1B33F687" w14:textId="77777777" w:rsidTr="00FB0282">
              <w:tc>
                <w:tcPr>
                  <w:tcW w:w="2189" w:type="dxa"/>
                  <w:tcBorders>
                    <w:bottom w:val="single" w:sz="4" w:space="0" w:color="auto"/>
                  </w:tcBorders>
                </w:tcPr>
                <w:p w14:paraId="30CC15A3" w14:textId="77777777" w:rsidR="008C2A90" w:rsidRPr="00F043D1" w:rsidRDefault="008C2A90" w:rsidP="008C2A90">
                  <w:pPr>
                    <w:rPr>
                      <w:rFonts w:ascii="Calibri" w:hAnsi="Calibri"/>
                    </w:rPr>
                  </w:pPr>
                  <w:r w:rsidRPr="00F043D1">
                    <w:rPr>
                      <w:rFonts w:ascii="Calibri" w:hAnsi="Calibri"/>
                    </w:rPr>
                    <w:t>Angeline Fatiaki</w:t>
                  </w:r>
                </w:p>
              </w:tc>
              <w:tc>
                <w:tcPr>
                  <w:tcW w:w="2801" w:type="dxa"/>
                  <w:tcBorders>
                    <w:bottom w:val="single" w:sz="4" w:space="0" w:color="auto"/>
                  </w:tcBorders>
                </w:tcPr>
                <w:p w14:paraId="2066D04E" w14:textId="77777777" w:rsidR="008C2A90" w:rsidRPr="00F043D1" w:rsidRDefault="008C2A90" w:rsidP="008C2A90">
                  <w:pPr>
                    <w:jc w:val="left"/>
                    <w:rPr>
                      <w:rFonts w:ascii="Calibri" w:hAnsi="Calibri"/>
                    </w:rPr>
                  </w:pPr>
                  <w:r w:rsidRPr="00F043D1">
                    <w:rPr>
                      <w:rFonts w:ascii="Calibri" w:hAnsi="Calibri"/>
                    </w:rPr>
                    <w:t>Program Officer</w:t>
                  </w:r>
                </w:p>
              </w:tc>
              <w:tc>
                <w:tcPr>
                  <w:tcW w:w="3584" w:type="dxa"/>
                  <w:tcBorders>
                    <w:bottom w:val="single" w:sz="4" w:space="0" w:color="auto"/>
                  </w:tcBorders>
                </w:tcPr>
                <w:p w14:paraId="2351FBC2" w14:textId="77777777" w:rsidR="008C2A90" w:rsidRPr="00F043D1" w:rsidRDefault="008C2A90" w:rsidP="008C2A90">
                  <w:pPr>
                    <w:jc w:val="left"/>
                    <w:rPr>
                      <w:rFonts w:ascii="Calibri" w:hAnsi="Calibri"/>
                    </w:rPr>
                  </w:pPr>
                  <w:r w:rsidRPr="00F043D1">
                    <w:rPr>
                      <w:rFonts w:ascii="Calibri" w:hAnsi="Calibri"/>
                    </w:rPr>
                    <w:t>Pacific Leadership Program</w:t>
                  </w:r>
                </w:p>
              </w:tc>
            </w:tr>
            <w:tr w:rsidR="009C7A2C" w:rsidRPr="008C2A90" w14:paraId="40FF20A6" w14:textId="77777777" w:rsidTr="00FB0282">
              <w:tc>
                <w:tcPr>
                  <w:tcW w:w="2189" w:type="dxa"/>
                  <w:tcBorders>
                    <w:bottom w:val="single" w:sz="4" w:space="0" w:color="auto"/>
                  </w:tcBorders>
                </w:tcPr>
                <w:p w14:paraId="33856399" w14:textId="77777777" w:rsidR="008C2A90" w:rsidRPr="00F043D1" w:rsidRDefault="008C2A90" w:rsidP="008C2A90">
                  <w:pPr>
                    <w:rPr>
                      <w:rFonts w:ascii="Calibri" w:hAnsi="Calibri"/>
                    </w:rPr>
                  </w:pPr>
                  <w:r w:rsidRPr="00F043D1">
                    <w:rPr>
                      <w:rFonts w:ascii="Calibri" w:hAnsi="Calibri"/>
                    </w:rPr>
                    <w:t>Amelia Makutu</w:t>
                  </w:r>
                </w:p>
              </w:tc>
              <w:tc>
                <w:tcPr>
                  <w:tcW w:w="2801" w:type="dxa"/>
                  <w:tcBorders>
                    <w:bottom w:val="single" w:sz="4" w:space="0" w:color="auto"/>
                  </w:tcBorders>
                </w:tcPr>
                <w:p w14:paraId="1F4AB428" w14:textId="77777777" w:rsidR="008C2A90" w:rsidRPr="00F043D1" w:rsidRDefault="008C2A90" w:rsidP="008C2A90">
                  <w:pPr>
                    <w:jc w:val="left"/>
                    <w:rPr>
                      <w:rFonts w:ascii="Calibri" w:hAnsi="Calibri"/>
                    </w:rPr>
                  </w:pPr>
                  <w:r w:rsidRPr="00F043D1">
                    <w:rPr>
                      <w:rFonts w:ascii="Calibri" w:hAnsi="Calibri"/>
                    </w:rPr>
                    <w:t>Communications Specialist</w:t>
                  </w:r>
                </w:p>
              </w:tc>
              <w:tc>
                <w:tcPr>
                  <w:tcW w:w="3584" w:type="dxa"/>
                  <w:tcBorders>
                    <w:bottom w:val="single" w:sz="4" w:space="0" w:color="auto"/>
                  </w:tcBorders>
                </w:tcPr>
                <w:p w14:paraId="0FEE38A1" w14:textId="77777777" w:rsidR="008C2A90" w:rsidRPr="00F043D1" w:rsidRDefault="008C2A90" w:rsidP="008C2A90">
                  <w:pPr>
                    <w:jc w:val="left"/>
                    <w:rPr>
                      <w:rFonts w:ascii="Calibri" w:hAnsi="Calibri"/>
                    </w:rPr>
                  </w:pPr>
                  <w:r w:rsidRPr="00F043D1">
                    <w:rPr>
                      <w:rFonts w:ascii="Calibri" w:hAnsi="Calibri"/>
                    </w:rPr>
                    <w:t>Pacific Leadership Program</w:t>
                  </w:r>
                </w:p>
              </w:tc>
            </w:tr>
            <w:tr w:rsidR="009C7A2C" w:rsidRPr="008C2A90" w14:paraId="14D88BA3" w14:textId="77777777" w:rsidTr="00FB0282">
              <w:tc>
                <w:tcPr>
                  <w:tcW w:w="2189" w:type="dxa"/>
                  <w:tcBorders>
                    <w:bottom w:val="single" w:sz="4" w:space="0" w:color="auto"/>
                  </w:tcBorders>
                </w:tcPr>
                <w:p w14:paraId="169467EF" w14:textId="77777777" w:rsidR="008C2A90" w:rsidRPr="00F043D1" w:rsidRDefault="008C2A90" w:rsidP="008C2A90">
                  <w:pPr>
                    <w:rPr>
                      <w:rFonts w:ascii="Calibri" w:hAnsi="Calibri"/>
                    </w:rPr>
                  </w:pPr>
                  <w:r w:rsidRPr="00F043D1">
                    <w:rPr>
                      <w:rFonts w:ascii="Calibri" w:hAnsi="Calibri"/>
                    </w:rPr>
                    <w:t>Evan Naqiolevu</w:t>
                  </w:r>
                </w:p>
              </w:tc>
              <w:tc>
                <w:tcPr>
                  <w:tcW w:w="2801" w:type="dxa"/>
                  <w:tcBorders>
                    <w:bottom w:val="single" w:sz="4" w:space="0" w:color="auto"/>
                  </w:tcBorders>
                </w:tcPr>
                <w:p w14:paraId="5663F751" w14:textId="77777777" w:rsidR="008C2A90" w:rsidRPr="00F043D1" w:rsidRDefault="008C2A90" w:rsidP="008C2A90">
                  <w:pPr>
                    <w:jc w:val="left"/>
                    <w:rPr>
                      <w:rFonts w:ascii="Calibri" w:hAnsi="Calibri"/>
                    </w:rPr>
                  </w:pPr>
                  <w:r w:rsidRPr="00F043D1">
                    <w:rPr>
                      <w:rFonts w:ascii="Calibri" w:hAnsi="Calibri"/>
                    </w:rPr>
                    <w:t>Program Officer</w:t>
                  </w:r>
                </w:p>
              </w:tc>
              <w:tc>
                <w:tcPr>
                  <w:tcW w:w="3584" w:type="dxa"/>
                  <w:tcBorders>
                    <w:bottom w:val="single" w:sz="4" w:space="0" w:color="auto"/>
                  </w:tcBorders>
                </w:tcPr>
                <w:p w14:paraId="5413C0CE" w14:textId="77777777" w:rsidR="008C2A90" w:rsidRPr="00F043D1" w:rsidRDefault="008C2A90" w:rsidP="008C2A90">
                  <w:pPr>
                    <w:jc w:val="left"/>
                    <w:rPr>
                      <w:rFonts w:ascii="Calibri" w:hAnsi="Calibri"/>
                    </w:rPr>
                  </w:pPr>
                  <w:r w:rsidRPr="00F043D1">
                    <w:rPr>
                      <w:rFonts w:ascii="Calibri" w:hAnsi="Calibri"/>
                    </w:rPr>
                    <w:t>Pacific Leadership Program</w:t>
                  </w:r>
                </w:p>
              </w:tc>
            </w:tr>
            <w:tr w:rsidR="009C7A2C" w:rsidRPr="008C2A90" w14:paraId="6EB1474A" w14:textId="77777777" w:rsidTr="00FB0282">
              <w:tc>
                <w:tcPr>
                  <w:tcW w:w="2189" w:type="dxa"/>
                  <w:tcBorders>
                    <w:bottom w:val="single" w:sz="4" w:space="0" w:color="auto"/>
                  </w:tcBorders>
                </w:tcPr>
                <w:p w14:paraId="527195CD" w14:textId="77777777" w:rsidR="008C2A90" w:rsidRPr="00F043D1" w:rsidRDefault="008C2A90" w:rsidP="008C2A90">
                  <w:pPr>
                    <w:rPr>
                      <w:rFonts w:ascii="Calibri" w:hAnsi="Calibri"/>
                    </w:rPr>
                  </w:pPr>
                  <w:r w:rsidRPr="00F043D1">
                    <w:rPr>
                      <w:rFonts w:ascii="Calibri" w:hAnsi="Calibri"/>
                    </w:rPr>
                    <w:t>Laura Holbeck</w:t>
                  </w:r>
                </w:p>
              </w:tc>
              <w:tc>
                <w:tcPr>
                  <w:tcW w:w="2801" w:type="dxa"/>
                  <w:tcBorders>
                    <w:bottom w:val="single" w:sz="4" w:space="0" w:color="auto"/>
                  </w:tcBorders>
                </w:tcPr>
                <w:p w14:paraId="6A8CAC0B" w14:textId="77777777" w:rsidR="008C2A90" w:rsidRPr="00F043D1" w:rsidRDefault="008C2A90" w:rsidP="008C2A90">
                  <w:pPr>
                    <w:jc w:val="left"/>
                    <w:rPr>
                      <w:rFonts w:ascii="Calibri" w:hAnsi="Calibri"/>
                    </w:rPr>
                  </w:pPr>
                  <w:r w:rsidRPr="00F043D1">
                    <w:rPr>
                      <w:rFonts w:ascii="Calibri" w:hAnsi="Calibri"/>
                    </w:rPr>
                    <w:t>Program Performance and Quality Adviser</w:t>
                  </w:r>
                </w:p>
              </w:tc>
              <w:tc>
                <w:tcPr>
                  <w:tcW w:w="3584" w:type="dxa"/>
                  <w:tcBorders>
                    <w:bottom w:val="single" w:sz="4" w:space="0" w:color="auto"/>
                  </w:tcBorders>
                </w:tcPr>
                <w:p w14:paraId="31B10248" w14:textId="77777777" w:rsidR="008C2A90" w:rsidRPr="00F043D1" w:rsidRDefault="008C2A90" w:rsidP="008C2A90">
                  <w:pPr>
                    <w:jc w:val="left"/>
                    <w:rPr>
                      <w:rFonts w:ascii="Calibri" w:hAnsi="Calibri"/>
                    </w:rPr>
                  </w:pPr>
                  <w:r w:rsidRPr="00F043D1">
                    <w:rPr>
                      <w:rFonts w:ascii="Calibri" w:hAnsi="Calibri"/>
                    </w:rPr>
                    <w:t>Pacific Leadership Program</w:t>
                  </w:r>
                </w:p>
              </w:tc>
            </w:tr>
            <w:tr w:rsidR="009C7A2C" w:rsidRPr="008C2A90" w14:paraId="193B25F8" w14:textId="77777777" w:rsidTr="00FB0282">
              <w:tc>
                <w:tcPr>
                  <w:tcW w:w="2189" w:type="dxa"/>
                  <w:tcBorders>
                    <w:bottom w:val="single" w:sz="4" w:space="0" w:color="auto"/>
                  </w:tcBorders>
                </w:tcPr>
                <w:p w14:paraId="2208D87F" w14:textId="77777777" w:rsidR="008C2A90" w:rsidRPr="00F043D1" w:rsidRDefault="008C2A90" w:rsidP="008C2A90">
                  <w:pPr>
                    <w:rPr>
                      <w:rFonts w:ascii="Calibri" w:hAnsi="Calibri"/>
                    </w:rPr>
                  </w:pPr>
                  <w:r w:rsidRPr="00F043D1">
                    <w:rPr>
                      <w:rFonts w:ascii="Calibri" w:hAnsi="Calibri"/>
                    </w:rPr>
                    <w:t>Roshni Chand</w:t>
                  </w:r>
                </w:p>
              </w:tc>
              <w:tc>
                <w:tcPr>
                  <w:tcW w:w="2801" w:type="dxa"/>
                  <w:tcBorders>
                    <w:bottom w:val="single" w:sz="4" w:space="0" w:color="auto"/>
                  </w:tcBorders>
                </w:tcPr>
                <w:p w14:paraId="4866484B" w14:textId="77777777" w:rsidR="008C2A90" w:rsidRPr="00F043D1" w:rsidRDefault="008C2A90" w:rsidP="008C2A90">
                  <w:pPr>
                    <w:jc w:val="left"/>
                    <w:rPr>
                      <w:rFonts w:ascii="Calibri" w:hAnsi="Calibri"/>
                    </w:rPr>
                  </w:pPr>
                  <w:r w:rsidRPr="00F043D1">
                    <w:rPr>
                      <w:rFonts w:ascii="Calibri" w:hAnsi="Calibri"/>
                    </w:rPr>
                    <w:t>Finance and Admin Officer</w:t>
                  </w:r>
                </w:p>
              </w:tc>
              <w:tc>
                <w:tcPr>
                  <w:tcW w:w="3584" w:type="dxa"/>
                  <w:tcBorders>
                    <w:bottom w:val="single" w:sz="4" w:space="0" w:color="auto"/>
                  </w:tcBorders>
                </w:tcPr>
                <w:p w14:paraId="16F03C04" w14:textId="77777777" w:rsidR="008C2A90" w:rsidRPr="00F043D1" w:rsidRDefault="008C2A90" w:rsidP="008C2A90">
                  <w:pPr>
                    <w:jc w:val="left"/>
                    <w:rPr>
                      <w:rFonts w:ascii="Calibri" w:hAnsi="Calibri"/>
                    </w:rPr>
                  </w:pPr>
                  <w:r w:rsidRPr="00F043D1">
                    <w:rPr>
                      <w:rFonts w:ascii="Calibri" w:hAnsi="Calibri"/>
                    </w:rPr>
                    <w:t>Pacific Leadership Program</w:t>
                  </w:r>
                </w:p>
              </w:tc>
            </w:tr>
            <w:tr w:rsidR="009C7A2C" w:rsidRPr="008C2A90" w14:paraId="66ADCD5B" w14:textId="77777777" w:rsidTr="00FB0282">
              <w:tc>
                <w:tcPr>
                  <w:tcW w:w="2189" w:type="dxa"/>
                  <w:tcBorders>
                    <w:bottom w:val="single" w:sz="4" w:space="0" w:color="auto"/>
                  </w:tcBorders>
                </w:tcPr>
                <w:p w14:paraId="0D2C5DA2" w14:textId="77777777" w:rsidR="008C2A90" w:rsidRPr="00F043D1" w:rsidRDefault="008C2A90" w:rsidP="008C2A90">
                  <w:pPr>
                    <w:rPr>
                      <w:rFonts w:ascii="Calibri" w:hAnsi="Calibri"/>
                    </w:rPr>
                  </w:pPr>
                  <w:r w:rsidRPr="00F043D1">
                    <w:rPr>
                      <w:rFonts w:ascii="Calibri" w:hAnsi="Calibri"/>
                    </w:rPr>
                    <w:t>Agnes Rigamoto</w:t>
                  </w:r>
                </w:p>
              </w:tc>
              <w:tc>
                <w:tcPr>
                  <w:tcW w:w="2801" w:type="dxa"/>
                  <w:tcBorders>
                    <w:bottom w:val="single" w:sz="4" w:space="0" w:color="auto"/>
                  </w:tcBorders>
                </w:tcPr>
                <w:p w14:paraId="7A10CEB7" w14:textId="77777777" w:rsidR="008C2A90" w:rsidRPr="00F043D1" w:rsidRDefault="008C2A90" w:rsidP="008C2A90">
                  <w:pPr>
                    <w:jc w:val="left"/>
                    <w:rPr>
                      <w:rFonts w:ascii="Calibri" w:hAnsi="Calibri"/>
                    </w:rPr>
                  </w:pPr>
                  <w:r w:rsidRPr="00F043D1">
                    <w:rPr>
                      <w:rFonts w:ascii="Calibri" w:hAnsi="Calibri"/>
                    </w:rPr>
                    <w:t>Administrative Assistant</w:t>
                  </w:r>
                </w:p>
              </w:tc>
              <w:tc>
                <w:tcPr>
                  <w:tcW w:w="3584" w:type="dxa"/>
                  <w:tcBorders>
                    <w:bottom w:val="single" w:sz="4" w:space="0" w:color="auto"/>
                  </w:tcBorders>
                </w:tcPr>
                <w:p w14:paraId="71D72B87" w14:textId="77777777" w:rsidR="008C2A90" w:rsidRPr="00F043D1" w:rsidRDefault="008C2A90" w:rsidP="008C2A90">
                  <w:pPr>
                    <w:jc w:val="left"/>
                    <w:rPr>
                      <w:rFonts w:ascii="Calibri" w:hAnsi="Calibri"/>
                    </w:rPr>
                  </w:pPr>
                  <w:r w:rsidRPr="00F043D1">
                    <w:rPr>
                      <w:rFonts w:ascii="Calibri" w:hAnsi="Calibri"/>
                    </w:rPr>
                    <w:t>Pacific Leadership Program</w:t>
                  </w:r>
                </w:p>
              </w:tc>
            </w:tr>
            <w:tr w:rsidR="009C7A2C" w:rsidRPr="008C2A90" w14:paraId="45AE71DE" w14:textId="77777777" w:rsidTr="00FB0282">
              <w:tc>
                <w:tcPr>
                  <w:tcW w:w="2189" w:type="dxa"/>
                </w:tcPr>
                <w:p w14:paraId="34AC0AE1" w14:textId="77777777" w:rsidR="008C2A90" w:rsidRPr="00F043D1" w:rsidRDefault="008C2A90" w:rsidP="008C2A90">
                  <w:pPr>
                    <w:rPr>
                      <w:rFonts w:ascii="Calibri" w:hAnsi="Calibri"/>
                    </w:rPr>
                  </w:pPr>
                  <w:r w:rsidRPr="00F043D1">
                    <w:rPr>
                      <w:rFonts w:ascii="Calibri" w:hAnsi="Calibri"/>
                    </w:rPr>
                    <w:t>Pramol Basant</w:t>
                  </w:r>
                </w:p>
              </w:tc>
              <w:tc>
                <w:tcPr>
                  <w:tcW w:w="2801" w:type="dxa"/>
                </w:tcPr>
                <w:p w14:paraId="472A2604" w14:textId="77777777" w:rsidR="008C2A90" w:rsidRPr="00F043D1" w:rsidRDefault="008C2A90" w:rsidP="008C2A90">
                  <w:pPr>
                    <w:jc w:val="left"/>
                    <w:rPr>
                      <w:rFonts w:ascii="Calibri" w:hAnsi="Calibri"/>
                    </w:rPr>
                  </w:pPr>
                  <w:r w:rsidRPr="00F043D1">
                    <w:rPr>
                      <w:rFonts w:ascii="Calibri" w:hAnsi="Calibri"/>
                    </w:rPr>
                    <w:t>Finance Assistant</w:t>
                  </w:r>
                </w:p>
              </w:tc>
              <w:tc>
                <w:tcPr>
                  <w:tcW w:w="3584" w:type="dxa"/>
                </w:tcPr>
                <w:p w14:paraId="37013DD9" w14:textId="77777777" w:rsidR="008C2A90" w:rsidRPr="00F043D1" w:rsidRDefault="008C2A90" w:rsidP="008C2A90">
                  <w:pPr>
                    <w:jc w:val="left"/>
                    <w:rPr>
                      <w:rFonts w:ascii="Calibri" w:hAnsi="Calibri"/>
                    </w:rPr>
                  </w:pPr>
                  <w:r w:rsidRPr="00F043D1">
                    <w:rPr>
                      <w:rFonts w:ascii="Calibri" w:hAnsi="Calibri"/>
                    </w:rPr>
                    <w:t>Pacific Leadership Program</w:t>
                  </w:r>
                </w:p>
              </w:tc>
            </w:tr>
            <w:tr w:rsidR="009C7A2C" w:rsidRPr="008C2A90" w14:paraId="1F1275BF" w14:textId="77777777" w:rsidTr="00FB0282">
              <w:tc>
                <w:tcPr>
                  <w:tcW w:w="2189" w:type="dxa"/>
                  <w:tcBorders>
                    <w:bottom w:val="single" w:sz="4" w:space="0" w:color="auto"/>
                  </w:tcBorders>
                  <w:shd w:val="clear" w:color="auto" w:fill="auto"/>
                </w:tcPr>
                <w:p w14:paraId="505328CA" w14:textId="77777777" w:rsidR="008C2A90" w:rsidRPr="00F043D1" w:rsidRDefault="008C2A90" w:rsidP="008C2A90">
                  <w:pPr>
                    <w:rPr>
                      <w:rFonts w:ascii="Calibri" w:hAnsi="Calibri"/>
                    </w:rPr>
                  </w:pPr>
                  <w:r w:rsidRPr="00F043D1">
                    <w:rPr>
                      <w:rFonts w:ascii="Calibri" w:hAnsi="Calibri"/>
                    </w:rPr>
                    <w:t>Samantha Tuti</w:t>
                  </w:r>
                </w:p>
              </w:tc>
              <w:tc>
                <w:tcPr>
                  <w:tcW w:w="2801" w:type="dxa"/>
                  <w:tcBorders>
                    <w:bottom w:val="single" w:sz="4" w:space="0" w:color="auto"/>
                  </w:tcBorders>
                </w:tcPr>
                <w:p w14:paraId="2150B0BD" w14:textId="77777777" w:rsidR="008C2A90" w:rsidRPr="00F043D1" w:rsidRDefault="008C2A90" w:rsidP="008C2A90">
                  <w:pPr>
                    <w:jc w:val="left"/>
                    <w:rPr>
                      <w:rFonts w:ascii="Calibri" w:hAnsi="Calibri"/>
                    </w:rPr>
                  </w:pPr>
                  <w:r w:rsidRPr="00F043D1">
                    <w:rPr>
                      <w:rFonts w:ascii="Calibri" w:hAnsi="Calibri"/>
                    </w:rPr>
                    <w:t>Solomon Islands Country Rep</w:t>
                  </w:r>
                </w:p>
              </w:tc>
              <w:tc>
                <w:tcPr>
                  <w:tcW w:w="3584" w:type="dxa"/>
                  <w:tcBorders>
                    <w:bottom w:val="single" w:sz="4" w:space="0" w:color="auto"/>
                  </w:tcBorders>
                </w:tcPr>
                <w:p w14:paraId="2F9916F5" w14:textId="77777777" w:rsidR="008C2A90" w:rsidRPr="00F043D1" w:rsidRDefault="008C2A90" w:rsidP="008C2A90">
                  <w:pPr>
                    <w:jc w:val="left"/>
                    <w:rPr>
                      <w:rFonts w:ascii="Calibri" w:hAnsi="Calibri"/>
                    </w:rPr>
                  </w:pPr>
                  <w:r w:rsidRPr="00F043D1">
                    <w:rPr>
                      <w:rFonts w:ascii="Calibri" w:hAnsi="Calibri"/>
                    </w:rPr>
                    <w:t>Pacific Leadership Program</w:t>
                  </w:r>
                </w:p>
              </w:tc>
            </w:tr>
            <w:tr w:rsidR="009C7A2C" w:rsidRPr="008C2A90" w14:paraId="507A0081" w14:textId="77777777" w:rsidTr="00FB0282">
              <w:tc>
                <w:tcPr>
                  <w:tcW w:w="2189" w:type="dxa"/>
                  <w:tcBorders>
                    <w:bottom w:val="single" w:sz="4" w:space="0" w:color="auto"/>
                  </w:tcBorders>
                  <w:shd w:val="clear" w:color="auto" w:fill="auto"/>
                </w:tcPr>
                <w:p w14:paraId="223BD178" w14:textId="77777777" w:rsidR="008C2A90" w:rsidRPr="00F043D1" w:rsidRDefault="008C2A90" w:rsidP="008C2A90">
                  <w:pPr>
                    <w:rPr>
                      <w:rFonts w:ascii="Calibri" w:hAnsi="Calibri"/>
                    </w:rPr>
                  </w:pPr>
                  <w:r w:rsidRPr="00F043D1">
                    <w:rPr>
                      <w:rFonts w:ascii="Calibri" w:hAnsi="Calibri"/>
                    </w:rPr>
                    <w:t>Liliete Takau</w:t>
                  </w:r>
                </w:p>
              </w:tc>
              <w:tc>
                <w:tcPr>
                  <w:tcW w:w="2801" w:type="dxa"/>
                  <w:tcBorders>
                    <w:bottom w:val="single" w:sz="4" w:space="0" w:color="auto"/>
                  </w:tcBorders>
                </w:tcPr>
                <w:p w14:paraId="6BDF9B18" w14:textId="77777777" w:rsidR="008C2A90" w:rsidRPr="00F043D1" w:rsidRDefault="008C2A90" w:rsidP="008C2A90">
                  <w:pPr>
                    <w:jc w:val="left"/>
                    <w:rPr>
                      <w:rFonts w:ascii="Calibri" w:hAnsi="Calibri"/>
                    </w:rPr>
                  </w:pPr>
                  <w:r w:rsidRPr="00F043D1">
                    <w:rPr>
                      <w:rFonts w:ascii="Calibri" w:hAnsi="Calibri"/>
                    </w:rPr>
                    <w:t>Tonga Country Rep</w:t>
                  </w:r>
                </w:p>
              </w:tc>
              <w:tc>
                <w:tcPr>
                  <w:tcW w:w="3584" w:type="dxa"/>
                  <w:tcBorders>
                    <w:bottom w:val="single" w:sz="4" w:space="0" w:color="auto"/>
                  </w:tcBorders>
                </w:tcPr>
                <w:p w14:paraId="7C4DD1E4" w14:textId="77777777" w:rsidR="008C2A90" w:rsidRPr="00F043D1" w:rsidRDefault="008C2A90" w:rsidP="008C2A90">
                  <w:pPr>
                    <w:jc w:val="left"/>
                    <w:rPr>
                      <w:rFonts w:ascii="Calibri" w:hAnsi="Calibri"/>
                    </w:rPr>
                  </w:pPr>
                  <w:r w:rsidRPr="00F043D1">
                    <w:rPr>
                      <w:rFonts w:ascii="Calibri" w:hAnsi="Calibri"/>
                    </w:rPr>
                    <w:t>Pacific Leadership Program</w:t>
                  </w:r>
                </w:p>
              </w:tc>
            </w:tr>
            <w:tr w:rsidR="009C7A2C" w:rsidRPr="008C2A90" w14:paraId="1AB14BA5" w14:textId="77777777" w:rsidTr="00FB0282">
              <w:tc>
                <w:tcPr>
                  <w:tcW w:w="2189" w:type="dxa"/>
                  <w:tcBorders>
                    <w:bottom w:val="single" w:sz="4" w:space="0" w:color="auto"/>
                  </w:tcBorders>
                  <w:shd w:val="clear" w:color="auto" w:fill="auto"/>
                </w:tcPr>
                <w:p w14:paraId="73722542" w14:textId="77777777" w:rsidR="008C2A90" w:rsidRPr="00F043D1" w:rsidRDefault="008C2A90" w:rsidP="008C2A90">
                  <w:pPr>
                    <w:rPr>
                      <w:rFonts w:ascii="Calibri" w:hAnsi="Calibri"/>
                    </w:rPr>
                  </w:pPr>
                  <w:r w:rsidRPr="00F043D1">
                    <w:rPr>
                      <w:rFonts w:ascii="Calibri" w:hAnsi="Calibri"/>
                    </w:rPr>
                    <w:t>Nelly Willy</w:t>
                  </w:r>
                </w:p>
              </w:tc>
              <w:tc>
                <w:tcPr>
                  <w:tcW w:w="2801" w:type="dxa"/>
                  <w:tcBorders>
                    <w:bottom w:val="single" w:sz="4" w:space="0" w:color="auto"/>
                  </w:tcBorders>
                </w:tcPr>
                <w:p w14:paraId="7D0C515B" w14:textId="77777777" w:rsidR="008C2A90" w:rsidRPr="00F043D1" w:rsidRDefault="008C2A90" w:rsidP="008C2A90">
                  <w:pPr>
                    <w:jc w:val="left"/>
                    <w:rPr>
                      <w:rFonts w:ascii="Calibri" w:hAnsi="Calibri"/>
                    </w:rPr>
                  </w:pPr>
                  <w:r w:rsidRPr="00F043D1">
                    <w:rPr>
                      <w:rFonts w:ascii="Calibri" w:hAnsi="Calibri"/>
                    </w:rPr>
                    <w:t>Vanuatu Country Rep</w:t>
                  </w:r>
                </w:p>
              </w:tc>
              <w:tc>
                <w:tcPr>
                  <w:tcW w:w="3584" w:type="dxa"/>
                  <w:tcBorders>
                    <w:bottom w:val="single" w:sz="4" w:space="0" w:color="auto"/>
                  </w:tcBorders>
                </w:tcPr>
                <w:p w14:paraId="5C99FDFA" w14:textId="77777777" w:rsidR="008C2A90" w:rsidRPr="00F043D1" w:rsidRDefault="008C2A90" w:rsidP="008C2A90">
                  <w:pPr>
                    <w:jc w:val="left"/>
                    <w:rPr>
                      <w:rFonts w:ascii="Calibri" w:hAnsi="Calibri"/>
                    </w:rPr>
                  </w:pPr>
                  <w:r w:rsidRPr="00F043D1">
                    <w:rPr>
                      <w:rFonts w:ascii="Calibri" w:hAnsi="Calibri"/>
                    </w:rPr>
                    <w:t>Pacific Leadership Program</w:t>
                  </w:r>
                </w:p>
              </w:tc>
            </w:tr>
            <w:tr w:rsidR="009C7A2C" w:rsidRPr="008C2A90" w14:paraId="51A1493B" w14:textId="77777777" w:rsidTr="00FB0282">
              <w:tc>
                <w:tcPr>
                  <w:tcW w:w="2189" w:type="dxa"/>
                  <w:tcBorders>
                    <w:bottom w:val="single" w:sz="4" w:space="0" w:color="auto"/>
                  </w:tcBorders>
                  <w:shd w:val="clear" w:color="auto" w:fill="auto"/>
                </w:tcPr>
                <w:p w14:paraId="1EAFBB08" w14:textId="77777777" w:rsidR="008C2A90" w:rsidRPr="00F043D1" w:rsidRDefault="008C2A90" w:rsidP="008C2A90">
                  <w:pPr>
                    <w:rPr>
                      <w:rFonts w:ascii="Calibri" w:hAnsi="Calibri"/>
                    </w:rPr>
                  </w:pPr>
                  <w:r w:rsidRPr="00F043D1">
                    <w:rPr>
                      <w:rFonts w:ascii="Calibri" w:hAnsi="Calibri"/>
                    </w:rPr>
                    <w:t>Potoa’e Roberts-Aiafi</w:t>
                  </w:r>
                </w:p>
              </w:tc>
              <w:tc>
                <w:tcPr>
                  <w:tcW w:w="2801" w:type="dxa"/>
                  <w:tcBorders>
                    <w:bottom w:val="single" w:sz="4" w:space="0" w:color="auto"/>
                  </w:tcBorders>
                </w:tcPr>
                <w:p w14:paraId="56A6DD53" w14:textId="77777777" w:rsidR="008C2A90" w:rsidRPr="00F043D1" w:rsidRDefault="008C2A90" w:rsidP="008C2A90">
                  <w:pPr>
                    <w:jc w:val="left"/>
                    <w:rPr>
                      <w:rFonts w:ascii="Calibri" w:hAnsi="Calibri"/>
                    </w:rPr>
                  </w:pPr>
                  <w:r w:rsidRPr="00F043D1">
                    <w:rPr>
                      <w:rFonts w:ascii="Calibri" w:hAnsi="Calibri"/>
                    </w:rPr>
                    <w:t>Samoa Country Rep</w:t>
                  </w:r>
                </w:p>
              </w:tc>
              <w:tc>
                <w:tcPr>
                  <w:tcW w:w="3584" w:type="dxa"/>
                  <w:tcBorders>
                    <w:bottom w:val="single" w:sz="4" w:space="0" w:color="auto"/>
                  </w:tcBorders>
                </w:tcPr>
                <w:p w14:paraId="5A859490" w14:textId="77777777" w:rsidR="008C2A90" w:rsidRPr="00F043D1" w:rsidRDefault="008C2A90" w:rsidP="008C2A90">
                  <w:pPr>
                    <w:jc w:val="left"/>
                    <w:rPr>
                      <w:rFonts w:ascii="Calibri" w:hAnsi="Calibri"/>
                    </w:rPr>
                  </w:pPr>
                  <w:r w:rsidRPr="00F043D1">
                    <w:rPr>
                      <w:rFonts w:ascii="Calibri" w:hAnsi="Calibri"/>
                    </w:rPr>
                    <w:t>Pacific Leadership Program</w:t>
                  </w:r>
                </w:p>
              </w:tc>
            </w:tr>
            <w:tr w:rsidR="009C7A2C" w:rsidRPr="008C2A90" w14:paraId="19FF0F31" w14:textId="77777777" w:rsidTr="00FB0282">
              <w:tc>
                <w:tcPr>
                  <w:tcW w:w="2189" w:type="dxa"/>
                </w:tcPr>
                <w:p w14:paraId="33832C02" w14:textId="77777777" w:rsidR="008C2A90" w:rsidRPr="00F043D1" w:rsidRDefault="008C2A90" w:rsidP="008C2A90">
                  <w:pPr>
                    <w:rPr>
                      <w:rFonts w:ascii="Calibri" w:hAnsi="Calibri"/>
                    </w:rPr>
                  </w:pPr>
                  <w:r w:rsidRPr="00F043D1">
                    <w:rPr>
                      <w:rFonts w:ascii="Calibri" w:hAnsi="Calibri"/>
                    </w:rPr>
                    <w:t>Lemalu Sina Retzlaff</w:t>
                  </w:r>
                </w:p>
              </w:tc>
              <w:tc>
                <w:tcPr>
                  <w:tcW w:w="2801" w:type="dxa"/>
                </w:tcPr>
                <w:p w14:paraId="4A3C1ED2" w14:textId="77777777" w:rsidR="008C2A90" w:rsidRPr="00F043D1" w:rsidRDefault="008C2A90" w:rsidP="008C2A90">
                  <w:pPr>
                    <w:jc w:val="left"/>
                    <w:rPr>
                      <w:rFonts w:ascii="Calibri" w:hAnsi="Calibri"/>
                    </w:rPr>
                  </w:pPr>
                  <w:r w:rsidRPr="00F043D1">
                    <w:rPr>
                      <w:rFonts w:ascii="Calibri" w:hAnsi="Calibri"/>
                    </w:rPr>
                    <w:t>Former Samoa Country Rep</w:t>
                  </w:r>
                </w:p>
              </w:tc>
              <w:tc>
                <w:tcPr>
                  <w:tcW w:w="3584" w:type="dxa"/>
                </w:tcPr>
                <w:p w14:paraId="7F772CCF" w14:textId="77777777" w:rsidR="008C2A90" w:rsidRPr="00F043D1" w:rsidRDefault="008C2A90" w:rsidP="008C2A90">
                  <w:pPr>
                    <w:jc w:val="left"/>
                    <w:rPr>
                      <w:rFonts w:ascii="Calibri" w:hAnsi="Calibri"/>
                    </w:rPr>
                  </w:pPr>
                  <w:r w:rsidRPr="00F043D1">
                    <w:rPr>
                      <w:rFonts w:ascii="Calibri" w:hAnsi="Calibri"/>
                    </w:rPr>
                    <w:t>Pacific Leadership Program</w:t>
                  </w:r>
                </w:p>
              </w:tc>
            </w:tr>
            <w:tr w:rsidR="009C7A2C" w:rsidRPr="008C2A90" w14:paraId="425C00E3" w14:textId="77777777" w:rsidTr="00FB0282">
              <w:tc>
                <w:tcPr>
                  <w:tcW w:w="2189" w:type="dxa"/>
                </w:tcPr>
                <w:p w14:paraId="68F6865E" w14:textId="77777777" w:rsidR="008C2A90" w:rsidRPr="00F043D1" w:rsidRDefault="008C2A90" w:rsidP="008C2A90">
                  <w:pPr>
                    <w:rPr>
                      <w:rFonts w:ascii="Calibri" w:hAnsi="Calibri"/>
                    </w:rPr>
                  </w:pPr>
                  <w:r w:rsidRPr="00F043D1">
                    <w:rPr>
                      <w:rFonts w:ascii="Calibri" w:hAnsi="Calibri"/>
                    </w:rPr>
                    <w:t>Louise Morrison</w:t>
                  </w:r>
                </w:p>
              </w:tc>
              <w:tc>
                <w:tcPr>
                  <w:tcW w:w="2801" w:type="dxa"/>
                </w:tcPr>
                <w:p w14:paraId="548DAD7F" w14:textId="77777777" w:rsidR="008C2A90" w:rsidRPr="00F043D1" w:rsidRDefault="008C2A90" w:rsidP="008C2A90">
                  <w:pPr>
                    <w:jc w:val="left"/>
                    <w:rPr>
                      <w:rFonts w:ascii="Calibri" w:hAnsi="Calibri"/>
                    </w:rPr>
                  </w:pPr>
                  <w:r w:rsidRPr="00F043D1">
                    <w:rPr>
                      <w:rFonts w:ascii="Calibri" w:hAnsi="Calibri"/>
                    </w:rPr>
                    <w:t>Contractor Representative</w:t>
                  </w:r>
                </w:p>
              </w:tc>
              <w:tc>
                <w:tcPr>
                  <w:tcW w:w="3584" w:type="dxa"/>
                </w:tcPr>
                <w:p w14:paraId="5A45C9CF" w14:textId="77777777" w:rsidR="008C2A90" w:rsidRPr="00F043D1" w:rsidRDefault="008C2A90" w:rsidP="008C2A90">
                  <w:pPr>
                    <w:jc w:val="left"/>
                    <w:rPr>
                      <w:rFonts w:ascii="Calibri" w:hAnsi="Calibri"/>
                    </w:rPr>
                  </w:pPr>
                  <w:r w:rsidRPr="00F043D1">
                    <w:rPr>
                      <w:rFonts w:ascii="Calibri" w:hAnsi="Calibri"/>
                    </w:rPr>
                    <w:t>Cardno</w:t>
                  </w:r>
                </w:p>
              </w:tc>
            </w:tr>
            <w:tr w:rsidR="009C7A2C" w:rsidRPr="008C2A90" w14:paraId="343D6600" w14:textId="77777777" w:rsidTr="00FB0282">
              <w:tc>
                <w:tcPr>
                  <w:tcW w:w="2189" w:type="dxa"/>
                </w:tcPr>
                <w:p w14:paraId="5E9AD383" w14:textId="77777777" w:rsidR="008C2A90" w:rsidRPr="00F043D1" w:rsidRDefault="008C2A90" w:rsidP="008C2A90">
                  <w:pPr>
                    <w:rPr>
                      <w:rFonts w:ascii="Calibri" w:hAnsi="Calibri"/>
                    </w:rPr>
                  </w:pPr>
                  <w:r w:rsidRPr="00F043D1">
                    <w:rPr>
                      <w:rFonts w:ascii="Calibri" w:hAnsi="Calibri"/>
                    </w:rPr>
                    <w:t>Sandra Tarte</w:t>
                  </w:r>
                </w:p>
              </w:tc>
              <w:tc>
                <w:tcPr>
                  <w:tcW w:w="2801" w:type="dxa"/>
                </w:tcPr>
                <w:p w14:paraId="74B13AA1" w14:textId="77777777" w:rsidR="008C2A90" w:rsidRPr="00F043D1" w:rsidRDefault="008C2A90" w:rsidP="008C2A90">
                  <w:pPr>
                    <w:jc w:val="left"/>
                    <w:rPr>
                      <w:rFonts w:ascii="Calibri" w:hAnsi="Calibri"/>
                    </w:rPr>
                  </w:pPr>
                  <w:r w:rsidRPr="00F043D1">
                    <w:rPr>
                      <w:rFonts w:ascii="Calibri" w:hAnsi="Calibri"/>
                    </w:rPr>
                    <w:t>Board Member</w:t>
                  </w:r>
                </w:p>
              </w:tc>
              <w:tc>
                <w:tcPr>
                  <w:tcW w:w="3584" w:type="dxa"/>
                </w:tcPr>
                <w:p w14:paraId="4E231DDC" w14:textId="77777777" w:rsidR="008C2A90" w:rsidRPr="00F043D1" w:rsidRDefault="008C2A90" w:rsidP="008C2A90">
                  <w:pPr>
                    <w:jc w:val="left"/>
                    <w:rPr>
                      <w:rFonts w:ascii="Calibri" w:hAnsi="Calibri"/>
                    </w:rPr>
                  </w:pPr>
                  <w:r w:rsidRPr="00F043D1">
                    <w:rPr>
                      <w:rFonts w:ascii="Calibri" w:hAnsi="Calibri"/>
                    </w:rPr>
                    <w:t>PLP Advisory Board</w:t>
                  </w:r>
                </w:p>
              </w:tc>
            </w:tr>
            <w:tr w:rsidR="009C7A2C" w:rsidRPr="008C2A90" w14:paraId="5A0E0E3F" w14:textId="77777777" w:rsidTr="00FB0282">
              <w:tc>
                <w:tcPr>
                  <w:tcW w:w="2189" w:type="dxa"/>
                </w:tcPr>
                <w:p w14:paraId="327EE91D" w14:textId="77777777" w:rsidR="008C2A90" w:rsidRPr="00F043D1" w:rsidRDefault="008C2A90" w:rsidP="008C2A90">
                  <w:pPr>
                    <w:rPr>
                      <w:rFonts w:ascii="Calibri" w:hAnsi="Calibri"/>
                    </w:rPr>
                  </w:pPr>
                  <w:r w:rsidRPr="00F043D1">
                    <w:rPr>
                      <w:rFonts w:ascii="Calibri" w:hAnsi="Calibri"/>
                      <w:lang w:val="en-US"/>
                    </w:rPr>
                    <w:t>Seta Macanawai</w:t>
                  </w:r>
                </w:p>
              </w:tc>
              <w:tc>
                <w:tcPr>
                  <w:tcW w:w="2801" w:type="dxa"/>
                </w:tcPr>
                <w:p w14:paraId="49C1D294" w14:textId="77777777" w:rsidR="008C2A90" w:rsidRPr="00F043D1" w:rsidRDefault="008C2A90" w:rsidP="008C2A90">
                  <w:pPr>
                    <w:jc w:val="left"/>
                    <w:rPr>
                      <w:rFonts w:ascii="Calibri" w:hAnsi="Calibri"/>
                    </w:rPr>
                  </w:pPr>
                  <w:r w:rsidRPr="00F043D1">
                    <w:rPr>
                      <w:rFonts w:ascii="Calibri" w:hAnsi="Calibri"/>
                    </w:rPr>
                    <w:t>Board Member</w:t>
                  </w:r>
                </w:p>
              </w:tc>
              <w:tc>
                <w:tcPr>
                  <w:tcW w:w="3584" w:type="dxa"/>
                </w:tcPr>
                <w:p w14:paraId="2BB857D3" w14:textId="77777777" w:rsidR="008C2A90" w:rsidRPr="00F043D1" w:rsidRDefault="008C2A90" w:rsidP="008C2A90">
                  <w:pPr>
                    <w:jc w:val="left"/>
                    <w:rPr>
                      <w:rFonts w:ascii="Calibri" w:hAnsi="Calibri"/>
                    </w:rPr>
                  </w:pPr>
                  <w:r w:rsidRPr="00F043D1">
                    <w:rPr>
                      <w:rFonts w:ascii="Calibri" w:hAnsi="Calibri"/>
                    </w:rPr>
                    <w:t>PLP Advisory Board</w:t>
                  </w:r>
                </w:p>
              </w:tc>
            </w:tr>
            <w:tr w:rsidR="008C2A90" w:rsidRPr="008C2A90" w14:paraId="4906EC75" w14:textId="77777777" w:rsidTr="008C2A90">
              <w:tc>
                <w:tcPr>
                  <w:tcW w:w="8574" w:type="dxa"/>
                  <w:gridSpan w:val="3"/>
                  <w:tcBorders>
                    <w:left w:val="nil"/>
                    <w:right w:val="nil"/>
                  </w:tcBorders>
                </w:tcPr>
                <w:p w14:paraId="26A6BD61" w14:textId="77777777" w:rsidR="00945729" w:rsidRDefault="00945729" w:rsidP="008C2A90">
                  <w:pPr>
                    <w:jc w:val="left"/>
                    <w:rPr>
                      <w:rFonts w:ascii="Calibri" w:hAnsi="Calibri"/>
                      <w:b/>
                    </w:rPr>
                  </w:pPr>
                </w:p>
                <w:p w14:paraId="6845637F" w14:textId="77777777" w:rsidR="008C2A90" w:rsidRPr="00FB0282" w:rsidRDefault="008C2A90" w:rsidP="008C2A90">
                  <w:pPr>
                    <w:jc w:val="left"/>
                    <w:rPr>
                      <w:rFonts w:ascii="Calibri" w:hAnsi="Calibri"/>
                      <w:b/>
                    </w:rPr>
                  </w:pPr>
                  <w:r w:rsidRPr="00FB0282">
                    <w:rPr>
                      <w:rFonts w:ascii="Calibri" w:hAnsi="Calibri"/>
                      <w:b/>
                    </w:rPr>
                    <w:t>PLP Partners</w:t>
                  </w:r>
                </w:p>
              </w:tc>
            </w:tr>
            <w:tr w:rsidR="009C7A2C" w:rsidRPr="008C2A90" w14:paraId="47D2C4BD" w14:textId="77777777" w:rsidTr="00FB0282">
              <w:tc>
                <w:tcPr>
                  <w:tcW w:w="2189" w:type="dxa"/>
                </w:tcPr>
                <w:p w14:paraId="29AA1EDE" w14:textId="77777777" w:rsidR="008C2A90" w:rsidRPr="00F043D1" w:rsidRDefault="008C2A90" w:rsidP="008C2A90">
                  <w:pPr>
                    <w:rPr>
                      <w:rFonts w:ascii="Calibri" w:hAnsi="Calibri"/>
                    </w:rPr>
                  </w:pPr>
                  <w:r w:rsidRPr="00F043D1">
                    <w:rPr>
                      <w:rFonts w:ascii="Calibri" w:hAnsi="Calibri"/>
                    </w:rPr>
                    <w:t>Lesley Hoatson</w:t>
                  </w:r>
                </w:p>
              </w:tc>
              <w:tc>
                <w:tcPr>
                  <w:tcW w:w="2801" w:type="dxa"/>
                </w:tcPr>
                <w:p w14:paraId="7E6F06BB" w14:textId="77777777" w:rsidR="008C2A90" w:rsidRPr="00F043D1" w:rsidRDefault="008C2A90" w:rsidP="008C2A90">
                  <w:pPr>
                    <w:jc w:val="left"/>
                    <w:rPr>
                      <w:rFonts w:ascii="Calibri" w:hAnsi="Calibri"/>
                    </w:rPr>
                  </w:pPr>
                  <w:r w:rsidRPr="00F043D1">
                    <w:rPr>
                      <w:rFonts w:ascii="Calibri" w:hAnsi="Calibri"/>
                    </w:rPr>
                    <w:t>Action Researcher</w:t>
                  </w:r>
                </w:p>
              </w:tc>
              <w:tc>
                <w:tcPr>
                  <w:tcW w:w="3584" w:type="dxa"/>
                </w:tcPr>
                <w:p w14:paraId="04623D35" w14:textId="77777777" w:rsidR="008C2A90" w:rsidRPr="00F043D1" w:rsidRDefault="008C2A90" w:rsidP="008C2A90">
                  <w:pPr>
                    <w:jc w:val="left"/>
                    <w:rPr>
                      <w:rFonts w:ascii="Calibri" w:hAnsi="Calibri"/>
                    </w:rPr>
                  </w:pPr>
                  <w:r w:rsidRPr="00F043D1">
                    <w:rPr>
                      <w:rFonts w:ascii="Calibri" w:hAnsi="Calibri"/>
                    </w:rPr>
                    <w:t>Consultant</w:t>
                  </w:r>
                </w:p>
              </w:tc>
            </w:tr>
            <w:tr w:rsidR="009C7A2C" w:rsidRPr="008C2A90" w14:paraId="790ACC3E" w14:textId="77777777" w:rsidTr="00FB0282">
              <w:tc>
                <w:tcPr>
                  <w:tcW w:w="2189" w:type="dxa"/>
                </w:tcPr>
                <w:p w14:paraId="7BD2601F" w14:textId="77777777" w:rsidR="008C2A90" w:rsidRPr="00F043D1" w:rsidRDefault="008C2A90" w:rsidP="008C2A90">
                  <w:pPr>
                    <w:rPr>
                      <w:rFonts w:ascii="Calibri" w:hAnsi="Calibri"/>
                    </w:rPr>
                  </w:pPr>
                  <w:r w:rsidRPr="00F043D1">
                    <w:rPr>
                      <w:rFonts w:ascii="Calibri" w:hAnsi="Calibri"/>
                    </w:rPr>
                    <w:t>Steve Hogg</w:t>
                  </w:r>
                </w:p>
              </w:tc>
              <w:tc>
                <w:tcPr>
                  <w:tcW w:w="2801" w:type="dxa"/>
                  <w:shd w:val="clear" w:color="auto" w:fill="auto"/>
                </w:tcPr>
                <w:p w14:paraId="50BE80D1" w14:textId="77777777" w:rsidR="008C2A90" w:rsidRPr="00F043D1" w:rsidRDefault="008C2A90" w:rsidP="008C2A90">
                  <w:pPr>
                    <w:jc w:val="left"/>
                    <w:rPr>
                      <w:rFonts w:ascii="Calibri" w:hAnsi="Calibri"/>
                    </w:rPr>
                  </w:pPr>
                  <w:r w:rsidRPr="00F043D1">
                    <w:rPr>
                      <w:rFonts w:ascii="Calibri" w:hAnsi="Calibri"/>
                    </w:rPr>
                    <w:t xml:space="preserve">Associate Professor </w:t>
                  </w:r>
                </w:p>
              </w:tc>
              <w:tc>
                <w:tcPr>
                  <w:tcW w:w="3584" w:type="dxa"/>
                </w:tcPr>
                <w:p w14:paraId="3760BFFF" w14:textId="77777777" w:rsidR="008C2A90" w:rsidRPr="00F043D1" w:rsidRDefault="008C2A90" w:rsidP="008C2A90">
                  <w:pPr>
                    <w:jc w:val="left"/>
                    <w:rPr>
                      <w:rFonts w:ascii="Calibri" w:hAnsi="Calibri"/>
                    </w:rPr>
                  </w:pPr>
                  <w:r w:rsidRPr="00F043D1">
                    <w:rPr>
                      <w:rFonts w:ascii="Calibri" w:hAnsi="Calibri"/>
                    </w:rPr>
                    <w:t>ANU College of Asia and the Pacific</w:t>
                  </w:r>
                </w:p>
                <w:p w14:paraId="15B26CF6" w14:textId="77777777" w:rsidR="008C2A90" w:rsidRPr="00F043D1" w:rsidRDefault="008C2A90" w:rsidP="008C2A90">
                  <w:pPr>
                    <w:jc w:val="left"/>
                    <w:rPr>
                      <w:rFonts w:ascii="Calibri" w:hAnsi="Calibri"/>
                    </w:rPr>
                  </w:pPr>
                </w:p>
              </w:tc>
            </w:tr>
            <w:tr w:rsidR="009C7A2C" w:rsidRPr="008C2A90" w14:paraId="39168C06" w14:textId="77777777" w:rsidTr="00FB0282">
              <w:tc>
                <w:tcPr>
                  <w:tcW w:w="2189" w:type="dxa"/>
                </w:tcPr>
                <w:p w14:paraId="2E4A4D2D" w14:textId="77777777" w:rsidR="008C2A90" w:rsidRPr="00F043D1" w:rsidRDefault="008C2A90" w:rsidP="008C2A90">
                  <w:pPr>
                    <w:rPr>
                      <w:rFonts w:ascii="Calibri" w:hAnsi="Calibri"/>
                    </w:rPr>
                  </w:pPr>
                  <w:r w:rsidRPr="00F043D1">
                    <w:rPr>
                      <w:rFonts w:ascii="Calibri" w:hAnsi="Calibri"/>
                    </w:rPr>
                    <w:t>Nicole Haley</w:t>
                  </w:r>
                </w:p>
              </w:tc>
              <w:tc>
                <w:tcPr>
                  <w:tcW w:w="2801" w:type="dxa"/>
                </w:tcPr>
                <w:p w14:paraId="737F8B7D" w14:textId="77777777" w:rsidR="008C2A90" w:rsidRPr="00F043D1" w:rsidRDefault="008C2A90" w:rsidP="008C2A90">
                  <w:pPr>
                    <w:jc w:val="left"/>
                    <w:rPr>
                      <w:rFonts w:ascii="Calibri" w:hAnsi="Calibri"/>
                    </w:rPr>
                  </w:pPr>
                  <w:r w:rsidRPr="00F043D1">
                    <w:rPr>
                      <w:rFonts w:ascii="Calibri" w:hAnsi="Calibri"/>
                    </w:rPr>
                    <w:t>Program Convenor</w:t>
                  </w:r>
                </w:p>
              </w:tc>
              <w:tc>
                <w:tcPr>
                  <w:tcW w:w="3584" w:type="dxa"/>
                </w:tcPr>
                <w:p w14:paraId="7F1739EF" w14:textId="77777777" w:rsidR="008C2A90" w:rsidRPr="00F043D1" w:rsidRDefault="008C2A90" w:rsidP="008C2A90">
                  <w:pPr>
                    <w:jc w:val="left"/>
                    <w:rPr>
                      <w:rFonts w:ascii="Calibri" w:hAnsi="Calibri"/>
                    </w:rPr>
                  </w:pPr>
                  <w:r w:rsidRPr="00F043D1">
                    <w:rPr>
                      <w:rFonts w:ascii="Calibri" w:hAnsi="Calibri"/>
                    </w:rPr>
                    <w:t>ANU State Society and Governance in Melanesia (SSGM)</w:t>
                  </w:r>
                </w:p>
              </w:tc>
            </w:tr>
            <w:tr w:rsidR="009C7A2C" w:rsidRPr="008C2A90" w14:paraId="4D942922" w14:textId="77777777" w:rsidTr="00FB0282">
              <w:tc>
                <w:tcPr>
                  <w:tcW w:w="2189" w:type="dxa"/>
                </w:tcPr>
                <w:p w14:paraId="310681F2" w14:textId="77777777" w:rsidR="008C2A90" w:rsidRPr="00F043D1" w:rsidRDefault="008C2A90" w:rsidP="008C2A90">
                  <w:pPr>
                    <w:rPr>
                      <w:rFonts w:ascii="Calibri" w:hAnsi="Calibri"/>
                    </w:rPr>
                  </w:pPr>
                  <w:r w:rsidRPr="00F043D1">
                    <w:rPr>
                      <w:rFonts w:ascii="Calibri" w:hAnsi="Calibri"/>
                    </w:rPr>
                    <w:t>Julien Barbara</w:t>
                  </w:r>
                </w:p>
              </w:tc>
              <w:tc>
                <w:tcPr>
                  <w:tcW w:w="2801" w:type="dxa"/>
                </w:tcPr>
                <w:p w14:paraId="61B3EA7E" w14:textId="77777777" w:rsidR="008C2A90" w:rsidRPr="00F043D1" w:rsidRDefault="008C2A90" w:rsidP="008C2A90">
                  <w:pPr>
                    <w:jc w:val="left"/>
                    <w:rPr>
                      <w:rFonts w:ascii="Calibri" w:hAnsi="Calibri"/>
                    </w:rPr>
                  </w:pPr>
                  <w:r w:rsidRPr="00F043D1">
                    <w:rPr>
                      <w:rFonts w:ascii="Calibri" w:hAnsi="Calibri"/>
                    </w:rPr>
                    <w:t>Fellow</w:t>
                  </w:r>
                </w:p>
              </w:tc>
              <w:tc>
                <w:tcPr>
                  <w:tcW w:w="3584" w:type="dxa"/>
                </w:tcPr>
                <w:p w14:paraId="4E37CBD9" w14:textId="77777777" w:rsidR="008C2A90" w:rsidRPr="00F043D1" w:rsidRDefault="008C2A90" w:rsidP="008C2A90">
                  <w:pPr>
                    <w:jc w:val="left"/>
                    <w:rPr>
                      <w:rFonts w:ascii="Calibri" w:hAnsi="Calibri"/>
                    </w:rPr>
                  </w:pPr>
                  <w:r w:rsidRPr="00F043D1">
                    <w:rPr>
                      <w:rFonts w:ascii="Calibri" w:hAnsi="Calibri"/>
                    </w:rPr>
                    <w:t>ANU State Society and Governance in Melanesia (SSGM)</w:t>
                  </w:r>
                </w:p>
              </w:tc>
            </w:tr>
            <w:tr w:rsidR="009C7A2C" w:rsidRPr="008C2A90" w14:paraId="2FD17394" w14:textId="77777777" w:rsidTr="00FB0282">
              <w:tc>
                <w:tcPr>
                  <w:tcW w:w="2189" w:type="dxa"/>
                </w:tcPr>
                <w:p w14:paraId="47FAED5F" w14:textId="77777777" w:rsidR="008C2A90" w:rsidRPr="00F043D1" w:rsidRDefault="008C2A90" w:rsidP="008C2A90">
                  <w:pPr>
                    <w:rPr>
                      <w:rFonts w:ascii="Calibri" w:hAnsi="Calibri"/>
                    </w:rPr>
                  </w:pPr>
                  <w:r w:rsidRPr="00F043D1">
                    <w:rPr>
                      <w:rFonts w:ascii="Calibri" w:hAnsi="Calibri"/>
                    </w:rPr>
                    <w:t>Andrew Foran</w:t>
                  </w:r>
                </w:p>
              </w:tc>
              <w:tc>
                <w:tcPr>
                  <w:tcW w:w="2801" w:type="dxa"/>
                </w:tcPr>
                <w:p w14:paraId="00711E32" w14:textId="77777777" w:rsidR="008C2A90" w:rsidRPr="00F043D1" w:rsidRDefault="008C2A90" w:rsidP="008C2A90">
                  <w:pPr>
                    <w:jc w:val="left"/>
                    <w:rPr>
                      <w:rFonts w:ascii="Calibri" w:hAnsi="Calibri"/>
                    </w:rPr>
                  </w:pPr>
                  <w:r w:rsidRPr="00F043D1">
                    <w:rPr>
                      <w:rFonts w:ascii="Calibri" w:hAnsi="Calibri"/>
                    </w:rPr>
                    <w:t>Director</w:t>
                  </w:r>
                </w:p>
              </w:tc>
              <w:tc>
                <w:tcPr>
                  <w:tcW w:w="3584" w:type="dxa"/>
                </w:tcPr>
                <w:p w14:paraId="0EA01EFC" w14:textId="77777777" w:rsidR="008C2A90" w:rsidRPr="00F043D1" w:rsidRDefault="008C2A90" w:rsidP="008C2A90">
                  <w:pPr>
                    <w:jc w:val="left"/>
                    <w:rPr>
                      <w:rFonts w:ascii="Calibri" w:hAnsi="Calibri"/>
                    </w:rPr>
                  </w:pPr>
                  <w:r w:rsidRPr="00F043D1">
                    <w:rPr>
                      <w:rFonts w:ascii="Calibri" w:hAnsi="Calibri"/>
                    </w:rPr>
                    <w:t>IUCN Pacific Centre for Environment</w:t>
                  </w:r>
                </w:p>
              </w:tc>
            </w:tr>
            <w:tr w:rsidR="009C7A2C" w:rsidRPr="008C2A90" w14:paraId="1FCDFBCA" w14:textId="77777777" w:rsidTr="00FB0282">
              <w:tc>
                <w:tcPr>
                  <w:tcW w:w="2189" w:type="dxa"/>
                </w:tcPr>
                <w:p w14:paraId="114BC56E" w14:textId="77777777" w:rsidR="008C2A90" w:rsidRPr="00F043D1" w:rsidRDefault="008C2A90" w:rsidP="008C2A90">
                  <w:pPr>
                    <w:rPr>
                      <w:rFonts w:ascii="Calibri" w:hAnsi="Calibri"/>
                    </w:rPr>
                  </w:pPr>
                  <w:r w:rsidRPr="00F043D1">
                    <w:rPr>
                      <w:rFonts w:ascii="Calibri" w:hAnsi="Calibri"/>
                    </w:rPr>
                    <w:t>Mereia Volavola</w:t>
                  </w:r>
                </w:p>
              </w:tc>
              <w:tc>
                <w:tcPr>
                  <w:tcW w:w="2801" w:type="dxa"/>
                </w:tcPr>
                <w:p w14:paraId="22E1C1D3" w14:textId="77777777" w:rsidR="008C2A90" w:rsidRPr="00F043D1" w:rsidRDefault="008C2A90" w:rsidP="008C2A90">
                  <w:pPr>
                    <w:jc w:val="left"/>
                    <w:rPr>
                      <w:rFonts w:ascii="Calibri" w:hAnsi="Calibri"/>
                    </w:rPr>
                  </w:pPr>
                  <w:r w:rsidRPr="00F043D1">
                    <w:rPr>
                      <w:rFonts w:ascii="Calibri" w:hAnsi="Calibri"/>
                    </w:rPr>
                    <w:t>CEO</w:t>
                  </w:r>
                </w:p>
              </w:tc>
              <w:tc>
                <w:tcPr>
                  <w:tcW w:w="3584" w:type="dxa"/>
                </w:tcPr>
                <w:p w14:paraId="49D587F7" w14:textId="77777777" w:rsidR="008C2A90" w:rsidRPr="00F043D1" w:rsidRDefault="008C2A90" w:rsidP="008C2A90">
                  <w:pPr>
                    <w:jc w:val="left"/>
                    <w:rPr>
                      <w:rFonts w:ascii="Calibri" w:hAnsi="Calibri"/>
                    </w:rPr>
                  </w:pPr>
                  <w:r w:rsidRPr="00F043D1">
                    <w:rPr>
                      <w:rFonts w:ascii="Calibri" w:hAnsi="Calibri"/>
                    </w:rPr>
                    <w:t>PIPSO</w:t>
                  </w:r>
                </w:p>
              </w:tc>
            </w:tr>
            <w:tr w:rsidR="009C7A2C" w:rsidRPr="008C2A90" w14:paraId="5DC38DF0" w14:textId="77777777" w:rsidTr="00FB0282">
              <w:tc>
                <w:tcPr>
                  <w:tcW w:w="2189" w:type="dxa"/>
                </w:tcPr>
                <w:p w14:paraId="3C414980" w14:textId="77777777" w:rsidR="008C2A90" w:rsidRPr="00F043D1" w:rsidRDefault="008C2A90" w:rsidP="008C2A90">
                  <w:pPr>
                    <w:rPr>
                      <w:rFonts w:ascii="Calibri" w:hAnsi="Calibri"/>
                    </w:rPr>
                  </w:pPr>
                  <w:r w:rsidRPr="00F043D1">
                    <w:rPr>
                      <w:rFonts w:ascii="Calibri" w:hAnsi="Calibri"/>
                    </w:rPr>
                    <w:t>Howard Politini</w:t>
                  </w:r>
                </w:p>
              </w:tc>
              <w:tc>
                <w:tcPr>
                  <w:tcW w:w="2801" w:type="dxa"/>
                </w:tcPr>
                <w:p w14:paraId="2FAD9A87" w14:textId="77777777" w:rsidR="008C2A90" w:rsidRPr="00F043D1" w:rsidRDefault="008C2A90" w:rsidP="008C2A90">
                  <w:pPr>
                    <w:jc w:val="left"/>
                    <w:rPr>
                      <w:rFonts w:ascii="Calibri" w:hAnsi="Calibri"/>
                    </w:rPr>
                  </w:pPr>
                  <w:r w:rsidRPr="00F043D1">
                    <w:rPr>
                      <w:rFonts w:ascii="Calibri" w:hAnsi="Calibri"/>
                    </w:rPr>
                    <w:t>Chair</w:t>
                  </w:r>
                </w:p>
              </w:tc>
              <w:tc>
                <w:tcPr>
                  <w:tcW w:w="3584" w:type="dxa"/>
                </w:tcPr>
                <w:p w14:paraId="320DFD84" w14:textId="77777777" w:rsidR="008C2A90" w:rsidRPr="00F043D1" w:rsidRDefault="008C2A90" w:rsidP="008C2A90">
                  <w:pPr>
                    <w:jc w:val="left"/>
                    <w:rPr>
                      <w:rFonts w:ascii="Calibri" w:hAnsi="Calibri"/>
                    </w:rPr>
                  </w:pPr>
                  <w:r w:rsidRPr="00F043D1">
                    <w:rPr>
                      <w:rFonts w:ascii="Calibri" w:hAnsi="Calibri"/>
                    </w:rPr>
                    <w:t>PIPSO</w:t>
                  </w:r>
                </w:p>
              </w:tc>
            </w:tr>
            <w:tr w:rsidR="009C7A2C" w:rsidRPr="008C2A90" w14:paraId="3713A114" w14:textId="77777777" w:rsidTr="00FB0282">
              <w:tc>
                <w:tcPr>
                  <w:tcW w:w="2189" w:type="dxa"/>
                </w:tcPr>
                <w:p w14:paraId="322919FD" w14:textId="77777777" w:rsidR="008C2A90" w:rsidRPr="00F043D1" w:rsidRDefault="008C2A90" w:rsidP="008C2A90">
                  <w:pPr>
                    <w:rPr>
                      <w:rFonts w:ascii="Calibri" w:hAnsi="Calibri"/>
                    </w:rPr>
                  </w:pPr>
                  <w:r w:rsidRPr="00F043D1">
                    <w:rPr>
                      <w:rFonts w:ascii="Calibri" w:hAnsi="Calibri"/>
                    </w:rPr>
                    <w:t>Sione Tekitteki</w:t>
                  </w:r>
                </w:p>
              </w:tc>
              <w:tc>
                <w:tcPr>
                  <w:tcW w:w="2801" w:type="dxa"/>
                </w:tcPr>
                <w:p w14:paraId="6DD6C4AA" w14:textId="77777777" w:rsidR="008C2A90" w:rsidRPr="00F043D1" w:rsidRDefault="008C2A90" w:rsidP="008C2A90">
                  <w:pPr>
                    <w:jc w:val="left"/>
                    <w:rPr>
                      <w:rFonts w:ascii="Calibri" w:hAnsi="Calibri"/>
                    </w:rPr>
                  </w:pPr>
                  <w:r w:rsidRPr="00F043D1">
                    <w:rPr>
                      <w:rFonts w:ascii="Calibri" w:hAnsi="Calibri"/>
                    </w:rPr>
                    <w:t>Policy Director</w:t>
                  </w:r>
                </w:p>
              </w:tc>
              <w:tc>
                <w:tcPr>
                  <w:tcW w:w="3584" w:type="dxa"/>
                </w:tcPr>
                <w:p w14:paraId="6343B214" w14:textId="77777777" w:rsidR="008C2A90" w:rsidRPr="00F043D1" w:rsidRDefault="008C2A90" w:rsidP="008C2A90">
                  <w:pPr>
                    <w:jc w:val="left"/>
                    <w:rPr>
                      <w:rFonts w:ascii="Calibri" w:hAnsi="Calibri"/>
                    </w:rPr>
                  </w:pPr>
                  <w:r w:rsidRPr="00F043D1">
                    <w:rPr>
                      <w:rFonts w:ascii="Calibri" w:hAnsi="Calibri"/>
                    </w:rPr>
                    <w:t>PIFS</w:t>
                  </w:r>
                </w:p>
              </w:tc>
            </w:tr>
            <w:tr w:rsidR="009C7A2C" w:rsidRPr="008C2A90" w14:paraId="4532B857" w14:textId="77777777" w:rsidTr="00FB0282">
              <w:tc>
                <w:tcPr>
                  <w:tcW w:w="2189" w:type="dxa"/>
                </w:tcPr>
                <w:p w14:paraId="071740C1" w14:textId="77777777" w:rsidR="008C2A90" w:rsidRPr="00F043D1" w:rsidRDefault="008C2A90" w:rsidP="008C2A90">
                  <w:pPr>
                    <w:rPr>
                      <w:rFonts w:ascii="Calibri" w:hAnsi="Calibri"/>
                    </w:rPr>
                  </w:pPr>
                  <w:r w:rsidRPr="00F043D1">
                    <w:rPr>
                      <w:rFonts w:ascii="Calibri" w:hAnsi="Calibri"/>
                    </w:rPr>
                    <w:t>Joel Nilon</w:t>
                  </w:r>
                </w:p>
              </w:tc>
              <w:tc>
                <w:tcPr>
                  <w:tcW w:w="2801" w:type="dxa"/>
                </w:tcPr>
                <w:p w14:paraId="221BE057" w14:textId="77777777" w:rsidR="008C2A90" w:rsidRPr="00F043D1" w:rsidRDefault="008C2A90" w:rsidP="008C2A90">
                  <w:pPr>
                    <w:jc w:val="left"/>
                    <w:rPr>
                      <w:rFonts w:ascii="Calibri" w:hAnsi="Calibri"/>
                    </w:rPr>
                  </w:pPr>
                  <w:r w:rsidRPr="00F043D1">
                    <w:rPr>
                      <w:rFonts w:ascii="Calibri" w:hAnsi="Calibri"/>
                    </w:rPr>
                    <w:t>Regionalism Adviser</w:t>
                  </w:r>
                </w:p>
              </w:tc>
              <w:tc>
                <w:tcPr>
                  <w:tcW w:w="3584" w:type="dxa"/>
                </w:tcPr>
                <w:p w14:paraId="227A343C" w14:textId="77777777" w:rsidR="008C2A90" w:rsidRPr="00F043D1" w:rsidRDefault="008C2A90" w:rsidP="008C2A90">
                  <w:pPr>
                    <w:jc w:val="left"/>
                    <w:rPr>
                      <w:rFonts w:ascii="Calibri" w:hAnsi="Calibri"/>
                    </w:rPr>
                  </w:pPr>
                  <w:r w:rsidRPr="00F043D1">
                    <w:rPr>
                      <w:rFonts w:ascii="Calibri" w:hAnsi="Calibri"/>
                    </w:rPr>
                    <w:t>PIFS</w:t>
                  </w:r>
                </w:p>
              </w:tc>
            </w:tr>
            <w:tr w:rsidR="009C7A2C" w:rsidRPr="008C2A90" w14:paraId="72790F89" w14:textId="77777777" w:rsidTr="00FB0282">
              <w:tc>
                <w:tcPr>
                  <w:tcW w:w="2189" w:type="dxa"/>
                </w:tcPr>
                <w:p w14:paraId="45D6B394" w14:textId="77777777" w:rsidR="008C2A90" w:rsidRPr="00F043D1" w:rsidRDefault="008C2A90" w:rsidP="008C2A90">
                  <w:pPr>
                    <w:rPr>
                      <w:rFonts w:ascii="Calibri" w:hAnsi="Calibri"/>
                    </w:rPr>
                  </w:pPr>
                  <w:r w:rsidRPr="00F043D1">
                    <w:rPr>
                      <w:rFonts w:ascii="Calibri" w:hAnsi="Calibri"/>
                    </w:rPr>
                    <w:t>Seema Naidu</w:t>
                  </w:r>
                </w:p>
              </w:tc>
              <w:tc>
                <w:tcPr>
                  <w:tcW w:w="2801" w:type="dxa"/>
                </w:tcPr>
                <w:p w14:paraId="58B403AA" w14:textId="77777777" w:rsidR="008C2A90" w:rsidRPr="00F043D1" w:rsidRDefault="008C2A90" w:rsidP="008C2A90">
                  <w:pPr>
                    <w:jc w:val="left"/>
                    <w:rPr>
                      <w:rFonts w:ascii="Calibri" w:hAnsi="Calibri"/>
                    </w:rPr>
                  </w:pPr>
                  <w:r w:rsidRPr="00F043D1">
                    <w:rPr>
                      <w:rFonts w:ascii="Calibri" w:hAnsi="Calibri"/>
                    </w:rPr>
                    <w:t>Gender Issues Officer</w:t>
                  </w:r>
                </w:p>
              </w:tc>
              <w:tc>
                <w:tcPr>
                  <w:tcW w:w="3584" w:type="dxa"/>
                </w:tcPr>
                <w:p w14:paraId="0CFD74DE" w14:textId="77777777" w:rsidR="008C2A90" w:rsidRPr="00F043D1" w:rsidRDefault="008C2A90" w:rsidP="008C2A90">
                  <w:pPr>
                    <w:jc w:val="left"/>
                    <w:rPr>
                      <w:rFonts w:ascii="Calibri" w:hAnsi="Calibri"/>
                    </w:rPr>
                  </w:pPr>
                  <w:r w:rsidRPr="00F043D1">
                    <w:rPr>
                      <w:rFonts w:ascii="Calibri" w:hAnsi="Calibri"/>
                    </w:rPr>
                    <w:t>PIFS</w:t>
                  </w:r>
                </w:p>
              </w:tc>
            </w:tr>
            <w:tr w:rsidR="009C7A2C" w:rsidRPr="008C2A90" w14:paraId="6684A29C" w14:textId="77777777" w:rsidTr="00FB0282">
              <w:tc>
                <w:tcPr>
                  <w:tcW w:w="2189" w:type="dxa"/>
                </w:tcPr>
                <w:p w14:paraId="2955DF06" w14:textId="77777777" w:rsidR="008C2A90" w:rsidRPr="00F043D1" w:rsidRDefault="008C2A90" w:rsidP="008C2A90">
                  <w:pPr>
                    <w:rPr>
                      <w:rFonts w:ascii="Calibri" w:hAnsi="Calibri"/>
                    </w:rPr>
                  </w:pPr>
                  <w:r w:rsidRPr="00F043D1">
                    <w:rPr>
                      <w:rFonts w:ascii="Calibri" w:hAnsi="Calibri"/>
                    </w:rPr>
                    <w:t>Anna Parini</w:t>
                  </w:r>
                </w:p>
              </w:tc>
              <w:tc>
                <w:tcPr>
                  <w:tcW w:w="2801" w:type="dxa"/>
                </w:tcPr>
                <w:p w14:paraId="5E59C484" w14:textId="77777777" w:rsidR="008C2A90" w:rsidRPr="00F043D1" w:rsidRDefault="008C2A90" w:rsidP="008C2A90">
                  <w:pPr>
                    <w:jc w:val="left"/>
                    <w:rPr>
                      <w:rFonts w:ascii="Calibri" w:hAnsi="Calibri"/>
                    </w:rPr>
                  </w:pPr>
                  <w:r w:rsidRPr="00F043D1">
                    <w:rPr>
                      <w:rFonts w:ascii="Calibri" w:hAnsi="Calibri"/>
                    </w:rPr>
                    <w:t>Program Manager</w:t>
                  </w:r>
                </w:p>
              </w:tc>
              <w:tc>
                <w:tcPr>
                  <w:tcW w:w="3584" w:type="dxa"/>
                </w:tcPr>
                <w:p w14:paraId="34D4E5E7" w14:textId="77777777" w:rsidR="008C2A90" w:rsidRPr="00F043D1" w:rsidRDefault="008C2A90" w:rsidP="008C2A90">
                  <w:pPr>
                    <w:jc w:val="left"/>
                    <w:rPr>
                      <w:rFonts w:ascii="Calibri" w:hAnsi="Calibri"/>
                    </w:rPr>
                  </w:pPr>
                  <w:r w:rsidRPr="00F043D1">
                    <w:rPr>
                      <w:rFonts w:ascii="Calibri" w:hAnsi="Calibri"/>
                    </w:rPr>
                    <w:t xml:space="preserve">UN Women </w:t>
                  </w:r>
                </w:p>
              </w:tc>
            </w:tr>
            <w:tr w:rsidR="009C7A2C" w:rsidRPr="008C2A90" w14:paraId="3C4326D3" w14:textId="77777777" w:rsidTr="00FB0282">
              <w:tc>
                <w:tcPr>
                  <w:tcW w:w="2189" w:type="dxa"/>
                </w:tcPr>
                <w:p w14:paraId="095F36C2" w14:textId="77777777" w:rsidR="008C2A90" w:rsidRPr="00F043D1" w:rsidRDefault="008C2A90" w:rsidP="008C2A90">
                  <w:pPr>
                    <w:rPr>
                      <w:rFonts w:ascii="Calibri" w:hAnsi="Calibri"/>
                    </w:rPr>
                  </w:pPr>
                  <w:r w:rsidRPr="00F043D1">
                    <w:rPr>
                      <w:rFonts w:ascii="Calibri" w:hAnsi="Calibri"/>
                    </w:rPr>
                    <w:t>Lako Ogotia</w:t>
                  </w:r>
                </w:p>
              </w:tc>
              <w:tc>
                <w:tcPr>
                  <w:tcW w:w="2801" w:type="dxa"/>
                </w:tcPr>
                <w:p w14:paraId="24C45C29" w14:textId="77777777" w:rsidR="008C2A90" w:rsidRPr="00F043D1" w:rsidRDefault="008C2A90" w:rsidP="008C2A90">
                  <w:pPr>
                    <w:jc w:val="left"/>
                    <w:rPr>
                      <w:rFonts w:ascii="Calibri" w:hAnsi="Calibri"/>
                    </w:rPr>
                  </w:pPr>
                  <w:r w:rsidRPr="00F043D1">
                    <w:rPr>
                      <w:rFonts w:ascii="Calibri" w:hAnsi="Calibri"/>
                    </w:rPr>
                    <w:t>Member</w:t>
                  </w:r>
                </w:p>
              </w:tc>
              <w:tc>
                <w:tcPr>
                  <w:tcW w:w="3584" w:type="dxa"/>
                </w:tcPr>
                <w:p w14:paraId="1C1066C4" w14:textId="77777777" w:rsidR="008C2A90" w:rsidRPr="00F043D1" w:rsidRDefault="008C2A90" w:rsidP="008C2A90">
                  <w:pPr>
                    <w:jc w:val="left"/>
                    <w:rPr>
                      <w:rFonts w:ascii="Calibri" w:hAnsi="Calibri"/>
                    </w:rPr>
                  </w:pPr>
                  <w:r w:rsidRPr="00F043D1">
                    <w:rPr>
                      <w:rFonts w:ascii="Calibri" w:hAnsi="Calibri"/>
                    </w:rPr>
                    <w:t>Market vendors association</w:t>
                  </w:r>
                </w:p>
              </w:tc>
            </w:tr>
            <w:tr w:rsidR="009C7A2C" w:rsidRPr="008C2A90" w14:paraId="318FDAE2" w14:textId="77777777" w:rsidTr="00FB0282">
              <w:tc>
                <w:tcPr>
                  <w:tcW w:w="2189" w:type="dxa"/>
                </w:tcPr>
                <w:p w14:paraId="77353A46" w14:textId="77777777" w:rsidR="008C2A90" w:rsidRPr="00F043D1" w:rsidRDefault="008C2A90" w:rsidP="008C2A90">
                  <w:pPr>
                    <w:rPr>
                      <w:rFonts w:ascii="Calibri" w:hAnsi="Calibri"/>
                    </w:rPr>
                  </w:pPr>
                  <w:r w:rsidRPr="00F043D1">
                    <w:rPr>
                      <w:rFonts w:ascii="Calibri" w:hAnsi="Calibri"/>
                    </w:rPr>
                    <w:t>Adi Maramarua</w:t>
                  </w:r>
                </w:p>
              </w:tc>
              <w:tc>
                <w:tcPr>
                  <w:tcW w:w="2801" w:type="dxa"/>
                </w:tcPr>
                <w:p w14:paraId="50099686" w14:textId="77777777" w:rsidR="008C2A90" w:rsidRPr="00F043D1" w:rsidRDefault="008C2A90" w:rsidP="008C2A90">
                  <w:pPr>
                    <w:jc w:val="left"/>
                    <w:rPr>
                      <w:rFonts w:ascii="Calibri" w:hAnsi="Calibri"/>
                    </w:rPr>
                  </w:pPr>
                  <w:r w:rsidRPr="00F043D1">
                    <w:rPr>
                      <w:rFonts w:ascii="Calibri" w:hAnsi="Calibri"/>
                    </w:rPr>
                    <w:t>Member</w:t>
                  </w:r>
                </w:p>
              </w:tc>
              <w:tc>
                <w:tcPr>
                  <w:tcW w:w="3584" w:type="dxa"/>
                </w:tcPr>
                <w:p w14:paraId="1AE07FB4" w14:textId="77777777" w:rsidR="008C2A90" w:rsidRPr="00F043D1" w:rsidRDefault="008C2A90" w:rsidP="008C2A90">
                  <w:pPr>
                    <w:jc w:val="left"/>
                    <w:rPr>
                      <w:rFonts w:ascii="Calibri" w:hAnsi="Calibri"/>
                    </w:rPr>
                  </w:pPr>
                  <w:r w:rsidRPr="00F043D1">
                    <w:rPr>
                      <w:rFonts w:ascii="Calibri" w:hAnsi="Calibri"/>
                    </w:rPr>
                    <w:t>Market vendors association</w:t>
                  </w:r>
                </w:p>
              </w:tc>
            </w:tr>
            <w:tr w:rsidR="009C7A2C" w:rsidRPr="008C2A90" w14:paraId="7C7B002E" w14:textId="77777777" w:rsidTr="00FB0282">
              <w:tc>
                <w:tcPr>
                  <w:tcW w:w="2189" w:type="dxa"/>
                </w:tcPr>
                <w:p w14:paraId="76CCD64E" w14:textId="77777777" w:rsidR="008C2A90" w:rsidRPr="00F043D1" w:rsidRDefault="008C2A90" w:rsidP="008C2A90">
                  <w:pPr>
                    <w:rPr>
                      <w:rFonts w:ascii="Calibri" w:hAnsi="Calibri"/>
                    </w:rPr>
                  </w:pPr>
                  <w:r w:rsidRPr="00F043D1">
                    <w:rPr>
                      <w:rFonts w:ascii="Calibri" w:hAnsi="Calibri"/>
                    </w:rPr>
                    <w:t>Semesa Doidoi</w:t>
                  </w:r>
                </w:p>
              </w:tc>
              <w:tc>
                <w:tcPr>
                  <w:tcW w:w="2801" w:type="dxa"/>
                </w:tcPr>
                <w:p w14:paraId="2B46761C" w14:textId="77777777" w:rsidR="008C2A90" w:rsidRPr="00F043D1" w:rsidRDefault="008C2A90" w:rsidP="008C2A90">
                  <w:pPr>
                    <w:jc w:val="left"/>
                    <w:rPr>
                      <w:rFonts w:ascii="Calibri" w:hAnsi="Calibri"/>
                    </w:rPr>
                  </w:pPr>
                  <w:r w:rsidRPr="00F043D1">
                    <w:rPr>
                      <w:rFonts w:ascii="Calibri" w:hAnsi="Calibri"/>
                    </w:rPr>
                    <w:t>Member</w:t>
                  </w:r>
                </w:p>
              </w:tc>
              <w:tc>
                <w:tcPr>
                  <w:tcW w:w="3584" w:type="dxa"/>
                </w:tcPr>
                <w:p w14:paraId="492DC8BE" w14:textId="77777777" w:rsidR="008C2A90" w:rsidRPr="00F043D1" w:rsidRDefault="008C2A90" w:rsidP="008C2A90">
                  <w:pPr>
                    <w:jc w:val="left"/>
                    <w:rPr>
                      <w:rFonts w:ascii="Calibri" w:hAnsi="Calibri"/>
                    </w:rPr>
                  </w:pPr>
                  <w:r w:rsidRPr="00F043D1">
                    <w:rPr>
                      <w:rFonts w:ascii="Calibri" w:hAnsi="Calibri"/>
                    </w:rPr>
                    <w:t>Market vendors association</w:t>
                  </w:r>
                </w:p>
              </w:tc>
            </w:tr>
            <w:tr w:rsidR="009C7A2C" w:rsidRPr="008C2A90" w14:paraId="02AC2D38" w14:textId="77777777" w:rsidTr="00FB0282">
              <w:tc>
                <w:tcPr>
                  <w:tcW w:w="2189" w:type="dxa"/>
                </w:tcPr>
                <w:p w14:paraId="15C2D8C7" w14:textId="77777777" w:rsidR="008C2A90" w:rsidRPr="00F043D1" w:rsidRDefault="008C2A90" w:rsidP="008C2A90">
                  <w:pPr>
                    <w:rPr>
                      <w:rFonts w:ascii="Calibri" w:hAnsi="Calibri"/>
                    </w:rPr>
                  </w:pPr>
                  <w:r w:rsidRPr="00F043D1">
                    <w:rPr>
                      <w:rFonts w:ascii="Calibri" w:hAnsi="Calibri"/>
                    </w:rPr>
                    <w:t>Virisila Buadromo</w:t>
                  </w:r>
                </w:p>
              </w:tc>
              <w:tc>
                <w:tcPr>
                  <w:tcW w:w="2801" w:type="dxa"/>
                  <w:shd w:val="clear" w:color="auto" w:fill="auto"/>
                </w:tcPr>
                <w:p w14:paraId="6F030BB4" w14:textId="77777777" w:rsidR="008C2A90" w:rsidRPr="00F043D1" w:rsidRDefault="008C2A90" w:rsidP="008C2A90">
                  <w:pPr>
                    <w:jc w:val="left"/>
                    <w:rPr>
                      <w:rFonts w:ascii="Calibri" w:hAnsi="Calibri"/>
                    </w:rPr>
                  </w:pPr>
                  <w:r w:rsidRPr="00F043D1">
                    <w:rPr>
                      <w:rFonts w:ascii="Calibri" w:hAnsi="Calibri"/>
                    </w:rPr>
                    <w:t>Independent Consultant</w:t>
                  </w:r>
                </w:p>
              </w:tc>
              <w:tc>
                <w:tcPr>
                  <w:tcW w:w="3584" w:type="dxa"/>
                  <w:shd w:val="clear" w:color="auto" w:fill="auto"/>
                </w:tcPr>
                <w:p w14:paraId="62E4E82F" w14:textId="77777777" w:rsidR="008C2A90" w:rsidRPr="00F043D1" w:rsidRDefault="008C2A90" w:rsidP="008C2A90">
                  <w:pPr>
                    <w:jc w:val="left"/>
                    <w:rPr>
                      <w:rFonts w:ascii="Calibri" w:hAnsi="Calibri"/>
                    </w:rPr>
                  </w:pPr>
                  <w:r w:rsidRPr="00F043D1">
                    <w:rPr>
                      <w:rFonts w:ascii="Calibri" w:hAnsi="Calibri"/>
                      <w:lang w:val="en-US"/>
                    </w:rPr>
                    <w:t>Adaptive Leadership participant</w:t>
                  </w:r>
                </w:p>
              </w:tc>
            </w:tr>
            <w:tr w:rsidR="009C7A2C" w:rsidRPr="008C2A90" w14:paraId="352CF583" w14:textId="77777777" w:rsidTr="00FB0282">
              <w:tc>
                <w:tcPr>
                  <w:tcW w:w="2189" w:type="dxa"/>
                </w:tcPr>
                <w:p w14:paraId="224F5E2A" w14:textId="77777777" w:rsidR="008C2A90" w:rsidRPr="00F043D1" w:rsidRDefault="008C2A90" w:rsidP="008C2A90">
                  <w:pPr>
                    <w:rPr>
                      <w:rFonts w:ascii="Calibri" w:hAnsi="Calibri"/>
                    </w:rPr>
                  </w:pPr>
                  <w:r w:rsidRPr="00F043D1">
                    <w:rPr>
                      <w:rFonts w:ascii="Calibri" w:hAnsi="Calibri"/>
                    </w:rPr>
                    <w:t>Gina Houng Lee</w:t>
                  </w:r>
                </w:p>
              </w:tc>
              <w:tc>
                <w:tcPr>
                  <w:tcW w:w="2801" w:type="dxa"/>
                  <w:shd w:val="clear" w:color="auto" w:fill="auto"/>
                </w:tcPr>
                <w:p w14:paraId="59DC3A2A" w14:textId="77777777" w:rsidR="008C2A90" w:rsidRPr="00F043D1" w:rsidRDefault="008C2A90" w:rsidP="008C2A90">
                  <w:pPr>
                    <w:jc w:val="left"/>
                    <w:rPr>
                      <w:rFonts w:ascii="Calibri" w:hAnsi="Calibri"/>
                    </w:rPr>
                  </w:pPr>
                  <w:r w:rsidRPr="00F043D1">
                    <w:rPr>
                      <w:rFonts w:ascii="Calibri" w:hAnsi="Calibri"/>
                    </w:rPr>
                    <w:t>Independent Consultant</w:t>
                  </w:r>
                </w:p>
              </w:tc>
              <w:tc>
                <w:tcPr>
                  <w:tcW w:w="3584" w:type="dxa"/>
                  <w:shd w:val="clear" w:color="auto" w:fill="auto"/>
                </w:tcPr>
                <w:p w14:paraId="70B043FB" w14:textId="77777777" w:rsidR="008C2A90" w:rsidRPr="00F043D1" w:rsidRDefault="008C2A90" w:rsidP="008C2A90">
                  <w:pPr>
                    <w:jc w:val="left"/>
                    <w:rPr>
                      <w:rFonts w:ascii="Calibri" w:hAnsi="Calibri"/>
                    </w:rPr>
                  </w:pPr>
                  <w:r w:rsidRPr="00F043D1">
                    <w:rPr>
                      <w:rFonts w:ascii="Calibri" w:hAnsi="Calibri"/>
                      <w:lang w:val="en-US"/>
                    </w:rPr>
                    <w:t>Adaptive Leadership participant</w:t>
                  </w:r>
                </w:p>
              </w:tc>
            </w:tr>
            <w:tr w:rsidR="009C7A2C" w:rsidRPr="008C2A90" w14:paraId="1040E778" w14:textId="77777777" w:rsidTr="00FB0282">
              <w:tc>
                <w:tcPr>
                  <w:tcW w:w="2189" w:type="dxa"/>
                </w:tcPr>
                <w:p w14:paraId="18D369D9" w14:textId="77777777" w:rsidR="008C2A90" w:rsidRPr="00F043D1" w:rsidRDefault="008C2A90" w:rsidP="008C2A90">
                  <w:pPr>
                    <w:rPr>
                      <w:rFonts w:ascii="Calibri" w:hAnsi="Calibri"/>
                    </w:rPr>
                  </w:pPr>
                  <w:r w:rsidRPr="00F043D1">
                    <w:rPr>
                      <w:rFonts w:ascii="Calibri" w:hAnsi="Calibri"/>
                    </w:rPr>
                    <w:t>Iosefa Maiava</w:t>
                  </w:r>
                </w:p>
              </w:tc>
              <w:tc>
                <w:tcPr>
                  <w:tcW w:w="2801" w:type="dxa"/>
                </w:tcPr>
                <w:p w14:paraId="019079B6" w14:textId="77777777" w:rsidR="008C2A90" w:rsidRPr="00F043D1" w:rsidRDefault="008C2A90" w:rsidP="008C2A90">
                  <w:pPr>
                    <w:jc w:val="left"/>
                    <w:rPr>
                      <w:rFonts w:ascii="Calibri" w:hAnsi="Calibri"/>
                    </w:rPr>
                  </w:pPr>
                  <w:r w:rsidRPr="00F043D1">
                    <w:rPr>
                      <w:rFonts w:ascii="Calibri" w:hAnsi="Calibri"/>
                    </w:rPr>
                    <w:t>Head of Operations</w:t>
                  </w:r>
                </w:p>
              </w:tc>
              <w:tc>
                <w:tcPr>
                  <w:tcW w:w="3584" w:type="dxa"/>
                </w:tcPr>
                <w:p w14:paraId="1E99E05C" w14:textId="77777777" w:rsidR="008C2A90" w:rsidRPr="00F043D1" w:rsidRDefault="008C2A90" w:rsidP="008C2A90">
                  <w:pPr>
                    <w:jc w:val="left"/>
                    <w:rPr>
                      <w:rFonts w:ascii="Calibri" w:hAnsi="Calibri"/>
                    </w:rPr>
                  </w:pPr>
                  <w:r w:rsidRPr="00F043D1">
                    <w:rPr>
                      <w:rFonts w:ascii="Calibri" w:hAnsi="Calibri"/>
                    </w:rPr>
                    <w:t>UN ESCAP</w:t>
                  </w:r>
                </w:p>
              </w:tc>
            </w:tr>
            <w:tr w:rsidR="009C7A2C" w:rsidRPr="008C2A90" w14:paraId="7EC1E69F" w14:textId="77777777" w:rsidTr="00FB0282">
              <w:tc>
                <w:tcPr>
                  <w:tcW w:w="2189" w:type="dxa"/>
                </w:tcPr>
                <w:p w14:paraId="24FC8E7F" w14:textId="77777777" w:rsidR="008C2A90" w:rsidRPr="00F043D1" w:rsidRDefault="008C2A90" w:rsidP="008C2A90">
                  <w:pPr>
                    <w:rPr>
                      <w:rFonts w:ascii="Calibri" w:hAnsi="Calibri"/>
                    </w:rPr>
                  </w:pPr>
                  <w:r w:rsidRPr="00F043D1">
                    <w:rPr>
                      <w:rFonts w:ascii="Calibri" w:hAnsi="Calibri"/>
                    </w:rPr>
                    <w:t>Nicol Cave</w:t>
                  </w:r>
                </w:p>
              </w:tc>
              <w:tc>
                <w:tcPr>
                  <w:tcW w:w="2801" w:type="dxa"/>
                </w:tcPr>
                <w:p w14:paraId="07F35A32" w14:textId="77777777" w:rsidR="008C2A90" w:rsidRPr="00F043D1" w:rsidRDefault="008C2A90" w:rsidP="008C2A90">
                  <w:pPr>
                    <w:jc w:val="left"/>
                    <w:rPr>
                      <w:rFonts w:ascii="Calibri" w:hAnsi="Calibri"/>
                    </w:rPr>
                  </w:pPr>
                  <w:r w:rsidRPr="00F043D1">
                    <w:rPr>
                      <w:rFonts w:ascii="Calibri" w:hAnsi="Calibri"/>
                    </w:rPr>
                    <w:t>Acting Director</w:t>
                  </w:r>
                </w:p>
              </w:tc>
              <w:tc>
                <w:tcPr>
                  <w:tcW w:w="3584" w:type="dxa"/>
                </w:tcPr>
                <w:p w14:paraId="1DD7E6E7" w14:textId="77777777" w:rsidR="008C2A90" w:rsidRPr="00F043D1" w:rsidRDefault="008C2A90" w:rsidP="008C2A90">
                  <w:pPr>
                    <w:jc w:val="left"/>
                    <w:rPr>
                      <w:rFonts w:ascii="Calibri" w:hAnsi="Calibri"/>
                    </w:rPr>
                  </w:pPr>
                  <w:r w:rsidRPr="00F043D1">
                    <w:rPr>
                      <w:rFonts w:ascii="Calibri" w:hAnsi="Calibri"/>
                    </w:rPr>
                    <w:t>RRRT</w:t>
                  </w:r>
                </w:p>
              </w:tc>
            </w:tr>
            <w:tr w:rsidR="009C7A2C" w:rsidRPr="008C2A90" w14:paraId="59AB00F8" w14:textId="77777777" w:rsidTr="00FB0282">
              <w:tc>
                <w:tcPr>
                  <w:tcW w:w="2189" w:type="dxa"/>
                </w:tcPr>
                <w:p w14:paraId="6FB95AE1" w14:textId="77777777" w:rsidR="008C2A90" w:rsidRPr="00F043D1" w:rsidRDefault="008C2A90" w:rsidP="008C2A90">
                  <w:pPr>
                    <w:rPr>
                      <w:rFonts w:ascii="Calibri" w:hAnsi="Calibri"/>
                    </w:rPr>
                  </w:pPr>
                  <w:r w:rsidRPr="00F043D1">
                    <w:rPr>
                      <w:rFonts w:ascii="Calibri" w:hAnsi="Calibri"/>
                    </w:rPr>
                    <w:t>Neomai Marvuakula</w:t>
                  </w:r>
                </w:p>
              </w:tc>
              <w:tc>
                <w:tcPr>
                  <w:tcW w:w="2801" w:type="dxa"/>
                </w:tcPr>
                <w:p w14:paraId="34E06EBD" w14:textId="77777777" w:rsidR="008C2A90" w:rsidRPr="00F043D1" w:rsidRDefault="008C2A90" w:rsidP="008C2A90">
                  <w:pPr>
                    <w:jc w:val="left"/>
                    <w:rPr>
                      <w:rFonts w:ascii="Calibri" w:hAnsi="Calibri"/>
                    </w:rPr>
                  </w:pPr>
                  <w:r w:rsidRPr="00F043D1">
                    <w:rPr>
                      <w:rFonts w:ascii="Calibri" w:hAnsi="Calibri"/>
                    </w:rPr>
                    <w:t>Senior Human Rights Adviser</w:t>
                  </w:r>
                </w:p>
              </w:tc>
              <w:tc>
                <w:tcPr>
                  <w:tcW w:w="3584" w:type="dxa"/>
                </w:tcPr>
                <w:p w14:paraId="21050C06" w14:textId="77777777" w:rsidR="008C2A90" w:rsidRPr="00F043D1" w:rsidRDefault="008C2A90" w:rsidP="008C2A90">
                  <w:pPr>
                    <w:jc w:val="left"/>
                    <w:rPr>
                      <w:rFonts w:ascii="Calibri" w:hAnsi="Calibri"/>
                    </w:rPr>
                  </w:pPr>
                  <w:r w:rsidRPr="00F043D1">
                    <w:rPr>
                      <w:rFonts w:ascii="Calibri" w:hAnsi="Calibri"/>
                    </w:rPr>
                    <w:t>RRRT</w:t>
                  </w:r>
                </w:p>
              </w:tc>
            </w:tr>
            <w:tr w:rsidR="009C7A2C" w:rsidRPr="008C2A90" w14:paraId="4F9C7D92" w14:textId="77777777" w:rsidTr="00FB0282">
              <w:tc>
                <w:tcPr>
                  <w:tcW w:w="2189" w:type="dxa"/>
                </w:tcPr>
                <w:p w14:paraId="10510C2E" w14:textId="77777777" w:rsidR="008C2A90" w:rsidRPr="00F043D1" w:rsidRDefault="008C2A90" w:rsidP="008C2A90">
                  <w:pPr>
                    <w:rPr>
                      <w:rFonts w:ascii="Calibri" w:hAnsi="Calibri"/>
                    </w:rPr>
                  </w:pPr>
                  <w:r w:rsidRPr="00F043D1">
                    <w:rPr>
                      <w:rFonts w:ascii="Calibri" w:hAnsi="Calibri"/>
                    </w:rPr>
                    <w:t>Colin Tukuitonga</w:t>
                  </w:r>
                </w:p>
              </w:tc>
              <w:tc>
                <w:tcPr>
                  <w:tcW w:w="2801" w:type="dxa"/>
                </w:tcPr>
                <w:p w14:paraId="104CEB46" w14:textId="77777777" w:rsidR="008C2A90" w:rsidRPr="00F043D1" w:rsidRDefault="008C2A90" w:rsidP="008C2A90">
                  <w:pPr>
                    <w:jc w:val="left"/>
                    <w:rPr>
                      <w:rFonts w:ascii="Calibri" w:hAnsi="Calibri"/>
                    </w:rPr>
                  </w:pPr>
                  <w:r w:rsidRPr="00F043D1">
                    <w:rPr>
                      <w:rFonts w:ascii="Calibri" w:hAnsi="Calibri"/>
                    </w:rPr>
                    <w:t>Director General</w:t>
                  </w:r>
                </w:p>
              </w:tc>
              <w:tc>
                <w:tcPr>
                  <w:tcW w:w="3584" w:type="dxa"/>
                </w:tcPr>
                <w:p w14:paraId="71EA967F" w14:textId="77777777" w:rsidR="008C2A90" w:rsidRPr="00F043D1" w:rsidRDefault="008C2A90" w:rsidP="008C2A90">
                  <w:pPr>
                    <w:jc w:val="left"/>
                    <w:rPr>
                      <w:rFonts w:ascii="Calibri" w:hAnsi="Calibri"/>
                    </w:rPr>
                  </w:pPr>
                  <w:r w:rsidRPr="00F043D1">
                    <w:rPr>
                      <w:rFonts w:ascii="Calibri" w:hAnsi="Calibri"/>
                    </w:rPr>
                    <w:t>SPC</w:t>
                  </w:r>
                </w:p>
              </w:tc>
            </w:tr>
            <w:tr w:rsidR="009C7A2C" w:rsidRPr="008C2A90" w14:paraId="36A12F09" w14:textId="77777777" w:rsidTr="00FB0282">
              <w:tc>
                <w:tcPr>
                  <w:tcW w:w="2189" w:type="dxa"/>
                </w:tcPr>
                <w:p w14:paraId="418A388F" w14:textId="77777777" w:rsidR="008C2A90" w:rsidRPr="00F043D1" w:rsidRDefault="008C2A90" w:rsidP="008C2A90">
                  <w:pPr>
                    <w:rPr>
                      <w:rFonts w:ascii="Calibri" w:hAnsi="Calibri"/>
                    </w:rPr>
                  </w:pPr>
                  <w:r w:rsidRPr="00F043D1">
                    <w:rPr>
                      <w:rFonts w:ascii="Calibri" w:hAnsi="Calibri"/>
                    </w:rPr>
                    <w:t>Taursila Bradburgh</w:t>
                  </w:r>
                </w:p>
              </w:tc>
              <w:tc>
                <w:tcPr>
                  <w:tcW w:w="2801" w:type="dxa"/>
                </w:tcPr>
                <w:p w14:paraId="6EA89CB7" w14:textId="77777777" w:rsidR="008C2A90" w:rsidRPr="00F043D1" w:rsidRDefault="008C2A90" w:rsidP="008C2A90">
                  <w:pPr>
                    <w:jc w:val="left"/>
                    <w:rPr>
                      <w:rFonts w:ascii="Calibri" w:hAnsi="Calibri"/>
                    </w:rPr>
                  </w:pPr>
                  <w:r w:rsidRPr="00F043D1">
                    <w:rPr>
                      <w:rFonts w:ascii="Calibri" w:hAnsi="Calibri"/>
                    </w:rPr>
                    <w:t>Secretariat</w:t>
                  </w:r>
                </w:p>
              </w:tc>
              <w:tc>
                <w:tcPr>
                  <w:tcW w:w="3584" w:type="dxa"/>
                </w:tcPr>
                <w:p w14:paraId="5590FF5B" w14:textId="77777777" w:rsidR="008C2A90" w:rsidRPr="00F043D1" w:rsidRDefault="008C2A90" w:rsidP="008C2A90">
                  <w:pPr>
                    <w:jc w:val="left"/>
                    <w:rPr>
                      <w:rFonts w:ascii="Calibri" w:hAnsi="Calibri"/>
                    </w:rPr>
                  </w:pPr>
                  <w:r w:rsidRPr="00F043D1">
                    <w:rPr>
                      <w:rFonts w:ascii="Calibri" w:hAnsi="Calibri"/>
                    </w:rPr>
                    <w:t>Pacific Youth Council</w:t>
                  </w:r>
                </w:p>
              </w:tc>
            </w:tr>
            <w:tr w:rsidR="009C7A2C" w:rsidRPr="008C2A90" w14:paraId="485ED428" w14:textId="77777777" w:rsidTr="00FB0282">
              <w:tc>
                <w:tcPr>
                  <w:tcW w:w="2189" w:type="dxa"/>
                </w:tcPr>
                <w:p w14:paraId="6096321A" w14:textId="77777777" w:rsidR="008C2A90" w:rsidRPr="00F043D1" w:rsidRDefault="008C2A90" w:rsidP="008C2A90">
                  <w:pPr>
                    <w:rPr>
                      <w:rFonts w:ascii="Calibri" w:hAnsi="Calibri"/>
                    </w:rPr>
                  </w:pPr>
                  <w:r w:rsidRPr="00F043D1">
                    <w:rPr>
                      <w:rFonts w:ascii="Calibri" w:hAnsi="Calibri"/>
                    </w:rPr>
                    <w:t>Andie Fong Toy</w:t>
                  </w:r>
                </w:p>
              </w:tc>
              <w:tc>
                <w:tcPr>
                  <w:tcW w:w="2801" w:type="dxa"/>
                </w:tcPr>
                <w:p w14:paraId="7D0CF45F" w14:textId="77777777" w:rsidR="008C2A90" w:rsidRPr="00F043D1" w:rsidRDefault="008C2A90" w:rsidP="008C2A90">
                  <w:pPr>
                    <w:jc w:val="left"/>
                    <w:rPr>
                      <w:rFonts w:ascii="Calibri" w:hAnsi="Calibri"/>
                    </w:rPr>
                  </w:pPr>
                  <w:r w:rsidRPr="00F043D1">
                    <w:rPr>
                      <w:rFonts w:ascii="Calibri" w:hAnsi="Calibri"/>
                    </w:rPr>
                    <w:t>Deputy Secretary General</w:t>
                  </w:r>
                </w:p>
              </w:tc>
              <w:tc>
                <w:tcPr>
                  <w:tcW w:w="3584" w:type="dxa"/>
                </w:tcPr>
                <w:p w14:paraId="7507D40C" w14:textId="77777777" w:rsidR="008C2A90" w:rsidRPr="00F043D1" w:rsidRDefault="008C2A90" w:rsidP="008C2A90">
                  <w:pPr>
                    <w:jc w:val="left"/>
                    <w:rPr>
                      <w:rFonts w:ascii="Calibri" w:hAnsi="Calibri"/>
                    </w:rPr>
                  </w:pPr>
                  <w:r w:rsidRPr="00F043D1">
                    <w:rPr>
                      <w:rFonts w:ascii="Calibri" w:hAnsi="Calibri"/>
                    </w:rPr>
                    <w:t>PIFS</w:t>
                  </w:r>
                </w:p>
              </w:tc>
            </w:tr>
            <w:tr w:rsidR="009C7A2C" w:rsidRPr="008C2A90" w14:paraId="7720F5EA" w14:textId="77777777" w:rsidTr="00FB0282">
              <w:tc>
                <w:tcPr>
                  <w:tcW w:w="2189" w:type="dxa"/>
                </w:tcPr>
                <w:p w14:paraId="78FDEFD9" w14:textId="77777777" w:rsidR="008C2A90" w:rsidRPr="00F043D1" w:rsidRDefault="008C2A90" w:rsidP="008C2A90">
                  <w:pPr>
                    <w:rPr>
                      <w:rFonts w:ascii="Calibri" w:hAnsi="Calibri"/>
                    </w:rPr>
                  </w:pPr>
                  <w:r w:rsidRPr="00F043D1">
                    <w:rPr>
                      <w:rFonts w:ascii="Calibri" w:hAnsi="Calibri"/>
                    </w:rPr>
                    <w:t>Cameron Bowles</w:t>
                  </w:r>
                </w:p>
              </w:tc>
              <w:tc>
                <w:tcPr>
                  <w:tcW w:w="2801" w:type="dxa"/>
                </w:tcPr>
                <w:p w14:paraId="40E7588F" w14:textId="77777777" w:rsidR="008C2A90" w:rsidRPr="00F043D1" w:rsidRDefault="008C2A90" w:rsidP="008C2A90">
                  <w:pPr>
                    <w:jc w:val="left"/>
                    <w:rPr>
                      <w:rFonts w:ascii="Calibri" w:hAnsi="Calibri"/>
                    </w:rPr>
                  </w:pPr>
                  <w:r w:rsidRPr="00F043D1">
                    <w:rPr>
                      <w:rFonts w:ascii="Calibri" w:hAnsi="Calibri"/>
                    </w:rPr>
                    <w:t>Director</w:t>
                  </w:r>
                </w:p>
              </w:tc>
              <w:tc>
                <w:tcPr>
                  <w:tcW w:w="3584" w:type="dxa"/>
                </w:tcPr>
                <w:p w14:paraId="063D4231" w14:textId="77777777" w:rsidR="008C2A90" w:rsidRPr="00F043D1" w:rsidRDefault="008C2A90" w:rsidP="008C2A90">
                  <w:pPr>
                    <w:jc w:val="left"/>
                    <w:rPr>
                      <w:rFonts w:ascii="Calibri" w:hAnsi="Calibri"/>
                    </w:rPr>
                  </w:pPr>
                  <w:r w:rsidRPr="00F043D1">
                    <w:rPr>
                      <w:rFonts w:ascii="Calibri" w:hAnsi="Calibri"/>
                    </w:rPr>
                    <w:t>SPC</w:t>
                  </w:r>
                </w:p>
              </w:tc>
            </w:tr>
            <w:tr w:rsidR="009C7A2C" w:rsidRPr="008C2A90" w14:paraId="3F4321E9" w14:textId="77777777" w:rsidTr="00FB0282">
              <w:tc>
                <w:tcPr>
                  <w:tcW w:w="2189" w:type="dxa"/>
                </w:tcPr>
                <w:p w14:paraId="468700FA" w14:textId="77777777" w:rsidR="008C2A90" w:rsidRPr="00F043D1" w:rsidRDefault="008C2A90" w:rsidP="008C2A90">
                  <w:pPr>
                    <w:rPr>
                      <w:rFonts w:ascii="Calibri" w:hAnsi="Calibri"/>
                    </w:rPr>
                  </w:pPr>
                  <w:r w:rsidRPr="00F043D1">
                    <w:rPr>
                      <w:rFonts w:ascii="Calibri" w:hAnsi="Calibri"/>
                    </w:rPr>
                    <w:t>Anna Naupa</w:t>
                  </w:r>
                </w:p>
              </w:tc>
              <w:tc>
                <w:tcPr>
                  <w:tcW w:w="2801" w:type="dxa"/>
                </w:tcPr>
                <w:p w14:paraId="443D511C" w14:textId="77777777" w:rsidR="008C2A90" w:rsidRPr="00F043D1" w:rsidRDefault="008C2A90" w:rsidP="008C2A90">
                  <w:pPr>
                    <w:jc w:val="left"/>
                    <w:rPr>
                      <w:rFonts w:ascii="Calibri" w:hAnsi="Calibri"/>
                    </w:rPr>
                  </w:pPr>
                  <w:r w:rsidRPr="00F043D1">
                    <w:rPr>
                      <w:rFonts w:ascii="Calibri" w:hAnsi="Calibri"/>
                    </w:rPr>
                    <w:t>Adviser</w:t>
                  </w:r>
                </w:p>
              </w:tc>
              <w:tc>
                <w:tcPr>
                  <w:tcW w:w="3584" w:type="dxa"/>
                </w:tcPr>
                <w:p w14:paraId="7F5D7449" w14:textId="77777777" w:rsidR="008C2A90" w:rsidRPr="00F043D1" w:rsidRDefault="008C2A90" w:rsidP="008C2A90">
                  <w:pPr>
                    <w:jc w:val="left"/>
                    <w:rPr>
                      <w:rFonts w:ascii="Calibri" w:hAnsi="Calibri"/>
                    </w:rPr>
                  </w:pPr>
                  <w:r w:rsidRPr="00F043D1">
                    <w:rPr>
                      <w:rFonts w:ascii="Calibri" w:hAnsi="Calibri"/>
                    </w:rPr>
                    <w:t>PIFS</w:t>
                  </w:r>
                </w:p>
              </w:tc>
            </w:tr>
            <w:tr w:rsidR="009C7A2C" w:rsidRPr="008C2A90" w14:paraId="20EF09F5" w14:textId="77777777" w:rsidTr="00FB0282">
              <w:tc>
                <w:tcPr>
                  <w:tcW w:w="2189" w:type="dxa"/>
                </w:tcPr>
                <w:p w14:paraId="0D78B832" w14:textId="77777777" w:rsidR="008C2A90" w:rsidRPr="00F043D1" w:rsidRDefault="008C2A90" w:rsidP="008C2A90">
                  <w:pPr>
                    <w:rPr>
                      <w:rFonts w:ascii="Calibri" w:hAnsi="Calibri"/>
                    </w:rPr>
                  </w:pPr>
                  <w:r w:rsidRPr="00F043D1">
                    <w:rPr>
                      <w:rFonts w:ascii="Calibri" w:hAnsi="Calibri"/>
                    </w:rPr>
                    <w:t>Crystal Johnson</w:t>
                  </w:r>
                </w:p>
              </w:tc>
              <w:tc>
                <w:tcPr>
                  <w:tcW w:w="2801" w:type="dxa"/>
                </w:tcPr>
                <w:p w14:paraId="6B3F13C1" w14:textId="77777777" w:rsidR="008C2A90" w:rsidRPr="00F043D1" w:rsidRDefault="008C2A90" w:rsidP="008C2A90">
                  <w:pPr>
                    <w:jc w:val="left"/>
                    <w:rPr>
                      <w:rFonts w:ascii="Calibri" w:hAnsi="Calibri"/>
                    </w:rPr>
                  </w:pPr>
                  <w:r w:rsidRPr="00F043D1">
                    <w:rPr>
                      <w:rFonts w:ascii="Calibri" w:hAnsi="Calibri"/>
                    </w:rPr>
                    <w:t>Program Manager</w:t>
                  </w:r>
                </w:p>
              </w:tc>
              <w:tc>
                <w:tcPr>
                  <w:tcW w:w="3584" w:type="dxa"/>
                </w:tcPr>
                <w:p w14:paraId="6DE5B8CA" w14:textId="77777777" w:rsidR="008C2A90" w:rsidRPr="00F043D1" w:rsidRDefault="008C2A90" w:rsidP="008C2A90">
                  <w:pPr>
                    <w:jc w:val="left"/>
                    <w:rPr>
                      <w:rFonts w:ascii="Calibri" w:hAnsi="Calibri"/>
                    </w:rPr>
                  </w:pPr>
                  <w:r w:rsidRPr="00F043D1">
                    <w:rPr>
                      <w:rFonts w:ascii="Calibri" w:hAnsi="Calibri"/>
                    </w:rPr>
                    <w:t>PIFS</w:t>
                  </w:r>
                </w:p>
              </w:tc>
            </w:tr>
            <w:tr w:rsidR="009C7A2C" w:rsidRPr="008C2A90" w14:paraId="00E2B5B0" w14:textId="77777777" w:rsidTr="00FB0282">
              <w:tc>
                <w:tcPr>
                  <w:tcW w:w="2189" w:type="dxa"/>
                </w:tcPr>
                <w:p w14:paraId="0D5DB720" w14:textId="77777777" w:rsidR="008C2A90" w:rsidRPr="00F043D1" w:rsidRDefault="008C2A90" w:rsidP="008C2A90">
                  <w:pPr>
                    <w:rPr>
                      <w:rFonts w:ascii="Calibri" w:hAnsi="Calibri"/>
                    </w:rPr>
                  </w:pPr>
                  <w:r w:rsidRPr="00F043D1">
                    <w:rPr>
                      <w:rFonts w:ascii="Calibri" w:hAnsi="Calibri"/>
                    </w:rPr>
                    <w:t>Meg Taylor</w:t>
                  </w:r>
                </w:p>
              </w:tc>
              <w:tc>
                <w:tcPr>
                  <w:tcW w:w="2801" w:type="dxa"/>
                </w:tcPr>
                <w:p w14:paraId="5F47062A" w14:textId="77777777" w:rsidR="008C2A90" w:rsidRPr="00F043D1" w:rsidRDefault="008C2A90" w:rsidP="008C2A90">
                  <w:pPr>
                    <w:jc w:val="left"/>
                    <w:rPr>
                      <w:rFonts w:ascii="Calibri" w:hAnsi="Calibri"/>
                    </w:rPr>
                  </w:pPr>
                  <w:r w:rsidRPr="00F043D1">
                    <w:rPr>
                      <w:rFonts w:ascii="Calibri" w:hAnsi="Calibri"/>
                    </w:rPr>
                    <w:t>Secretary General</w:t>
                  </w:r>
                </w:p>
              </w:tc>
              <w:tc>
                <w:tcPr>
                  <w:tcW w:w="3584" w:type="dxa"/>
                </w:tcPr>
                <w:p w14:paraId="42C4544C" w14:textId="77777777" w:rsidR="008C2A90" w:rsidRPr="00F043D1" w:rsidRDefault="008C2A90" w:rsidP="008C2A90">
                  <w:pPr>
                    <w:jc w:val="left"/>
                    <w:rPr>
                      <w:rFonts w:ascii="Calibri" w:hAnsi="Calibri"/>
                    </w:rPr>
                  </w:pPr>
                  <w:r w:rsidRPr="00F043D1">
                    <w:rPr>
                      <w:rFonts w:ascii="Calibri" w:hAnsi="Calibri"/>
                    </w:rPr>
                    <w:t>PIFS</w:t>
                  </w:r>
                </w:p>
              </w:tc>
            </w:tr>
            <w:tr w:rsidR="009C7A2C" w:rsidRPr="008C2A90" w14:paraId="363EA9D7" w14:textId="77777777" w:rsidTr="00FB0282">
              <w:tc>
                <w:tcPr>
                  <w:tcW w:w="2189" w:type="dxa"/>
                </w:tcPr>
                <w:p w14:paraId="1460DEC2" w14:textId="77777777" w:rsidR="008C2A90" w:rsidRPr="00F043D1" w:rsidRDefault="008C2A90" w:rsidP="008C2A90">
                  <w:pPr>
                    <w:rPr>
                      <w:rFonts w:ascii="Calibri" w:hAnsi="Calibri"/>
                    </w:rPr>
                  </w:pPr>
                  <w:r w:rsidRPr="00F043D1">
                    <w:rPr>
                      <w:rFonts w:ascii="Calibri" w:hAnsi="Calibri"/>
                    </w:rPr>
                    <w:t>Chris Roche</w:t>
                  </w:r>
                </w:p>
              </w:tc>
              <w:tc>
                <w:tcPr>
                  <w:tcW w:w="2801" w:type="dxa"/>
                </w:tcPr>
                <w:p w14:paraId="634E6655" w14:textId="77777777" w:rsidR="008C2A90" w:rsidRPr="00F043D1" w:rsidRDefault="008C2A90" w:rsidP="008C2A90">
                  <w:pPr>
                    <w:jc w:val="left"/>
                    <w:rPr>
                      <w:rFonts w:ascii="Calibri" w:hAnsi="Calibri"/>
                    </w:rPr>
                  </w:pPr>
                  <w:r w:rsidRPr="00F043D1">
                    <w:rPr>
                      <w:rFonts w:ascii="Calibri" w:hAnsi="Calibri"/>
                    </w:rPr>
                    <w:t>Senior Research Partner</w:t>
                  </w:r>
                </w:p>
              </w:tc>
              <w:tc>
                <w:tcPr>
                  <w:tcW w:w="3584" w:type="dxa"/>
                </w:tcPr>
                <w:p w14:paraId="51B8B683" w14:textId="77777777" w:rsidR="008C2A90" w:rsidRPr="00F043D1" w:rsidRDefault="008C2A90" w:rsidP="008C2A90">
                  <w:pPr>
                    <w:jc w:val="left"/>
                    <w:rPr>
                      <w:rFonts w:ascii="Calibri" w:hAnsi="Calibri"/>
                    </w:rPr>
                  </w:pPr>
                  <w:r w:rsidRPr="00F043D1">
                    <w:rPr>
                      <w:rFonts w:ascii="Calibri" w:hAnsi="Calibri"/>
                    </w:rPr>
                    <w:t>LaTrobe University / DLP</w:t>
                  </w:r>
                </w:p>
              </w:tc>
            </w:tr>
            <w:tr w:rsidR="009C7A2C" w:rsidRPr="008C2A90" w14:paraId="7983114F" w14:textId="77777777" w:rsidTr="00FB0282">
              <w:tc>
                <w:tcPr>
                  <w:tcW w:w="2189" w:type="dxa"/>
                  <w:shd w:val="clear" w:color="auto" w:fill="auto"/>
                </w:tcPr>
                <w:p w14:paraId="1D066650" w14:textId="1A6B8CAD" w:rsidR="008C2A90" w:rsidRPr="00F043D1" w:rsidRDefault="008C2A90" w:rsidP="008C2A90">
                  <w:pPr>
                    <w:rPr>
                      <w:rFonts w:ascii="Calibri" w:hAnsi="Calibri"/>
                    </w:rPr>
                  </w:pPr>
                  <w:r w:rsidRPr="00F043D1">
                    <w:rPr>
                      <w:rFonts w:ascii="Calibri" w:hAnsi="Calibri"/>
                    </w:rPr>
                    <w:t>Afu</w:t>
                  </w:r>
                  <w:r w:rsidR="00945729">
                    <w:rPr>
                      <w:rFonts w:ascii="Calibri" w:hAnsi="Calibri"/>
                    </w:rPr>
                    <w:t xml:space="preserve"> Billly</w:t>
                  </w:r>
                </w:p>
              </w:tc>
              <w:tc>
                <w:tcPr>
                  <w:tcW w:w="2801" w:type="dxa"/>
                </w:tcPr>
                <w:p w14:paraId="198FD04D" w14:textId="77777777" w:rsidR="008C2A90" w:rsidRPr="00F043D1" w:rsidRDefault="008C2A90" w:rsidP="008C2A90">
                  <w:pPr>
                    <w:jc w:val="left"/>
                    <w:rPr>
                      <w:rFonts w:ascii="Calibri" w:hAnsi="Calibri"/>
                    </w:rPr>
                  </w:pPr>
                  <w:r w:rsidRPr="00F043D1">
                    <w:rPr>
                      <w:rFonts w:ascii="Calibri" w:hAnsi="Calibri"/>
                    </w:rPr>
                    <w:t>Safe Families Program staff</w:t>
                  </w:r>
                </w:p>
              </w:tc>
              <w:tc>
                <w:tcPr>
                  <w:tcW w:w="3584" w:type="dxa"/>
                </w:tcPr>
                <w:p w14:paraId="3D36C728" w14:textId="77777777" w:rsidR="008C2A90" w:rsidRPr="00F043D1" w:rsidRDefault="008C2A90" w:rsidP="008C2A90">
                  <w:pPr>
                    <w:jc w:val="left"/>
                    <w:rPr>
                      <w:rFonts w:ascii="Calibri" w:hAnsi="Calibri"/>
                    </w:rPr>
                  </w:pPr>
                  <w:r w:rsidRPr="00F043D1">
                    <w:rPr>
                      <w:rFonts w:ascii="Calibri" w:hAnsi="Calibri"/>
                    </w:rPr>
                    <w:t>Oxfam Solomon Islands</w:t>
                  </w:r>
                </w:p>
              </w:tc>
            </w:tr>
            <w:tr w:rsidR="009C7A2C" w:rsidRPr="008C2A90" w14:paraId="4BDB1238" w14:textId="77777777" w:rsidTr="00FB0282">
              <w:tc>
                <w:tcPr>
                  <w:tcW w:w="2189" w:type="dxa"/>
                  <w:shd w:val="clear" w:color="auto" w:fill="auto"/>
                </w:tcPr>
                <w:p w14:paraId="343C045A" w14:textId="2B0079ED" w:rsidR="008C2A90" w:rsidRPr="00F043D1" w:rsidRDefault="008C2A90" w:rsidP="008C2A90">
                  <w:pPr>
                    <w:rPr>
                      <w:rFonts w:ascii="Calibri" w:hAnsi="Calibri"/>
                    </w:rPr>
                  </w:pPr>
                  <w:r w:rsidRPr="00F043D1">
                    <w:rPr>
                      <w:rFonts w:ascii="Calibri" w:hAnsi="Calibri"/>
                    </w:rPr>
                    <w:t>Jenta</w:t>
                  </w:r>
                  <w:r w:rsidR="00945729">
                    <w:rPr>
                      <w:rFonts w:ascii="Calibri" w:hAnsi="Calibri"/>
                    </w:rPr>
                    <w:t xml:space="preserve"> Manu</w:t>
                  </w:r>
                </w:p>
              </w:tc>
              <w:tc>
                <w:tcPr>
                  <w:tcW w:w="2801" w:type="dxa"/>
                </w:tcPr>
                <w:p w14:paraId="7D7FC5E3" w14:textId="77777777" w:rsidR="008C2A90" w:rsidRPr="00F043D1" w:rsidRDefault="008C2A90" w:rsidP="008C2A90">
                  <w:pPr>
                    <w:jc w:val="left"/>
                    <w:rPr>
                      <w:rFonts w:ascii="Calibri" w:hAnsi="Calibri"/>
                    </w:rPr>
                  </w:pPr>
                  <w:r w:rsidRPr="00F043D1">
                    <w:rPr>
                      <w:rFonts w:ascii="Calibri" w:hAnsi="Calibri"/>
                    </w:rPr>
                    <w:t>Safe Families Program staff</w:t>
                  </w:r>
                </w:p>
              </w:tc>
              <w:tc>
                <w:tcPr>
                  <w:tcW w:w="3584" w:type="dxa"/>
                </w:tcPr>
                <w:p w14:paraId="29D78376" w14:textId="77777777" w:rsidR="008C2A90" w:rsidRPr="00F043D1" w:rsidRDefault="008C2A90" w:rsidP="008C2A90">
                  <w:pPr>
                    <w:jc w:val="left"/>
                    <w:rPr>
                      <w:rFonts w:ascii="Calibri" w:hAnsi="Calibri"/>
                    </w:rPr>
                  </w:pPr>
                  <w:r w:rsidRPr="00F043D1">
                    <w:rPr>
                      <w:rFonts w:ascii="Calibri" w:hAnsi="Calibri"/>
                    </w:rPr>
                    <w:t>Oxfam Solomon Islands</w:t>
                  </w:r>
                </w:p>
              </w:tc>
            </w:tr>
            <w:tr w:rsidR="009C7A2C" w:rsidRPr="008C2A90" w14:paraId="5803960C" w14:textId="77777777" w:rsidTr="00FB0282">
              <w:tc>
                <w:tcPr>
                  <w:tcW w:w="2189" w:type="dxa"/>
                  <w:shd w:val="clear" w:color="auto" w:fill="auto"/>
                </w:tcPr>
                <w:p w14:paraId="2E56CBB5" w14:textId="0D1F348B" w:rsidR="008C2A90" w:rsidRPr="00F043D1" w:rsidRDefault="008C2A90" w:rsidP="008C2A90">
                  <w:pPr>
                    <w:rPr>
                      <w:rFonts w:ascii="Calibri" w:hAnsi="Calibri"/>
                    </w:rPr>
                  </w:pPr>
                  <w:r w:rsidRPr="00F043D1">
                    <w:rPr>
                      <w:rFonts w:ascii="Calibri" w:hAnsi="Calibri"/>
                    </w:rPr>
                    <w:t>Nelson</w:t>
                  </w:r>
                  <w:r w:rsidR="00945729">
                    <w:rPr>
                      <w:rFonts w:ascii="Calibri" w:hAnsi="Calibri"/>
                    </w:rPr>
                    <w:t xml:space="preserve"> Sobo</w:t>
                  </w:r>
                </w:p>
              </w:tc>
              <w:tc>
                <w:tcPr>
                  <w:tcW w:w="2801" w:type="dxa"/>
                </w:tcPr>
                <w:p w14:paraId="52D19EAB" w14:textId="77777777" w:rsidR="008C2A90" w:rsidRPr="00F043D1" w:rsidRDefault="008C2A90" w:rsidP="008C2A90">
                  <w:pPr>
                    <w:jc w:val="left"/>
                    <w:rPr>
                      <w:rFonts w:ascii="Calibri" w:hAnsi="Calibri"/>
                    </w:rPr>
                  </w:pPr>
                  <w:r w:rsidRPr="00F043D1">
                    <w:rPr>
                      <w:rFonts w:ascii="Calibri" w:hAnsi="Calibri"/>
                    </w:rPr>
                    <w:t>Safe Families Program staff</w:t>
                  </w:r>
                </w:p>
              </w:tc>
              <w:tc>
                <w:tcPr>
                  <w:tcW w:w="3584" w:type="dxa"/>
                </w:tcPr>
                <w:p w14:paraId="4EC0DDA3" w14:textId="77777777" w:rsidR="008C2A90" w:rsidRPr="00F043D1" w:rsidRDefault="008C2A90" w:rsidP="008C2A90">
                  <w:pPr>
                    <w:jc w:val="left"/>
                    <w:rPr>
                      <w:rFonts w:ascii="Calibri" w:hAnsi="Calibri"/>
                    </w:rPr>
                  </w:pPr>
                  <w:r w:rsidRPr="00F043D1">
                    <w:rPr>
                      <w:rFonts w:ascii="Calibri" w:hAnsi="Calibri"/>
                    </w:rPr>
                    <w:t>Oxfam Solomon Islands</w:t>
                  </w:r>
                </w:p>
              </w:tc>
            </w:tr>
            <w:tr w:rsidR="009C7A2C" w:rsidRPr="008C2A90" w14:paraId="5535D9A5" w14:textId="77777777" w:rsidTr="00FB0282">
              <w:tc>
                <w:tcPr>
                  <w:tcW w:w="2189" w:type="dxa"/>
                  <w:shd w:val="clear" w:color="auto" w:fill="auto"/>
                </w:tcPr>
                <w:p w14:paraId="1CA0306A" w14:textId="012F7ABD" w:rsidR="008C2A90" w:rsidRPr="00F043D1" w:rsidRDefault="008C2A90" w:rsidP="008C2A90">
                  <w:pPr>
                    <w:rPr>
                      <w:rFonts w:ascii="Calibri" w:hAnsi="Calibri"/>
                    </w:rPr>
                  </w:pPr>
                  <w:r w:rsidRPr="00F043D1">
                    <w:rPr>
                      <w:rFonts w:ascii="Calibri" w:hAnsi="Calibri"/>
                    </w:rPr>
                    <w:t xml:space="preserve">Margaret </w:t>
                  </w:r>
                  <w:r w:rsidR="00945729">
                    <w:rPr>
                      <w:rFonts w:ascii="Calibri" w:hAnsi="Calibri"/>
                    </w:rPr>
                    <w:t>Ilisia</w:t>
                  </w:r>
                </w:p>
              </w:tc>
              <w:tc>
                <w:tcPr>
                  <w:tcW w:w="2801" w:type="dxa"/>
                </w:tcPr>
                <w:p w14:paraId="486E151E" w14:textId="77777777" w:rsidR="008C2A90" w:rsidRPr="00F043D1" w:rsidRDefault="008C2A90" w:rsidP="008C2A90">
                  <w:pPr>
                    <w:jc w:val="left"/>
                    <w:rPr>
                      <w:rFonts w:ascii="Calibri" w:hAnsi="Calibri"/>
                    </w:rPr>
                  </w:pPr>
                  <w:r w:rsidRPr="00F043D1">
                    <w:rPr>
                      <w:rFonts w:ascii="Calibri" w:hAnsi="Calibri"/>
                    </w:rPr>
                    <w:t>Safe Families Program staff</w:t>
                  </w:r>
                </w:p>
              </w:tc>
              <w:tc>
                <w:tcPr>
                  <w:tcW w:w="3584" w:type="dxa"/>
                </w:tcPr>
                <w:p w14:paraId="422D0C18" w14:textId="77777777" w:rsidR="008C2A90" w:rsidRPr="00F043D1" w:rsidRDefault="008C2A90" w:rsidP="008C2A90">
                  <w:pPr>
                    <w:jc w:val="left"/>
                    <w:rPr>
                      <w:rFonts w:ascii="Calibri" w:hAnsi="Calibri"/>
                    </w:rPr>
                  </w:pPr>
                  <w:r w:rsidRPr="00F043D1">
                    <w:rPr>
                      <w:rFonts w:ascii="Calibri" w:hAnsi="Calibri"/>
                    </w:rPr>
                    <w:t>Oxfam Solomon Islands</w:t>
                  </w:r>
                </w:p>
              </w:tc>
            </w:tr>
            <w:tr w:rsidR="009C7A2C" w:rsidRPr="008C2A90" w14:paraId="2DB9FD0F" w14:textId="77777777" w:rsidTr="00FB0282">
              <w:tc>
                <w:tcPr>
                  <w:tcW w:w="2189" w:type="dxa"/>
                  <w:shd w:val="clear" w:color="auto" w:fill="auto"/>
                </w:tcPr>
                <w:p w14:paraId="0DEB827C" w14:textId="1C69A2EA" w:rsidR="008C2A90" w:rsidRPr="00F043D1" w:rsidRDefault="008C2A90" w:rsidP="008C2A90">
                  <w:pPr>
                    <w:rPr>
                      <w:rFonts w:ascii="Calibri" w:hAnsi="Calibri"/>
                    </w:rPr>
                  </w:pPr>
                  <w:r w:rsidRPr="00F043D1">
                    <w:rPr>
                      <w:rFonts w:ascii="Calibri" w:hAnsi="Calibri"/>
                    </w:rPr>
                    <w:t>Ed</w:t>
                  </w:r>
                  <w:r w:rsidR="00945729">
                    <w:rPr>
                      <w:rFonts w:ascii="Calibri" w:hAnsi="Calibri"/>
                    </w:rPr>
                    <w:t>die Kwaliu</w:t>
                  </w:r>
                </w:p>
              </w:tc>
              <w:tc>
                <w:tcPr>
                  <w:tcW w:w="2801" w:type="dxa"/>
                </w:tcPr>
                <w:p w14:paraId="1EF985F9" w14:textId="77777777" w:rsidR="008C2A90" w:rsidRPr="00F043D1" w:rsidRDefault="008C2A90" w:rsidP="008C2A90">
                  <w:pPr>
                    <w:jc w:val="left"/>
                    <w:rPr>
                      <w:rFonts w:ascii="Calibri" w:hAnsi="Calibri"/>
                    </w:rPr>
                  </w:pPr>
                  <w:r w:rsidRPr="00F043D1">
                    <w:rPr>
                      <w:rFonts w:ascii="Calibri" w:hAnsi="Calibri"/>
                    </w:rPr>
                    <w:t>Safe Families Program staff</w:t>
                  </w:r>
                </w:p>
              </w:tc>
              <w:tc>
                <w:tcPr>
                  <w:tcW w:w="3584" w:type="dxa"/>
                </w:tcPr>
                <w:p w14:paraId="65955A67" w14:textId="77777777" w:rsidR="008C2A90" w:rsidRPr="00F043D1" w:rsidRDefault="008C2A90" w:rsidP="008C2A90">
                  <w:pPr>
                    <w:jc w:val="left"/>
                    <w:rPr>
                      <w:rFonts w:ascii="Calibri" w:hAnsi="Calibri"/>
                    </w:rPr>
                  </w:pPr>
                  <w:r w:rsidRPr="00F043D1">
                    <w:rPr>
                      <w:rFonts w:ascii="Calibri" w:hAnsi="Calibri"/>
                    </w:rPr>
                    <w:t>Oxfam Solomon Islands</w:t>
                  </w:r>
                </w:p>
              </w:tc>
            </w:tr>
            <w:tr w:rsidR="009C7A2C" w:rsidRPr="008C2A90" w14:paraId="21962E70" w14:textId="77777777" w:rsidTr="00FB0282">
              <w:tc>
                <w:tcPr>
                  <w:tcW w:w="2189" w:type="dxa"/>
                </w:tcPr>
                <w:p w14:paraId="532DE18B" w14:textId="77777777" w:rsidR="008C2A90" w:rsidRPr="00F043D1" w:rsidRDefault="008C2A90" w:rsidP="008C2A90">
                  <w:pPr>
                    <w:rPr>
                      <w:rFonts w:ascii="Calibri" w:hAnsi="Calibri"/>
                    </w:rPr>
                  </w:pPr>
                  <w:r w:rsidRPr="00F043D1">
                    <w:rPr>
                      <w:rFonts w:ascii="Calibri" w:hAnsi="Calibri"/>
                    </w:rPr>
                    <w:t>Doris Puiahi</w:t>
                  </w:r>
                </w:p>
              </w:tc>
              <w:tc>
                <w:tcPr>
                  <w:tcW w:w="2801" w:type="dxa"/>
                </w:tcPr>
                <w:p w14:paraId="22327B12" w14:textId="77777777" w:rsidR="008C2A90" w:rsidRPr="00F043D1" w:rsidRDefault="008C2A90" w:rsidP="008C2A90">
                  <w:pPr>
                    <w:jc w:val="left"/>
                    <w:rPr>
                      <w:rFonts w:ascii="Calibri" w:hAnsi="Calibri"/>
                    </w:rPr>
                  </w:pPr>
                  <w:r w:rsidRPr="00F043D1">
                    <w:rPr>
                      <w:rFonts w:ascii="Calibri" w:hAnsi="Calibri"/>
                    </w:rPr>
                    <w:t>Former staff member</w:t>
                  </w:r>
                </w:p>
              </w:tc>
              <w:tc>
                <w:tcPr>
                  <w:tcW w:w="3584" w:type="dxa"/>
                </w:tcPr>
                <w:p w14:paraId="05A838C2" w14:textId="77777777" w:rsidR="008C2A90" w:rsidRPr="00F043D1" w:rsidRDefault="008C2A90" w:rsidP="008C2A90">
                  <w:pPr>
                    <w:jc w:val="left"/>
                    <w:rPr>
                      <w:rFonts w:ascii="Calibri" w:hAnsi="Calibri"/>
                    </w:rPr>
                  </w:pPr>
                  <w:r w:rsidRPr="00F043D1">
                    <w:rPr>
                      <w:rFonts w:ascii="Calibri" w:hAnsi="Calibri"/>
                    </w:rPr>
                    <w:t>Oxfam Solomon Islands</w:t>
                  </w:r>
                </w:p>
              </w:tc>
            </w:tr>
            <w:tr w:rsidR="009C7A2C" w:rsidRPr="008C2A90" w14:paraId="3CA90415" w14:textId="77777777" w:rsidTr="00FB0282">
              <w:tc>
                <w:tcPr>
                  <w:tcW w:w="2189" w:type="dxa"/>
                </w:tcPr>
                <w:p w14:paraId="19804EDD" w14:textId="77777777" w:rsidR="008C2A90" w:rsidRPr="00F043D1" w:rsidRDefault="008C2A90" w:rsidP="008C2A90">
                  <w:pPr>
                    <w:rPr>
                      <w:rFonts w:ascii="Calibri" w:hAnsi="Calibri"/>
                    </w:rPr>
                  </w:pPr>
                  <w:r w:rsidRPr="00F043D1">
                    <w:rPr>
                      <w:rFonts w:ascii="Calibri" w:hAnsi="Calibri"/>
                    </w:rPr>
                    <w:t>Naomi Tai</w:t>
                  </w:r>
                </w:p>
              </w:tc>
              <w:tc>
                <w:tcPr>
                  <w:tcW w:w="2801" w:type="dxa"/>
                </w:tcPr>
                <w:p w14:paraId="6A5E3565" w14:textId="77777777" w:rsidR="008C2A90" w:rsidRPr="00F043D1" w:rsidRDefault="008C2A90" w:rsidP="008C2A90">
                  <w:pPr>
                    <w:jc w:val="left"/>
                    <w:rPr>
                      <w:rFonts w:ascii="Calibri" w:hAnsi="Calibri"/>
                    </w:rPr>
                  </w:pPr>
                  <w:r w:rsidRPr="00F043D1">
                    <w:rPr>
                      <w:rFonts w:ascii="Calibri" w:hAnsi="Calibri"/>
                    </w:rPr>
                    <w:t>Board member</w:t>
                  </w:r>
                </w:p>
              </w:tc>
              <w:tc>
                <w:tcPr>
                  <w:tcW w:w="3584" w:type="dxa"/>
                </w:tcPr>
                <w:p w14:paraId="3B335DFA" w14:textId="77777777" w:rsidR="008C2A90" w:rsidRPr="00F043D1" w:rsidRDefault="008C2A90" w:rsidP="008C2A90">
                  <w:pPr>
                    <w:jc w:val="left"/>
                    <w:rPr>
                      <w:rFonts w:ascii="Calibri" w:hAnsi="Calibri"/>
                    </w:rPr>
                  </w:pPr>
                  <w:r w:rsidRPr="00F043D1">
                    <w:rPr>
                      <w:rFonts w:ascii="Calibri" w:hAnsi="Calibri"/>
                    </w:rPr>
                    <w:t>PWDSI</w:t>
                  </w:r>
                </w:p>
              </w:tc>
            </w:tr>
            <w:tr w:rsidR="009C7A2C" w:rsidRPr="008C2A90" w14:paraId="1C62F667" w14:textId="77777777" w:rsidTr="00FB0282">
              <w:tc>
                <w:tcPr>
                  <w:tcW w:w="2189" w:type="dxa"/>
                </w:tcPr>
                <w:p w14:paraId="3B0E5F50" w14:textId="77777777" w:rsidR="008C2A90" w:rsidRPr="00F043D1" w:rsidRDefault="008C2A90" w:rsidP="008C2A90">
                  <w:pPr>
                    <w:rPr>
                      <w:rFonts w:ascii="Calibri" w:hAnsi="Calibri"/>
                    </w:rPr>
                  </w:pPr>
                  <w:r w:rsidRPr="00F043D1">
                    <w:rPr>
                      <w:rFonts w:ascii="Calibri" w:hAnsi="Calibri"/>
                    </w:rPr>
                    <w:t>Shadrach Timothy</w:t>
                  </w:r>
                </w:p>
              </w:tc>
              <w:tc>
                <w:tcPr>
                  <w:tcW w:w="2801" w:type="dxa"/>
                </w:tcPr>
                <w:p w14:paraId="316B570E" w14:textId="77777777" w:rsidR="008C2A90" w:rsidRPr="00F043D1" w:rsidRDefault="008C2A90" w:rsidP="008C2A90">
                  <w:pPr>
                    <w:jc w:val="left"/>
                    <w:rPr>
                      <w:rFonts w:ascii="Calibri" w:hAnsi="Calibri"/>
                    </w:rPr>
                  </w:pPr>
                  <w:r w:rsidRPr="00F043D1">
                    <w:rPr>
                      <w:rFonts w:ascii="Calibri" w:hAnsi="Calibri"/>
                    </w:rPr>
                    <w:t>Staff member</w:t>
                  </w:r>
                </w:p>
              </w:tc>
              <w:tc>
                <w:tcPr>
                  <w:tcW w:w="3584" w:type="dxa"/>
                </w:tcPr>
                <w:p w14:paraId="7DF78980" w14:textId="77777777" w:rsidR="008C2A90" w:rsidRPr="00F043D1" w:rsidRDefault="008C2A90" w:rsidP="008C2A90">
                  <w:pPr>
                    <w:jc w:val="left"/>
                    <w:rPr>
                      <w:rFonts w:ascii="Calibri" w:hAnsi="Calibri"/>
                    </w:rPr>
                  </w:pPr>
                  <w:r w:rsidRPr="00F043D1">
                    <w:rPr>
                      <w:rFonts w:ascii="Calibri" w:hAnsi="Calibri"/>
                    </w:rPr>
                    <w:t>PWDSI</w:t>
                  </w:r>
                </w:p>
              </w:tc>
            </w:tr>
            <w:tr w:rsidR="009C7A2C" w:rsidRPr="008C2A90" w14:paraId="3F954A23" w14:textId="77777777" w:rsidTr="00FB0282">
              <w:tc>
                <w:tcPr>
                  <w:tcW w:w="2189" w:type="dxa"/>
                </w:tcPr>
                <w:p w14:paraId="1B938D7C" w14:textId="77777777" w:rsidR="008C2A90" w:rsidRPr="00F043D1" w:rsidRDefault="008C2A90" w:rsidP="008C2A90">
                  <w:pPr>
                    <w:rPr>
                      <w:rFonts w:ascii="Calibri" w:hAnsi="Calibri"/>
                    </w:rPr>
                  </w:pPr>
                  <w:r w:rsidRPr="00F043D1">
                    <w:rPr>
                      <w:rFonts w:ascii="Calibri" w:hAnsi="Calibri"/>
                    </w:rPr>
                    <w:t>Dennis Meone</w:t>
                  </w:r>
                </w:p>
              </w:tc>
              <w:tc>
                <w:tcPr>
                  <w:tcW w:w="2801" w:type="dxa"/>
                </w:tcPr>
                <w:p w14:paraId="06A78D24" w14:textId="77777777" w:rsidR="008C2A90" w:rsidRPr="00F043D1" w:rsidRDefault="008C2A90" w:rsidP="008C2A90">
                  <w:pPr>
                    <w:jc w:val="left"/>
                    <w:rPr>
                      <w:rFonts w:ascii="Calibri" w:hAnsi="Calibri"/>
                    </w:rPr>
                  </w:pPr>
                  <w:r w:rsidRPr="00F043D1">
                    <w:rPr>
                      <w:rFonts w:ascii="Calibri" w:hAnsi="Calibri"/>
                    </w:rPr>
                    <w:t>CEO</w:t>
                  </w:r>
                </w:p>
              </w:tc>
              <w:tc>
                <w:tcPr>
                  <w:tcW w:w="3584" w:type="dxa"/>
                </w:tcPr>
                <w:p w14:paraId="64DE4F4E" w14:textId="77777777" w:rsidR="008C2A90" w:rsidRPr="00F043D1" w:rsidRDefault="008C2A90" w:rsidP="008C2A90">
                  <w:pPr>
                    <w:jc w:val="left"/>
                    <w:rPr>
                      <w:rFonts w:ascii="Calibri" w:hAnsi="Calibri"/>
                    </w:rPr>
                  </w:pPr>
                  <w:r w:rsidRPr="00F043D1">
                    <w:rPr>
                      <w:rFonts w:ascii="Calibri" w:hAnsi="Calibri"/>
                    </w:rPr>
                    <w:t>SICCI</w:t>
                  </w:r>
                </w:p>
              </w:tc>
            </w:tr>
            <w:tr w:rsidR="009C7A2C" w:rsidRPr="008C2A90" w14:paraId="0399E65A" w14:textId="77777777" w:rsidTr="00FB0282">
              <w:tc>
                <w:tcPr>
                  <w:tcW w:w="2189" w:type="dxa"/>
                </w:tcPr>
                <w:p w14:paraId="5D4A02A5" w14:textId="77777777" w:rsidR="008C2A90" w:rsidRPr="00F043D1" w:rsidRDefault="008C2A90" w:rsidP="008C2A90">
                  <w:pPr>
                    <w:rPr>
                      <w:rFonts w:ascii="Calibri" w:hAnsi="Calibri"/>
                    </w:rPr>
                  </w:pPr>
                  <w:r w:rsidRPr="00F043D1">
                    <w:rPr>
                      <w:rFonts w:ascii="Calibri" w:hAnsi="Calibri"/>
                    </w:rPr>
                    <w:t>Charles Persson</w:t>
                  </w:r>
                </w:p>
              </w:tc>
              <w:tc>
                <w:tcPr>
                  <w:tcW w:w="2801" w:type="dxa"/>
                </w:tcPr>
                <w:p w14:paraId="7B545D4A" w14:textId="77777777" w:rsidR="008C2A90" w:rsidRPr="00F043D1" w:rsidRDefault="008C2A90" w:rsidP="008C2A90">
                  <w:pPr>
                    <w:jc w:val="left"/>
                    <w:rPr>
                      <w:rFonts w:ascii="Calibri" w:hAnsi="Calibri"/>
                    </w:rPr>
                  </w:pPr>
                  <w:r w:rsidRPr="00F043D1">
                    <w:rPr>
                      <w:rFonts w:ascii="Calibri" w:hAnsi="Calibri"/>
                    </w:rPr>
                    <w:t>Adviser to the CEO</w:t>
                  </w:r>
                </w:p>
              </w:tc>
              <w:tc>
                <w:tcPr>
                  <w:tcW w:w="3584" w:type="dxa"/>
                </w:tcPr>
                <w:p w14:paraId="6E8BC88E" w14:textId="77777777" w:rsidR="008C2A90" w:rsidRPr="00F043D1" w:rsidRDefault="008C2A90" w:rsidP="008C2A90">
                  <w:pPr>
                    <w:jc w:val="left"/>
                    <w:rPr>
                      <w:rFonts w:ascii="Calibri" w:hAnsi="Calibri"/>
                    </w:rPr>
                  </w:pPr>
                  <w:r w:rsidRPr="00F043D1">
                    <w:rPr>
                      <w:rFonts w:ascii="Calibri" w:hAnsi="Calibri"/>
                    </w:rPr>
                    <w:t>SICCI</w:t>
                  </w:r>
                </w:p>
              </w:tc>
            </w:tr>
            <w:tr w:rsidR="009C7A2C" w:rsidRPr="008C2A90" w14:paraId="0EDDA853" w14:textId="77777777" w:rsidTr="00FB0282">
              <w:tc>
                <w:tcPr>
                  <w:tcW w:w="2189" w:type="dxa"/>
                </w:tcPr>
                <w:p w14:paraId="4226BA6D" w14:textId="77777777" w:rsidR="008C2A90" w:rsidRPr="00F043D1" w:rsidRDefault="008C2A90" w:rsidP="008C2A90">
                  <w:pPr>
                    <w:rPr>
                      <w:rFonts w:ascii="Calibri" w:hAnsi="Calibri"/>
                    </w:rPr>
                  </w:pPr>
                  <w:r w:rsidRPr="00F043D1">
                    <w:rPr>
                      <w:rFonts w:ascii="Calibri" w:hAnsi="Calibri"/>
                    </w:rPr>
                    <w:t>Rose Martin</w:t>
                  </w:r>
                </w:p>
              </w:tc>
              <w:tc>
                <w:tcPr>
                  <w:tcW w:w="2801" w:type="dxa"/>
                </w:tcPr>
                <w:p w14:paraId="62CAB61F" w14:textId="77777777" w:rsidR="008C2A90" w:rsidRPr="00F043D1" w:rsidRDefault="008C2A90" w:rsidP="008C2A90">
                  <w:pPr>
                    <w:jc w:val="left"/>
                    <w:rPr>
                      <w:rFonts w:ascii="Calibri" w:hAnsi="Calibri"/>
                    </w:rPr>
                  </w:pPr>
                  <w:r w:rsidRPr="00F043D1">
                    <w:rPr>
                      <w:rFonts w:ascii="Calibri" w:hAnsi="Calibri"/>
                    </w:rPr>
                    <w:t>Coordinator</w:t>
                  </w:r>
                </w:p>
              </w:tc>
              <w:tc>
                <w:tcPr>
                  <w:tcW w:w="3584" w:type="dxa"/>
                </w:tcPr>
                <w:p w14:paraId="15B9AAE4" w14:textId="77777777" w:rsidR="008C2A90" w:rsidRPr="00F043D1" w:rsidRDefault="008C2A90" w:rsidP="008C2A90">
                  <w:pPr>
                    <w:jc w:val="left"/>
                    <w:rPr>
                      <w:rFonts w:ascii="Calibri" w:hAnsi="Calibri"/>
                    </w:rPr>
                  </w:pPr>
                  <w:r w:rsidRPr="00F043D1">
                    <w:rPr>
                      <w:rFonts w:ascii="Calibri" w:hAnsi="Calibri"/>
                    </w:rPr>
                    <w:t>Youth @ Work</w:t>
                  </w:r>
                </w:p>
              </w:tc>
            </w:tr>
            <w:tr w:rsidR="009C7A2C" w:rsidRPr="008C2A90" w14:paraId="34BD94DC" w14:textId="77777777" w:rsidTr="00FB0282">
              <w:tc>
                <w:tcPr>
                  <w:tcW w:w="2189" w:type="dxa"/>
                </w:tcPr>
                <w:p w14:paraId="688F342B" w14:textId="77777777" w:rsidR="008C2A90" w:rsidRPr="00F043D1" w:rsidRDefault="008C2A90" w:rsidP="008C2A90">
                  <w:pPr>
                    <w:rPr>
                      <w:rFonts w:ascii="Calibri" w:hAnsi="Calibri"/>
                    </w:rPr>
                  </w:pPr>
                  <w:r w:rsidRPr="00F043D1">
                    <w:rPr>
                      <w:rFonts w:ascii="Calibri" w:hAnsi="Calibri"/>
                    </w:rPr>
                    <w:t>Esther Suti</w:t>
                  </w:r>
                </w:p>
              </w:tc>
              <w:tc>
                <w:tcPr>
                  <w:tcW w:w="2801" w:type="dxa"/>
                  <w:shd w:val="clear" w:color="auto" w:fill="auto"/>
                </w:tcPr>
                <w:p w14:paraId="58D1426A" w14:textId="15888110" w:rsidR="008C2A90" w:rsidRPr="00F043D1" w:rsidRDefault="00ED2434" w:rsidP="008C2A90">
                  <w:pPr>
                    <w:jc w:val="left"/>
                    <w:rPr>
                      <w:rFonts w:ascii="Calibri" w:hAnsi="Calibri"/>
                    </w:rPr>
                  </w:pPr>
                  <w:r>
                    <w:rPr>
                      <w:rFonts w:ascii="Calibri" w:hAnsi="Calibri"/>
                    </w:rPr>
                    <w:t>Business Entrepreneur</w:t>
                  </w:r>
                </w:p>
              </w:tc>
              <w:tc>
                <w:tcPr>
                  <w:tcW w:w="3584" w:type="dxa"/>
                </w:tcPr>
                <w:p w14:paraId="6EEDD2D1" w14:textId="77777777" w:rsidR="008C2A90" w:rsidRPr="00F043D1" w:rsidRDefault="008C2A90" w:rsidP="008C2A90">
                  <w:pPr>
                    <w:jc w:val="left"/>
                    <w:rPr>
                      <w:rFonts w:ascii="Calibri" w:hAnsi="Calibri"/>
                    </w:rPr>
                  </w:pPr>
                  <w:r w:rsidRPr="00F043D1">
                    <w:rPr>
                      <w:rFonts w:ascii="Calibri" w:hAnsi="Calibri"/>
                    </w:rPr>
                    <w:t>Simbo for Change</w:t>
                  </w:r>
                </w:p>
              </w:tc>
            </w:tr>
            <w:tr w:rsidR="009C7A2C" w:rsidRPr="008C2A90" w14:paraId="29391241" w14:textId="77777777" w:rsidTr="00FB0282">
              <w:tc>
                <w:tcPr>
                  <w:tcW w:w="2189" w:type="dxa"/>
                </w:tcPr>
                <w:p w14:paraId="68049C5A" w14:textId="77777777" w:rsidR="008C2A90" w:rsidRPr="00F043D1" w:rsidRDefault="008C2A90" w:rsidP="008C2A90">
                  <w:pPr>
                    <w:rPr>
                      <w:rFonts w:ascii="Calibri" w:hAnsi="Calibri"/>
                    </w:rPr>
                  </w:pPr>
                  <w:r w:rsidRPr="00F043D1">
                    <w:rPr>
                      <w:rFonts w:ascii="Calibri" w:hAnsi="Calibri"/>
                    </w:rPr>
                    <w:t>Stephen Suti</w:t>
                  </w:r>
                </w:p>
              </w:tc>
              <w:tc>
                <w:tcPr>
                  <w:tcW w:w="2801" w:type="dxa"/>
                  <w:shd w:val="clear" w:color="auto" w:fill="auto"/>
                </w:tcPr>
                <w:p w14:paraId="13EF2022" w14:textId="1E9CC510" w:rsidR="008C2A90" w:rsidRPr="00F043D1" w:rsidRDefault="00ED2434" w:rsidP="008C2A90">
                  <w:pPr>
                    <w:jc w:val="left"/>
                    <w:rPr>
                      <w:rFonts w:ascii="Calibri" w:hAnsi="Calibri"/>
                    </w:rPr>
                  </w:pPr>
                  <w:r>
                    <w:rPr>
                      <w:rFonts w:ascii="Calibri" w:hAnsi="Calibri"/>
                    </w:rPr>
                    <w:t>Business Entrepreneur</w:t>
                  </w:r>
                </w:p>
              </w:tc>
              <w:tc>
                <w:tcPr>
                  <w:tcW w:w="3584" w:type="dxa"/>
                </w:tcPr>
                <w:p w14:paraId="57B0805B" w14:textId="77777777" w:rsidR="008C2A90" w:rsidRPr="00F043D1" w:rsidRDefault="008C2A90" w:rsidP="008C2A90">
                  <w:pPr>
                    <w:jc w:val="left"/>
                    <w:rPr>
                      <w:rFonts w:ascii="Calibri" w:hAnsi="Calibri"/>
                    </w:rPr>
                  </w:pPr>
                  <w:r w:rsidRPr="00F043D1">
                    <w:rPr>
                      <w:rFonts w:ascii="Calibri" w:hAnsi="Calibri"/>
                    </w:rPr>
                    <w:t>Simbo for Change</w:t>
                  </w:r>
                </w:p>
              </w:tc>
            </w:tr>
            <w:tr w:rsidR="009C7A2C" w:rsidRPr="008C2A90" w14:paraId="366B14A3" w14:textId="77777777" w:rsidTr="00FB0282">
              <w:tc>
                <w:tcPr>
                  <w:tcW w:w="2189" w:type="dxa"/>
                </w:tcPr>
                <w:p w14:paraId="0D7E105F" w14:textId="77777777" w:rsidR="008C2A90" w:rsidRPr="00F043D1" w:rsidRDefault="008C2A90" w:rsidP="008C2A90">
                  <w:pPr>
                    <w:rPr>
                      <w:rFonts w:ascii="Calibri" w:hAnsi="Calibri"/>
                    </w:rPr>
                  </w:pPr>
                  <w:r w:rsidRPr="00F043D1">
                    <w:rPr>
                      <w:rFonts w:ascii="Calibri" w:hAnsi="Calibri"/>
                    </w:rPr>
                    <w:t>Esther Londu</w:t>
                  </w:r>
                </w:p>
              </w:tc>
              <w:tc>
                <w:tcPr>
                  <w:tcW w:w="2801" w:type="dxa"/>
                </w:tcPr>
                <w:p w14:paraId="3846CE4D" w14:textId="77777777" w:rsidR="008C2A90" w:rsidRPr="00F043D1" w:rsidRDefault="008C2A90" w:rsidP="008C2A90">
                  <w:pPr>
                    <w:jc w:val="left"/>
                    <w:rPr>
                      <w:rFonts w:ascii="Calibri" w:hAnsi="Calibri"/>
                    </w:rPr>
                  </w:pPr>
                  <w:r w:rsidRPr="00F043D1">
                    <w:rPr>
                      <w:rFonts w:ascii="Calibri" w:hAnsi="Calibri"/>
                    </w:rPr>
                    <w:t>Community member</w:t>
                  </w:r>
                </w:p>
              </w:tc>
              <w:tc>
                <w:tcPr>
                  <w:tcW w:w="3584" w:type="dxa"/>
                </w:tcPr>
                <w:p w14:paraId="0F6525E2" w14:textId="77777777" w:rsidR="008C2A90" w:rsidRPr="00F043D1" w:rsidRDefault="008C2A90" w:rsidP="008C2A90">
                  <w:pPr>
                    <w:jc w:val="left"/>
                    <w:rPr>
                      <w:rFonts w:ascii="Calibri" w:hAnsi="Calibri"/>
                    </w:rPr>
                  </w:pPr>
                  <w:r w:rsidRPr="00F043D1">
                    <w:rPr>
                      <w:rFonts w:ascii="Calibri" w:hAnsi="Calibri"/>
                    </w:rPr>
                    <w:t>Simbo for Change</w:t>
                  </w:r>
                </w:p>
              </w:tc>
            </w:tr>
            <w:tr w:rsidR="009C7A2C" w:rsidRPr="008C2A90" w14:paraId="55A5B574" w14:textId="77777777" w:rsidTr="00FB0282">
              <w:tc>
                <w:tcPr>
                  <w:tcW w:w="2189" w:type="dxa"/>
                </w:tcPr>
                <w:p w14:paraId="45037A45" w14:textId="77777777" w:rsidR="008C2A90" w:rsidRPr="00F043D1" w:rsidRDefault="008C2A90" w:rsidP="008C2A90">
                  <w:pPr>
                    <w:rPr>
                      <w:rFonts w:ascii="Calibri" w:hAnsi="Calibri"/>
                    </w:rPr>
                  </w:pPr>
                  <w:r w:rsidRPr="00F043D1">
                    <w:rPr>
                      <w:rFonts w:ascii="Calibri" w:hAnsi="Calibri"/>
                    </w:rPr>
                    <w:t>Mary Kevu</w:t>
                  </w:r>
                </w:p>
              </w:tc>
              <w:tc>
                <w:tcPr>
                  <w:tcW w:w="2801" w:type="dxa"/>
                </w:tcPr>
                <w:p w14:paraId="317686BA" w14:textId="77777777" w:rsidR="008C2A90" w:rsidRPr="00F043D1" w:rsidRDefault="008C2A90" w:rsidP="008C2A90">
                  <w:pPr>
                    <w:jc w:val="left"/>
                    <w:rPr>
                      <w:rFonts w:ascii="Calibri" w:hAnsi="Calibri"/>
                    </w:rPr>
                  </w:pPr>
                  <w:r w:rsidRPr="00F043D1">
                    <w:rPr>
                      <w:rFonts w:ascii="Calibri" w:hAnsi="Calibri"/>
                    </w:rPr>
                    <w:t>Community member</w:t>
                  </w:r>
                </w:p>
              </w:tc>
              <w:tc>
                <w:tcPr>
                  <w:tcW w:w="3584" w:type="dxa"/>
                </w:tcPr>
                <w:p w14:paraId="2B1B695C" w14:textId="77777777" w:rsidR="008C2A90" w:rsidRPr="00F043D1" w:rsidRDefault="008C2A90" w:rsidP="008C2A90">
                  <w:pPr>
                    <w:jc w:val="left"/>
                    <w:rPr>
                      <w:rFonts w:ascii="Calibri" w:hAnsi="Calibri"/>
                    </w:rPr>
                  </w:pPr>
                  <w:r w:rsidRPr="00F043D1">
                    <w:rPr>
                      <w:rFonts w:ascii="Calibri" w:hAnsi="Calibri"/>
                    </w:rPr>
                    <w:t>Simbo for Change</w:t>
                  </w:r>
                </w:p>
              </w:tc>
            </w:tr>
            <w:tr w:rsidR="009C7A2C" w:rsidRPr="008C2A90" w14:paraId="326C98C8" w14:textId="77777777" w:rsidTr="00FB0282">
              <w:tc>
                <w:tcPr>
                  <w:tcW w:w="2189" w:type="dxa"/>
                </w:tcPr>
                <w:p w14:paraId="512F0479" w14:textId="77777777" w:rsidR="008C2A90" w:rsidRPr="00F043D1" w:rsidRDefault="008C2A90" w:rsidP="008C2A90">
                  <w:pPr>
                    <w:rPr>
                      <w:rFonts w:ascii="Calibri" w:hAnsi="Calibri"/>
                    </w:rPr>
                  </w:pPr>
                  <w:r w:rsidRPr="00F043D1">
                    <w:rPr>
                      <w:rFonts w:ascii="Calibri" w:hAnsi="Calibri"/>
                    </w:rPr>
                    <w:t>Inda Kipling</w:t>
                  </w:r>
                </w:p>
              </w:tc>
              <w:tc>
                <w:tcPr>
                  <w:tcW w:w="2801" w:type="dxa"/>
                </w:tcPr>
                <w:p w14:paraId="13CB6DED" w14:textId="77777777" w:rsidR="008C2A90" w:rsidRPr="00F043D1" w:rsidRDefault="008C2A90" w:rsidP="008C2A90">
                  <w:pPr>
                    <w:jc w:val="left"/>
                    <w:rPr>
                      <w:rFonts w:ascii="Calibri" w:hAnsi="Calibri"/>
                    </w:rPr>
                  </w:pPr>
                  <w:r w:rsidRPr="00F043D1">
                    <w:rPr>
                      <w:rFonts w:ascii="Calibri" w:hAnsi="Calibri"/>
                    </w:rPr>
                    <w:t>Community member</w:t>
                  </w:r>
                </w:p>
              </w:tc>
              <w:tc>
                <w:tcPr>
                  <w:tcW w:w="3584" w:type="dxa"/>
                </w:tcPr>
                <w:p w14:paraId="7E44DA03" w14:textId="77777777" w:rsidR="008C2A90" w:rsidRPr="00F043D1" w:rsidRDefault="008C2A90" w:rsidP="008C2A90">
                  <w:pPr>
                    <w:jc w:val="left"/>
                    <w:rPr>
                      <w:rFonts w:ascii="Calibri" w:hAnsi="Calibri"/>
                    </w:rPr>
                  </w:pPr>
                  <w:r w:rsidRPr="00F043D1">
                    <w:rPr>
                      <w:rFonts w:ascii="Calibri" w:hAnsi="Calibri"/>
                    </w:rPr>
                    <w:t>Simbo for Change</w:t>
                  </w:r>
                </w:p>
              </w:tc>
            </w:tr>
            <w:tr w:rsidR="009C7A2C" w:rsidRPr="008C2A90" w14:paraId="057BEF63" w14:textId="77777777" w:rsidTr="00FB0282">
              <w:tc>
                <w:tcPr>
                  <w:tcW w:w="2189" w:type="dxa"/>
                </w:tcPr>
                <w:p w14:paraId="0B2DF585" w14:textId="77777777" w:rsidR="008C2A90" w:rsidRPr="00F043D1" w:rsidRDefault="008C2A90" w:rsidP="008C2A90">
                  <w:pPr>
                    <w:rPr>
                      <w:rFonts w:ascii="Calibri" w:hAnsi="Calibri"/>
                    </w:rPr>
                  </w:pPr>
                  <w:r w:rsidRPr="00F043D1">
                    <w:rPr>
                      <w:rFonts w:ascii="Calibri" w:hAnsi="Calibri"/>
                    </w:rPr>
                    <w:t>Malisa Nata</w:t>
                  </w:r>
                </w:p>
              </w:tc>
              <w:tc>
                <w:tcPr>
                  <w:tcW w:w="2801" w:type="dxa"/>
                </w:tcPr>
                <w:p w14:paraId="7D30A004" w14:textId="77777777" w:rsidR="008C2A90" w:rsidRPr="00F043D1" w:rsidRDefault="008C2A90" w:rsidP="008C2A90">
                  <w:pPr>
                    <w:jc w:val="left"/>
                    <w:rPr>
                      <w:rFonts w:ascii="Calibri" w:hAnsi="Calibri"/>
                    </w:rPr>
                  </w:pPr>
                  <w:r w:rsidRPr="00F043D1">
                    <w:rPr>
                      <w:rFonts w:ascii="Calibri" w:hAnsi="Calibri"/>
                    </w:rPr>
                    <w:t>Community member</w:t>
                  </w:r>
                </w:p>
              </w:tc>
              <w:tc>
                <w:tcPr>
                  <w:tcW w:w="3584" w:type="dxa"/>
                </w:tcPr>
                <w:p w14:paraId="4D77BC34" w14:textId="77777777" w:rsidR="008C2A90" w:rsidRPr="00F043D1" w:rsidRDefault="008C2A90" w:rsidP="008C2A90">
                  <w:pPr>
                    <w:jc w:val="left"/>
                    <w:rPr>
                      <w:rFonts w:ascii="Calibri" w:hAnsi="Calibri"/>
                    </w:rPr>
                  </w:pPr>
                  <w:r w:rsidRPr="00F043D1">
                    <w:rPr>
                      <w:rFonts w:ascii="Calibri" w:hAnsi="Calibri"/>
                    </w:rPr>
                    <w:t>Simbo for Change</w:t>
                  </w:r>
                </w:p>
              </w:tc>
            </w:tr>
            <w:tr w:rsidR="009C7A2C" w:rsidRPr="008C2A90" w14:paraId="7DF2CF97" w14:textId="77777777" w:rsidTr="00FB0282">
              <w:tc>
                <w:tcPr>
                  <w:tcW w:w="2189" w:type="dxa"/>
                </w:tcPr>
                <w:p w14:paraId="7E9B49EE" w14:textId="77777777" w:rsidR="008C2A90" w:rsidRPr="00F043D1" w:rsidRDefault="008C2A90" w:rsidP="008C2A90">
                  <w:pPr>
                    <w:rPr>
                      <w:rFonts w:ascii="Calibri" w:hAnsi="Calibri"/>
                    </w:rPr>
                  </w:pPr>
                  <w:r w:rsidRPr="00F043D1">
                    <w:rPr>
                      <w:rFonts w:ascii="Calibri" w:hAnsi="Calibri"/>
                    </w:rPr>
                    <w:t>Obed</w:t>
                  </w:r>
                </w:p>
              </w:tc>
              <w:tc>
                <w:tcPr>
                  <w:tcW w:w="2801" w:type="dxa"/>
                </w:tcPr>
                <w:p w14:paraId="26702CAB" w14:textId="77777777" w:rsidR="008C2A90" w:rsidRPr="00F043D1" w:rsidRDefault="008C2A90" w:rsidP="008C2A90">
                  <w:pPr>
                    <w:jc w:val="left"/>
                    <w:rPr>
                      <w:rFonts w:ascii="Calibri" w:hAnsi="Calibri"/>
                    </w:rPr>
                  </w:pPr>
                  <w:r w:rsidRPr="00F043D1">
                    <w:rPr>
                      <w:rFonts w:ascii="Calibri" w:hAnsi="Calibri"/>
                    </w:rPr>
                    <w:t>Community member</w:t>
                  </w:r>
                </w:p>
              </w:tc>
              <w:tc>
                <w:tcPr>
                  <w:tcW w:w="3584" w:type="dxa"/>
                </w:tcPr>
                <w:p w14:paraId="386E63AE" w14:textId="77777777" w:rsidR="008C2A90" w:rsidRPr="00F043D1" w:rsidRDefault="008C2A90" w:rsidP="008C2A90">
                  <w:pPr>
                    <w:jc w:val="left"/>
                    <w:rPr>
                      <w:rFonts w:ascii="Calibri" w:hAnsi="Calibri"/>
                    </w:rPr>
                  </w:pPr>
                  <w:r w:rsidRPr="00F043D1">
                    <w:rPr>
                      <w:rFonts w:ascii="Calibri" w:hAnsi="Calibri"/>
                    </w:rPr>
                    <w:t>Simbo for Change</w:t>
                  </w:r>
                </w:p>
              </w:tc>
            </w:tr>
            <w:tr w:rsidR="009C7A2C" w:rsidRPr="008C2A90" w14:paraId="4A427677" w14:textId="77777777" w:rsidTr="00FB0282">
              <w:tc>
                <w:tcPr>
                  <w:tcW w:w="2189" w:type="dxa"/>
                </w:tcPr>
                <w:p w14:paraId="6712DBB3" w14:textId="77777777" w:rsidR="008C2A90" w:rsidRPr="00F043D1" w:rsidRDefault="008C2A90" w:rsidP="008C2A90">
                  <w:pPr>
                    <w:rPr>
                      <w:rFonts w:ascii="Calibri" w:hAnsi="Calibri"/>
                    </w:rPr>
                  </w:pPr>
                  <w:r w:rsidRPr="00F043D1">
                    <w:rPr>
                      <w:rFonts w:ascii="Calibri" w:hAnsi="Calibri"/>
                    </w:rPr>
                    <w:t>John Homelo</w:t>
                  </w:r>
                </w:p>
              </w:tc>
              <w:tc>
                <w:tcPr>
                  <w:tcW w:w="2801" w:type="dxa"/>
                </w:tcPr>
                <w:p w14:paraId="59834801" w14:textId="77777777" w:rsidR="008C2A90" w:rsidRPr="00F043D1" w:rsidRDefault="008C2A90" w:rsidP="008C2A90">
                  <w:pPr>
                    <w:jc w:val="left"/>
                    <w:rPr>
                      <w:rFonts w:ascii="Calibri" w:hAnsi="Calibri"/>
                    </w:rPr>
                  </w:pPr>
                  <w:r w:rsidRPr="00F043D1">
                    <w:rPr>
                      <w:rFonts w:ascii="Calibri" w:hAnsi="Calibri"/>
                    </w:rPr>
                    <w:t>Community member</w:t>
                  </w:r>
                </w:p>
              </w:tc>
              <w:tc>
                <w:tcPr>
                  <w:tcW w:w="3584" w:type="dxa"/>
                </w:tcPr>
                <w:p w14:paraId="1C6E305F" w14:textId="77777777" w:rsidR="008C2A90" w:rsidRPr="00F043D1" w:rsidRDefault="008C2A90" w:rsidP="008C2A90">
                  <w:pPr>
                    <w:jc w:val="left"/>
                    <w:rPr>
                      <w:rFonts w:ascii="Calibri" w:hAnsi="Calibri"/>
                    </w:rPr>
                  </w:pPr>
                  <w:r w:rsidRPr="00F043D1">
                    <w:rPr>
                      <w:rFonts w:ascii="Calibri" w:hAnsi="Calibri"/>
                    </w:rPr>
                    <w:t>Simbo for Change</w:t>
                  </w:r>
                </w:p>
              </w:tc>
            </w:tr>
            <w:tr w:rsidR="009C7A2C" w:rsidRPr="008C2A90" w14:paraId="6FC2B9E4" w14:textId="77777777" w:rsidTr="00FB0282">
              <w:tc>
                <w:tcPr>
                  <w:tcW w:w="2189" w:type="dxa"/>
                </w:tcPr>
                <w:p w14:paraId="72C797C8" w14:textId="77777777" w:rsidR="008C2A90" w:rsidRPr="00F043D1" w:rsidRDefault="008C2A90" w:rsidP="008C2A90">
                  <w:pPr>
                    <w:rPr>
                      <w:rFonts w:ascii="Calibri" w:hAnsi="Calibri"/>
                    </w:rPr>
                  </w:pPr>
                  <w:r w:rsidRPr="00F043D1">
                    <w:rPr>
                      <w:rFonts w:ascii="Calibri" w:hAnsi="Calibri"/>
                    </w:rPr>
                    <w:t>John Pio</w:t>
                  </w:r>
                </w:p>
              </w:tc>
              <w:tc>
                <w:tcPr>
                  <w:tcW w:w="2801" w:type="dxa"/>
                </w:tcPr>
                <w:p w14:paraId="6E16CAB7" w14:textId="77777777" w:rsidR="008C2A90" w:rsidRPr="00F043D1" w:rsidRDefault="008C2A90" w:rsidP="008C2A90">
                  <w:pPr>
                    <w:jc w:val="left"/>
                    <w:rPr>
                      <w:rFonts w:ascii="Calibri" w:hAnsi="Calibri"/>
                    </w:rPr>
                  </w:pPr>
                  <w:r w:rsidRPr="00F043D1">
                    <w:rPr>
                      <w:rFonts w:ascii="Calibri" w:hAnsi="Calibri"/>
                    </w:rPr>
                    <w:t>Community member</w:t>
                  </w:r>
                </w:p>
              </w:tc>
              <w:tc>
                <w:tcPr>
                  <w:tcW w:w="3584" w:type="dxa"/>
                </w:tcPr>
                <w:p w14:paraId="7B6BC071" w14:textId="77777777" w:rsidR="008C2A90" w:rsidRPr="00F043D1" w:rsidRDefault="008C2A90" w:rsidP="008C2A90">
                  <w:pPr>
                    <w:jc w:val="left"/>
                    <w:rPr>
                      <w:rFonts w:ascii="Calibri" w:hAnsi="Calibri"/>
                    </w:rPr>
                  </w:pPr>
                  <w:r w:rsidRPr="00F043D1">
                    <w:rPr>
                      <w:rFonts w:ascii="Calibri" w:hAnsi="Calibri"/>
                    </w:rPr>
                    <w:t>Simbo for Change</w:t>
                  </w:r>
                </w:p>
              </w:tc>
            </w:tr>
            <w:tr w:rsidR="009C7A2C" w:rsidRPr="008C2A90" w14:paraId="7232BA41" w14:textId="77777777" w:rsidTr="00FB0282">
              <w:tc>
                <w:tcPr>
                  <w:tcW w:w="2189" w:type="dxa"/>
                </w:tcPr>
                <w:p w14:paraId="1C625000" w14:textId="77777777" w:rsidR="008C2A90" w:rsidRPr="00F043D1" w:rsidRDefault="008C2A90" w:rsidP="008C2A90">
                  <w:pPr>
                    <w:rPr>
                      <w:rFonts w:ascii="Calibri" w:hAnsi="Calibri"/>
                    </w:rPr>
                  </w:pPr>
                  <w:r w:rsidRPr="00F043D1">
                    <w:rPr>
                      <w:rFonts w:ascii="Calibri" w:hAnsi="Calibri"/>
                    </w:rPr>
                    <w:t>Samson Sioni</w:t>
                  </w:r>
                </w:p>
              </w:tc>
              <w:tc>
                <w:tcPr>
                  <w:tcW w:w="2801" w:type="dxa"/>
                </w:tcPr>
                <w:p w14:paraId="02A3C055" w14:textId="77777777" w:rsidR="008C2A90" w:rsidRPr="00F043D1" w:rsidRDefault="008C2A90" w:rsidP="008C2A90">
                  <w:pPr>
                    <w:jc w:val="left"/>
                    <w:rPr>
                      <w:rFonts w:ascii="Calibri" w:hAnsi="Calibri"/>
                    </w:rPr>
                  </w:pPr>
                  <w:r w:rsidRPr="00F043D1">
                    <w:rPr>
                      <w:rFonts w:ascii="Calibri" w:hAnsi="Calibri"/>
                    </w:rPr>
                    <w:t>Community member</w:t>
                  </w:r>
                </w:p>
              </w:tc>
              <w:tc>
                <w:tcPr>
                  <w:tcW w:w="3584" w:type="dxa"/>
                </w:tcPr>
                <w:p w14:paraId="5F16366C" w14:textId="77777777" w:rsidR="008C2A90" w:rsidRPr="00F043D1" w:rsidRDefault="008C2A90" w:rsidP="008C2A90">
                  <w:pPr>
                    <w:jc w:val="left"/>
                    <w:rPr>
                      <w:rFonts w:ascii="Calibri" w:hAnsi="Calibri"/>
                    </w:rPr>
                  </w:pPr>
                  <w:r w:rsidRPr="00F043D1">
                    <w:rPr>
                      <w:rFonts w:ascii="Calibri" w:hAnsi="Calibri"/>
                    </w:rPr>
                    <w:t>Simbo for Change</w:t>
                  </w:r>
                </w:p>
              </w:tc>
            </w:tr>
            <w:tr w:rsidR="009C7A2C" w:rsidRPr="008C2A90" w14:paraId="746950CF" w14:textId="77777777" w:rsidTr="00FB0282">
              <w:tc>
                <w:tcPr>
                  <w:tcW w:w="2189" w:type="dxa"/>
                </w:tcPr>
                <w:p w14:paraId="1F204B79" w14:textId="5F8656DC" w:rsidR="008C2A90" w:rsidRPr="00F043D1" w:rsidRDefault="005200FF" w:rsidP="008C2A90">
                  <w:pPr>
                    <w:rPr>
                      <w:rFonts w:ascii="Calibri" w:hAnsi="Calibri"/>
                    </w:rPr>
                  </w:pPr>
                  <w:r>
                    <w:rPr>
                      <w:rFonts w:ascii="Calibri" w:hAnsi="Calibri"/>
                    </w:rPr>
                    <w:t>Minister</w:t>
                  </w:r>
                </w:p>
              </w:tc>
              <w:tc>
                <w:tcPr>
                  <w:tcW w:w="2801" w:type="dxa"/>
                </w:tcPr>
                <w:p w14:paraId="34FC1E2D" w14:textId="77777777" w:rsidR="008C2A90" w:rsidRPr="00F043D1" w:rsidRDefault="008C2A90" w:rsidP="008C2A90">
                  <w:pPr>
                    <w:jc w:val="left"/>
                    <w:rPr>
                      <w:rFonts w:ascii="Calibri" w:hAnsi="Calibri"/>
                    </w:rPr>
                  </w:pPr>
                  <w:r w:rsidRPr="00F043D1">
                    <w:rPr>
                      <w:rFonts w:ascii="Calibri" w:hAnsi="Calibri"/>
                    </w:rPr>
                    <w:t xml:space="preserve">Minister </w:t>
                  </w:r>
                </w:p>
              </w:tc>
              <w:tc>
                <w:tcPr>
                  <w:tcW w:w="3584" w:type="dxa"/>
                </w:tcPr>
                <w:p w14:paraId="471E672F" w14:textId="77777777" w:rsidR="008C2A90" w:rsidRPr="00F043D1" w:rsidRDefault="008C2A90" w:rsidP="008C2A90">
                  <w:pPr>
                    <w:jc w:val="left"/>
                    <w:rPr>
                      <w:rFonts w:ascii="Calibri" w:hAnsi="Calibri"/>
                    </w:rPr>
                  </w:pPr>
                  <w:r w:rsidRPr="00F043D1">
                    <w:rPr>
                      <w:rFonts w:ascii="Calibri" w:hAnsi="Calibri"/>
                    </w:rPr>
                    <w:t>Western Province Government, Solomon Islands</w:t>
                  </w:r>
                </w:p>
              </w:tc>
            </w:tr>
            <w:tr w:rsidR="009C7A2C" w:rsidRPr="008C2A90" w14:paraId="17CC9EF3" w14:textId="77777777" w:rsidTr="00FB0282">
              <w:tc>
                <w:tcPr>
                  <w:tcW w:w="2189" w:type="dxa"/>
                </w:tcPr>
                <w:p w14:paraId="074E1422" w14:textId="77777777" w:rsidR="008C2A90" w:rsidRPr="00F043D1" w:rsidRDefault="008C2A90" w:rsidP="008C2A90">
                  <w:pPr>
                    <w:rPr>
                      <w:rFonts w:ascii="Calibri" w:hAnsi="Calibri"/>
                    </w:rPr>
                  </w:pPr>
                  <w:r w:rsidRPr="00F043D1">
                    <w:rPr>
                      <w:rFonts w:ascii="Calibri" w:hAnsi="Calibri"/>
                    </w:rPr>
                    <w:t>Malama Meleisea</w:t>
                  </w:r>
                </w:p>
              </w:tc>
              <w:tc>
                <w:tcPr>
                  <w:tcW w:w="2801" w:type="dxa"/>
                </w:tcPr>
                <w:p w14:paraId="59670470" w14:textId="77777777" w:rsidR="008C2A90" w:rsidRPr="00F043D1" w:rsidRDefault="008C2A90" w:rsidP="008C2A90">
                  <w:pPr>
                    <w:jc w:val="left"/>
                    <w:rPr>
                      <w:rFonts w:ascii="Calibri" w:hAnsi="Calibri"/>
                    </w:rPr>
                  </w:pPr>
                  <w:r w:rsidRPr="00F043D1">
                    <w:rPr>
                      <w:rFonts w:ascii="Calibri" w:hAnsi="Calibri"/>
                    </w:rPr>
                    <w:t>Director, Institute of Samoan Studies</w:t>
                  </w:r>
                </w:p>
              </w:tc>
              <w:tc>
                <w:tcPr>
                  <w:tcW w:w="3584" w:type="dxa"/>
                </w:tcPr>
                <w:p w14:paraId="60221D58" w14:textId="77777777" w:rsidR="008C2A90" w:rsidRPr="00F043D1" w:rsidRDefault="008C2A90" w:rsidP="008C2A90">
                  <w:pPr>
                    <w:jc w:val="left"/>
                    <w:rPr>
                      <w:rFonts w:ascii="Calibri" w:hAnsi="Calibri"/>
                    </w:rPr>
                  </w:pPr>
                  <w:r w:rsidRPr="00F043D1">
                    <w:rPr>
                      <w:rFonts w:ascii="Calibri" w:hAnsi="Calibri"/>
                    </w:rPr>
                    <w:t>National University of Samoa</w:t>
                  </w:r>
                </w:p>
              </w:tc>
            </w:tr>
            <w:tr w:rsidR="009C7A2C" w:rsidRPr="008C2A90" w14:paraId="3891BC79" w14:textId="77777777" w:rsidTr="00FB0282">
              <w:tc>
                <w:tcPr>
                  <w:tcW w:w="2189" w:type="dxa"/>
                </w:tcPr>
                <w:p w14:paraId="1FFA8BEC" w14:textId="77777777" w:rsidR="008C2A90" w:rsidRPr="00F043D1" w:rsidRDefault="008C2A90" w:rsidP="008C2A90">
                  <w:pPr>
                    <w:rPr>
                      <w:rFonts w:ascii="Calibri" w:hAnsi="Calibri"/>
                    </w:rPr>
                  </w:pPr>
                  <w:r w:rsidRPr="00F043D1">
                    <w:rPr>
                      <w:rFonts w:ascii="Calibri" w:hAnsi="Calibri"/>
                    </w:rPr>
                    <w:t>Seumanu Douglas Ngau Chun</w:t>
                  </w:r>
                </w:p>
              </w:tc>
              <w:tc>
                <w:tcPr>
                  <w:tcW w:w="2801" w:type="dxa"/>
                </w:tcPr>
                <w:p w14:paraId="69D6A6B0" w14:textId="77777777" w:rsidR="008C2A90" w:rsidRPr="00F043D1" w:rsidRDefault="008C2A90" w:rsidP="008C2A90">
                  <w:pPr>
                    <w:jc w:val="left"/>
                    <w:rPr>
                      <w:rFonts w:ascii="Calibri" w:hAnsi="Calibri"/>
                    </w:rPr>
                  </w:pPr>
                  <w:r w:rsidRPr="00F043D1">
                    <w:rPr>
                      <w:rFonts w:ascii="Calibri" w:hAnsi="Calibri"/>
                    </w:rPr>
                    <w:t>CEO</w:t>
                  </w:r>
                </w:p>
              </w:tc>
              <w:tc>
                <w:tcPr>
                  <w:tcW w:w="3584" w:type="dxa"/>
                </w:tcPr>
                <w:p w14:paraId="6AC5927D" w14:textId="77777777" w:rsidR="008C2A90" w:rsidRPr="00F043D1" w:rsidRDefault="008C2A90" w:rsidP="008C2A90">
                  <w:pPr>
                    <w:jc w:val="left"/>
                    <w:rPr>
                      <w:rFonts w:ascii="Calibri" w:hAnsi="Calibri"/>
                    </w:rPr>
                  </w:pPr>
                  <w:r w:rsidRPr="00F043D1">
                    <w:rPr>
                      <w:rFonts w:ascii="Calibri" w:hAnsi="Calibri"/>
                    </w:rPr>
                    <w:t>Leadership Samoa</w:t>
                  </w:r>
                </w:p>
              </w:tc>
            </w:tr>
            <w:tr w:rsidR="009C7A2C" w:rsidRPr="008C2A90" w14:paraId="0A9E7C10" w14:textId="77777777" w:rsidTr="00FB0282">
              <w:tc>
                <w:tcPr>
                  <w:tcW w:w="2189" w:type="dxa"/>
                </w:tcPr>
                <w:p w14:paraId="49F8398F" w14:textId="77777777" w:rsidR="008C2A90" w:rsidRPr="00F043D1" w:rsidRDefault="008C2A90" w:rsidP="008C2A90">
                  <w:pPr>
                    <w:rPr>
                      <w:rFonts w:ascii="Calibri" w:hAnsi="Calibri"/>
                    </w:rPr>
                  </w:pPr>
                  <w:r w:rsidRPr="00F043D1">
                    <w:rPr>
                      <w:rFonts w:ascii="Calibri" w:hAnsi="Calibri"/>
                    </w:rPr>
                    <w:t>Hobart Vaai</w:t>
                  </w:r>
                </w:p>
              </w:tc>
              <w:tc>
                <w:tcPr>
                  <w:tcW w:w="2801" w:type="dxa"/>
                </w:tcPr>
                <w:p w14:paraId="52C5075A" w14:textId="77777777" w:rsidR="008C2A90" w:rsidRPr="00F043D1" w:rsidRDefault="008C2A90" w:rsidP="008C2A90">
                  <w:pPr>
                    <w:jc w:val="left"/>
                    <w:rPr>
                      <w:rFonts w:ascii="Calibri" w:hAnsi="Calibri"/>
                    </w:rPr>
                  </w:pPr>
                  <w:r w:rsidRPr="00F043D1">
                    <w:rPr>
                      <w:rFonts w:ascii="Calibri" w:hAnsi="Calibri"/>
                    </w:rPr>
                    <w:t>CEO</w:t>
                  </w:r>
                </w:p>
              </w:tc>
              <w:tc>
                <w:tcPr>
                  <w:tcW w:w="3584" w:type="dxa"/>
                </w:tcPr>
                <w:p w14:paraId="6BB7F0D1" w14:textId="77777777" w:rsidR="008C2A90" w:rsidRPr="00F043D1" w:rsidRDefault="008C2A90" w:rsidP="008C2A90">
                  <w:pPr>
                    <w:jc w:val="left"/>
                    <w:rPr>
                      <w:rFonts w:ascii="Calibri" w:hAnsi="Calibri"/>
                    </w:rPr>
                  </w:pPr>
                  <w:r w:rsidRPr="00F043D1">
                    <w:rPr>
                      <w:rFonts w:ascii="Calibri" w:hAnsi="Calibri"/>
                    </w:rPr>
                    <w:t>Samoa Chamber of Commerce</w:t>
                  </w:r>
                </w:p>
              </w:tc>
            </w:tr>
            <w:tr w:rsidR="009C7A2C" w:rsidRPr="008C2A90" w:rsidDel="00D1686D" w14:paraId="6C720DE5" w14:textId="77777777" w:rsidTr="00FB0282">
              <w:tc>
                <w:tcPr>
                  <w:tcW w:w="2189" w:type="dxa"/>
                  <w:shd w:val="clear" w:color="auto" w:fill="auto"/>
                </w:tcPr>
                <w:p w14:paraId="7D0A2848" w14:textId="77777777" w:rsidR="008C2A90" w:rsidRPr="00F043D1" w:rsidDel="00D1686D" w:rsidRDefault="008C2A90" w:rsidP="008C2A90">
                  <w:pPr>
                    <w:rPr>
                      <w:rFonts w:ascii="Calibri" w:hAnsi="Calibri"/>
                    </w:rPr>
                  </w:pPr>
                  <w:r w:rsidRPr="00F043D1">
                    <w:rPr>
                      <w:rFonts w:ascii="Calibri" w:hAnsi="Calibri"/>
                    </w:rPr>
                    <w:t>Dorosday Kenneth-Watson</w:t>
                  </w:r>
                </w:p>
              </w:tc>
              <w:tc>
                <w:tcPr>
                  <w:tcW w:w="2801" w:type="dxa"/>
                  <w:shd w:val="clear" w:color="auto" w:fill="auto"/>
                </w:tcPr>
                <w:p w14:paraId="09B85463" w14:textId="77777777" w:rsidR="008C2A90" w:rsidRPr="00F043D1" w:rsidDel="00D1686D" w:rsidRDefault="008C2A90" w:rsidP="008C2A90">
                  <w:pPr>
                    <w:jc w:val="left"/>
                    <w:rPr>
                      <w:rFonts w:ascii="Calibri" w:hAnsi="Calibri"/>
                    </w:rPr>
                  </w:pPr>
                  <w:r w:rsidRPr="00F043D1">
                    <w:rPr>
                      <w:rFonts w:ascii="Calibri" w:hAnsi="Calibri"/>
                    </w:rPr>
                    <w:t>Director</w:t>
                  </w:r>
                </w:p>
              </w:tc>
              <w:tc>
                <w:tcPr>
                  <w:tcW w:w="3584" w:type="dxa"/>
                  <w:shd w:val="clear" w:color="auto" w:fill="auto"/>
                </w:tcPr>
                <w:p w14:paraId="7F8A01C0" w14:textId="77777777" w:rsidR="008C2A90" w:rsidRPr="00F043D1" w:rsidDel="00D1686D" w:rsidRDefault="008C2A90" w:rsidP="008C2A90">
                  <w:pPr>
                    <w:jc w:val="left"/>
                    <w:rPr>
                      <w:rFonts w:ascii="Calibri" w:hAnsi="Calibri"/>
                    </w:rPr>
                  </w:pPr>
                  <w:r w:rsidRPr="00F043D1">
                    <w:rPr>
                      <w:rFonts w:ascii="Calibri" w:hAnsi="Calibri"/>
                    </w:rPr>
                    <w:t>Department of Women’s Affairs (Vanuatu) and WISDM coalition</w:t>
                  </w:r>
                </w:p>
              </w:tc>
            </w:tr>
            <w:tr w:rsidR="009C7A2C" w:rsidRPr="008C2A90" w14:paraId="511E7904" w14:textId="77777777" w:rsidTr="00FB0282">
              <w:tc>
                <w:tcPr>
                  <w:tcW w:w="2189" w:type="dxa"/>
                  <w:shd w:val="clear" w:color="auto" w:fill="auto"/>
                </w:tcPr>
                <w:p w14:paraId="6E8C00CD" w14:textId="77777777" w:rsidR="008C2A90" w:rsidRPr="00F043D1" w:rsidRDefault="008C2A90" w:rsidP="008C2A90">
                  <w:pPr>
                    <w:rPr>
                      <w:rFonts w:ascii="Calibri" w:hAnsi="Calibri"/>
                    </w:rPr>
                  </w:pPr>
                  <w:r w:rsidRPr="00F043D1">
                    <w:rPr>
                      <w:rFonts w:ascii="Calibri" w:hAnsi="Calibri"/>
                    </w:rPr>
                    <w:t>Kaliopate Tavola</w:t>
                  </w:r>
                </w:p>
                <w:p w14:paraId="0C07A6FF" w14:textId="77777777" w:rsidR="008C2A90" w:rsidRPr="00F043D1" w:rsidRDefault="008C2A90" w:rsidP="008C2A90">
                  <w:pPr>
                    <w:rPr>
                      <w:rFonts w:ascii="Calibri" w:hAnsi="Calibri"/>
                    </w:rPr>
                  </w:pPr>
                </w:p>
              </w:tc>
              <w:tc>
                <w:tcPr>
                  <w:tcW w:w="2801" w:type="dxa"/>
                  <w:shd w:val="clear" w:color="auto" w:fill="auto"/>
                </w:tcPr>
                <w:p w14:paraId="1C9E351E" w14:textId="77777777" w:rsidR="008C2A90" w:rsidRPr="00F043D1" w:rsidRDefault="008C2A90" w:rsidP="008C2A90">
                  <w:pPr>
                    <w:jc w:val="left"/>
                    <w:rPr>
                      <w:rFonts w:ascii="Calibri" w:hAnsi="Calibri"/>
                    </w:rPr>
                  </w:pPr>
                  <w:r w:rsidRPr="00F043D1">
                    <w:rPr>
                      <w:rFonts w:ascii="Calibri" w:hAnsi="Calibri"/>
                    </w:rPr>
                    <w:t>Fijian diplomat and former Minister of Foreign Affairs</w:t>
                  </w:r>
                </w:p>
              </w:tc>
              <w:tc>
                <w:tcPr>
                  <w:tcW w:w="3584" w:type="dxa"/>
                  <w:shd w:val="clear" w:color="auto" w:fill="auto"/>
                </w:tcPr>
                <w:p w14:paraId="7C688760" w14:textId="77777777" w:rsidR="008C2A90" w:rsidRPr="00F043D1" w:rsidRDefault="008C2A90" w:rsidP="008C2A90">
                  <w:pPr>
                    <w:jc w:val="left"/>
                    <w:rPr>
                      <w:rFonts w:ascii="Calibri" w:hAnsi="Calibri"/>
                    </w:rPr>
                  </w:pPr>
                  <w:r w:rsidRPr="00F043D1">
                    <w:rPr>
                      <w:rFonts w:ascii="Calibri" w:hAnsi="Calibri"/>
                    </w:rPr>
                    <w:t xml:space="preserve">GGLC </w:t>
                  </w:r>
                </w:p>
              </w:tc>
            </w:tr>
            <w:tr w:rsidR="009C7A2C" w:rsidRPr="008C2A90" w14:paraId="0FFD5D1B" w14:textId="77777777" w:rsidTr="00FB0282">
              <w:tc>
                <w:tcPr>
                  <w:tcW w:w="2189" w:type="dxa"/>
                  <w:shd w:val="clear" w:color="auto" w:fill="auto"/>
                </w:tcPr>
                <w:p w14:paraId="19157422" w14:textId="77777777" w:rsidR="008C2A90" w:rsidRPr="00F043D1" w:rsidRDefault="008C2A90" w:rsidP="008C2A90">
                  <w:pPr>
                    <w:rPr>
                      <w:rFonts w:ascii="Calibri" w:hAnsi="Calibri"/>
                    </w:rPr>
                  </w:pPr>
                  <w:r w:rsidRPr="00F043D1">
                    <w:rPr>
                      <w:rFonts w:ascii="Calibri" w:hAnsi="Calibri"/>
                    </w:rPr>
                    <w:t>Taholo Kami</w:t>
                  </w:r>
                </w:p>
              </w:tc>
              <w:tc>
                <w:tcPr>
                  <w:tcW w:w="2801" w:type="dxa"/>
                  <w:shd w:val="clear" w:color="auto" w:fill="auto"/>
                </w:tcPr>
                <w:p w14:paraId="6715027B" w14:textId="05E10141" w:rsidR="008C2A90" w:rsidRPr="00F043D1" w:rsidRDefault="00AC51F7" w:rsidP="008C2A90">
                  <w:pPr>
                    <w:jc w:val="left"/>
                    <w:rPr>
                      <w:rFonts w:ascii="Calibri" w:hAnsi="Calibri"/>
                    </w:rPr>
                  </w:pPr>
                  <w:r>
                    <w:rPr>
                      <w:rFonts w:ascii="Calibri" w:hAnsi="Calibri"/>
                    </w:rPr>
                    <w:t>Regional Director,</w:t>
                  </w:r>
                  <w:r w:rsidR="008C2A90" w:rsidRPr="00F043D1">
                    <w:rPr>
                      <w:rFonts w:ascii="Calibri" w:hAnsi="Calibri"/>
                    </w:rPr>
                    <w:t> </w:t>
                  </w:r>
                  <w:r w:rsidR="008C2A90" w:rsidRPr="00F043D1">
                    <w:rPr>
                      <w:rFonts w:ascii="Calibri" w:hAnsi="Calibri"/>
                      <w:bCs/>
                    </w:rPr>
                    <w:t>IUCN</w:t>
                  </w:r>
                  <w:r w:rsidR="008C2A90" w:rsidRPr="00F043D1">
                    <w:rPr>
                      <w:rFonts w:ascii="Calibri" w:hAnsi="Calibri"/>
                    </w:rPr>
                    <w:t> Oceania Regional Office</w:t>
                  </w:r>
                </w:p>
              </w:tc>
              <w:tc>
                <w:tcPr>
                  <w:tcW w:w="3584" w:type="dxa"/>
                  <w:shd w:val="clear" w:color="auto" w:fill="auto"/>
                </w:tcPr>
                <w:p w14:paraId="2C0D297D" w14:textId="77777777" w:rsidR="008C2A90" w:rsidRPr="00F043D1" w:rsidRDefault="008C2A90" w:rsidP="008C2A90">
                  <w:pPr>
                    <w:jc w:val="left"/>
                    <w:rPr>
                      <w:rFonts w:ascii="Calibri" w:hAnsi="Calibri"/>
                    </w:rPr>
                  </w:pPr>
                  <w:r w:rsidRPr="00F043D1">
                    <w:rPr>
                      <w:rFonts w:ascii="Calibri" w:hAnsi="Calibri"/>
                    </w:rPr>
                    <w:t>IUCN/GGLC</w:t>
                  </w:r>
                </w:p>
              </w:tc>
            </w:tr>
            <w:tr w:rsidR="009C7A2C" w:rsidRPr="008C2A90" w14:paraId="000D9A7D" w14:textId="77777777" w:rsidTr="00FB0282">
              <w:tc>
                <w:tcPr>
                  <w:tcW w:w="2189" w:type="dxa"/>
                  <w:shd w:val="clear" w:color="auto" w:fill="auto"/>
                </w:tcPr>
                <w:p w14:paraId="05E98D3C" w14:textId="77777777" w:rsidR="008C2A90" w:rsidRPr="00F043D1" w:rsidRDefault="008C2A90" w:rsidP="008C2A90">
                  <w:pPr>
                    <w:rPr>
                      <w:rFonts w:ascii="Calibri" w:hAnsi="Calibri"/>
                    </w:rPr>
                  </w:pPr>
                  <w:r w:rsidRPr="00F043D1">
                    <w:rPr>
                      <w:rFonts w:ascii="Calibri" w:hAnsi="Calibri"/>
                    </w:rPr>
                    <w:t>Aidan  Craney</w:t>
                  </w:r>
                </w:p>
              </w:tc>
              <w:tc>
                <w:tcPr>
                  <w:tcW w:w="2801" w:type="dxa"/>
                  <w:shd w:val="clear" w:color="auto" w:fill="auto"/>
                </w:tcPr>
                <w:p w14:paraId="6BDBE1A7" w14:textId="77777777" w:rsidR="008C2A90" w:rsidRPr="00F043D1" w:rsidRDefault="008C2A90" w:rsidP="008C2A90">
                  <w:pPr>
                    <w:jc w:val="left"/>
                    <w:rPr>
                      <w:rFonts w:ascii="Calibri" w:hAnsi="Calibri"/>
                    </w:rPr>
                  </w:pPr>
                  <w:r w:rsidRPr="00F043D1">
                    <w:rPr>
                      <w:rFonts w:ascii="Calibri" w:hAnsi="Calibri"/>
                    </w:rPr>
                    <w:t>PLP research coordinator and action researcher</w:t>
                  </w:r>
                </w:p>
              </w:tc>
              <w:tc>
                <w:tcPr>
                  <w:tcW w:w="3584" w:type="dxa"/>
                  <w:shd w:val="clear" w:color="auto" w:fill="auto"/>
                </w:tcPr>
                <w:p w14:paraId="6D6CBFF9" w14:textId="77777777" w:rsidR="008C2A90" w:rsidRPr="00F043D1" w:rsidRDefault="008C2A90" w:rsidP="008C2A90">
                  <w:pPr>
                    <w:jc w:val="left"/>
                    <w:rPr>
                      <w:rFonts w:ascii="Calibri" w:hAnsi="Calibri"/>
                    </w:rPr>
                  </w:pPr>
                  <w:r w:rsidRPr="00F043D1">
                    <w:rPr>
                      <w:rFonts w:ascii="Calibri" w:hAnsi="Calibri"/>
                    </w:rPr>
                    <w:t>La Trobe University</w:t>
                  </w:r>
                </w:p>
              </w:tc>
            </w:tr>
            <w:tr w:rsidR="009C7A2C" w:rsidRPr="008C2A90" w14:paraId="22A9C75B" w14:textId="77777777" w:rsidTr="00FB0282">
              <w:tc>
                <w:tcPr>
                  <w:tcW w:w="2189" w:type="dxa"/>
                  <w:shd w:val="clear" w:color="auto" w:fill="auto"/>
                </w:tcPr>
                <w:p w14:paraId="24EC5799" w14:textId="77777777" w:rsidR="008C2A90" w:rsidRPr="00F043D1" w:rsidRDefault="008C2A90" w:rsidP="00337E1A">
                  <w:pPr>
                    <w:rPr>
                      <w:rFonts w:ascii="Calibri" w:hAnsi="Calibri"/>
                    </w:rPr>
                  </w:pPr>
                  <w:r w:rsidRPr="00F043D1">
                    <w:rPr>
                      <w:rFonts w:ascii="Calibri" w:hAnsi="Calibri"/>
                    </w:rPr>
                    <w:t>Do</w:t>
                  </w:r>
                  <w:r w:rsidR="00337E1A" w:rsidRPr="00F043D1">
                    <w:rPr>
                      <w:rFonts w:ascii="Calibri" w:hAnsi="Calibri"/>
                    </w:rPr>
                    <w:t>rina Koia</w:t>
                  </w:r>
                </w:p>
              </w:tc>
              <w:tc>
                <w:tcPr>
                  <w:tcW w:w="2801" w:type="dxa"/>
                  <w:shd w:val="clear" w:color="auto" w:fill="auto"/>
                </w:tcPr>
                <w:p w14:paraId="19E9462D" w14:textId="77777777" w:rsidR="008C2A90" w:rsidRPr="00F043D1" w:rsidRDefault="008C2A90" w:rsidP="008C2A90">
                  <w:pPr>
                    <w:jc w:val="left"/>
                    <w:rPr>
                      <w:rFonts w:ascii="Calibri" w:hAnsi="Calibri"/>
                    </w:rPr>
                  </w:pPr>
                  <w:r w:rsidRPr="00F043D1">
                    <w:rPr>
                      <w:rFonts w:ascii="Calibri" w:hAnsi="Calibri"/>
                    </w:rPr>
                    <w:t>CEO</w:t>
                  </w:r>
                </w:p>
              </w:tc>
              <w:tc>
                <w:tcPr>
                  <w:tcW w:w="3584" w:type="dxa"/>
                  <w:shd w:val="clear" w:color="auto" w:fill="auto"/>
                </w:tcPr>
                <w:p w14:paraId="2535F94D" w14:textId="77777777" w:rsidR="008C2A90" w:rsidRPr="00F043D1" w:rsidRDefault="008C2A90" w:rsidP="008C2A90">
                  <w:pPr>
                    <w:jc w:val="left"/>
                    <w:rPr>
                      <w:rFonts w:ascii="Calibri" w:hAnsi="Calibri"/>
                    </w:rPr>
                  </w:pPr>
                  <w:r w:rsidRPr="00F043D1">
                    <w:rPr>
                      <w:rFonts w:ascii="Calibri" w:hAnsi="Calibri"/>
                    </w:rPr>
                    <w:t>TCCI</w:t>
                  </w:r>
                </w:p>
              </w:tc>
            </w:tr>
            <w:tr w:rsidR="009C7A2C" w:rsidRPr="008C2A90" w14:paraId="3CD5FB89" w14:textId="77777777" w:rsidTr="00FB0282">
              <w:tc>
                <w:tcPr>
                  <w:tcW w:w="2189" w:type="dxa"/>
                  <w:shd w:val="clear" w:color="auto" w:fill="auto"/>
                </w:tcPr>
                <w:p w14:paraId="6651B35E" w14:textId="77777777" w:rsidR="008C2A90" w:rsidRPr="00F043D1" w:rsidRDefault="008C2A90" w:rsidP="00337E1A">
                  <w:pPr>
                    <w:rPr>
                      <w:rFonts w:ascii="Calibri" w:hAnsi="Calibri"/>
                    </w:rPr>
                  </w:pPr>
                  <w:r w:rsidRPr="00F043D1">
                    <w:rPr>
                      <w:rFonts w:ascii="Calibri" w:hAnsi="Calibri"/>
                    </w:rPr>
                    <w:t>Paula Taumoepeau</w:t>
                  </w:r>
                </w:p>
              </w:tc>
              <w:tc>
                <w:tcPr>
                  <w:tcW w:w="2801" w:type="dxa"/>
                  <w:shd w:val="clear" w:color="auto" w:fill="auto"/>
                </w:tcPr>
                <w:p w14:paraId="675AF7A9" w14:textId="77777777" w:rsidR="008C2A90" w:rsidRPr="00F043D1" w:rsidRDefault="008C2A90" w:rsidP="008C2A90">
                  <w:pPr>
                    <w:jc w:val="left"/>
                    <w:rPr>
                      <w:rFonts w:ascii="Calibri" w:hAnsi="Calibri"/>
                    </w:rPr>
                  </w:pPr>
                  <w:r w:rsidRPr="00F043D1">
                    <w:rPr>
                      <w:rFonts w:ascii="Calibri" w:hAnsi="Calibri"/>
                    </w:rPr>
                    <w:t>President</w:t>
                  </w:r>
                </w:p>
              </w:tc>
              <w:tc>
                <w:tcPr>
                  <w:tcW w:w="3584" w:type="dxa"/>
                  <w:shd w:val="clear" w:color="auto" w:fill="auto"/>
                </w:tcPr>
                <w:p w14:paraId="27DBF86B" w14:textId="77777777" w:rsidR="008C2A90" w:rsidRPr="00F043D1" w:rsidRDefault="008C2A90" w:rsidP="008C2A90">
                  <w:pPr>
                    <w:jc w:val="left"/>
                    <w:rPr>
                      <w:rFonts w:ascii="Calibri" w:hAnsi="Calibri"/>
                    </w:rPr>
                  </w:pPr>
                  <w:r w:rsidRPr="00F043D1">
                    <w:rPr>
                      <w:rFonts w:ascii="Calibri" w:hAnsi="Calibri"/>
                    </w:rPr>
                    <w:t>TCCI</w:t>
                  </w:r>
                </w:p>
              </w:tc>
            </w:tr>
            <w:tr w:rsidR="009C7A2C" w:rsidRPr="008C2A90" w14:paraId="6D8E786A" w14:textId="77777777" w:rsidTr="00FB0282">
              <w:tc>
                <w:tcPr>
                  <w:tcW w:w="2189" w:type="dxa"/>
                  <w:shd w:val="clear" w:color="auto" w:fill="auto"/>
                </w:tcPr>
                <w:p w14:paraId="781F885D" w14:textId="77777777" w:rsidR="008C2A90" w:rsidRPr="00F043D1" w:rsidRDefault="008C2A90" w:rsidP="008C2A90">
                  <w:pPr>
                    <w:rPr>
                      <w:rFonts w:ascii="Calibri" w:hAnsi="Calibri"/>
                    </w:rPr>
                  </w:pPr>
                  <w:r w:rsidRPr="00F043D1">
                    <w:rPr>
                      <w:rFonts w:ascii="Calibri" w:hAnsi="Calibri"/>
                    </w:rPr>
                    <w:t>Viliami Takau</w:t>
                  </w:r>
                </w:p>
              </w:tc>
              <w:tc>
                <w:tcPr>
                  <w:tcW w:w="2801" w:type="dxa"/>
                  <w:shd w:val="clear" w:color="auto" w:fill="auto"/>
                </w:tcPr>
                <w:p w14:paraId="6CBF5091" w14:textId="77777777" w:rsidR="008C2A90" w:rsidRPr="00F043D1" w:rsidRDefault="008C2A90" w:rsidP="008C2A90">
                  <w:pPr>
                    <w:jc w:val="left"/>
                    <w:rPr>
                      <w:rFonts w:ascii="Calibri" w:hAnsi="Calibri"/>
                    </w:rPr>
                  </w:pPr>
                  <w:r w:rsidRPr="00F043D1">
                    <w:rPr>
                      <w:rFonts w:ascii="Calibri" w:hAnsi="Calibri"/>
                    </w:rPr>
                    <w:t>Former CEO</w:t>
                  </w:r>
                </w:p>
              </w:tc>
              <w:tc>
                <w:tcPr>
                  <w:tcW w:w="3584" w:type="dxa"/>
                  <w:shd w:val="clear" w:color="auto" w:fill="auto"/>
                </w:tcPr>
                <w:p w14:paraId="0282C364" w14:textId="77777777" w:rsidR="008C2A90" w:rsidRPr="00F043D1" w:rsidRDefault="008C2A90" w:rsidP="008C2A90">
                  <w:pPr>
                    <w:jc w:val="left"/>
                    <w:rPr>
                      <w:rFonts w:ascii="Calibri" w:hAnsi="Calibri"/>
                    </w:rPr>
                  </w:pPr>
                  <w:r w:rsidRPr="00F043D1">
                    <w:rPr>
                      <w:rFonts w:ascii="Calibri" w:hAnsi="Calibri"/>
                    </w:rPr>
                    <w:t>TCCI</w:t>
                  </w:r>
                </w:p>
              </w:tc>
            </w:tr>
            <w:tr w:rsidR="009C7A2C" w:rsidRPr="008C2A90" w14:paraId="2EC31E5B" w14:textId="77777777" w:rsidTr="00FB0282">
              <w:tc>
                <w:tcPr>
                  <w:tcW w:w="2189" w:type="dxa"/>
                  <w:shd w:val="clear" w:color="auto" w:fill="auto"/>
                </w:tcPr>
                <w:p w14:paraId="0DAE7758" w14:textId="77777777" w:rsidR="008C2A90" w:rsidRPr="00F043D1" w:rsidRDefault="008C2A90" w:rsidP="00337E1A">
                  <w:pPr>
                    <w:rPr>
                      <w:rFonts w:ascii="Calibri" w:hAnsi="Calibri"/>
                    </w:rPr>
                  </w:pPr>
                  <w:r w:rsidRPr="00F043D1">
                    <w:rPr>
                      <w:rFonts w:ascii="Calibri" w:hAnsi="Calibri"/>
                    </w:rPr>
                    <w:t xml:space="preserve">Vanessa Lolohea </w:t>
                  </w:r>
                </w:p>
              </w:tc>
              <w:tc>
                <w:tcPr>
                  <w:tcW w:w="2801" w:type="dxa"/>
                  <w:shd w:val="clear" w:color="auto" w:fill="auto"/>
                </w:tcPr>
                <w:p w14:paraId="792526AF" w14:textId="77777777" w:rsidR="008C2A90" w:rsidRPr="00F043D1" w:rsidRDefault="008C2A90" w:rsidP="008C2A90">
                  <w:pPr>
                    <w:jc w:val="left"/>
                    <w:rPr>
                      <w:rFonts w:ascii="Calibri" w:hAnsi="Calibri"/>
                    </w:rPr>
                  </w:pPr>
                  <w:r w:rsidRPr="00F043D1">
                    <w:rPr>
                      <w:rFonts w:ascii="Calibri" w:hAnsi="Calibri"/>
                    </w:rPr>
                    <w:t>Director</w:t>
                  </w:r>
                </w:p>
              </w:tc>
              <w:tc>
                <w:tcPr>
                  <w:tcW w:w="3584" w:type="dxa"/>
                  <w:shd w:val="clear" w:color="auto" w:fill="auto"/>
                </w:tcPr>
                <w:p w14:paraId="2149FEDD" w14:textId="77777777" w:rsidR="008C2A90" w:rsidRPr="00F043D1" w:rsidRDefault="008C2A90" w:rsidP="008C2A90">
                  <w:pPr>
                    <w:jc w:val="left"/>
                    <w:rPr>
                      <w:rFonts w:ascii="Calibri" w:hAnsi="Calibri"/>
                    </w:rPr>
                  </w:pPr>
                  <w:r w:rsidRPr="00F043D1">
                    <w:rPr>
                      <w:rFonts w:ascii="Calibri" w:hAnsi="Calibri"/>
                    </w:rPr>
                    <w:t>TNYC</w:t>
                  </w:r>
                </w:p>
              </w:tc>
            </w:tr>
            <w:tr w:rsidR="009C7A2C" w:rsidRPr="008C2A90" w14:paraId="3554325F" w14:textId="77777777" w:rsidTr="00FB0282">
              <w:tc>
                <w:tcPr>
                  <w:tcW w:w="2189" w:type="dxa"/>
                  <w:shd w:val="clear" w:color="auto" w:fill="auto"/>
                </w:tcPr>
                <w:p w14:paraId="0E705A22" w14:textId="77777777" w:rsidR="008C2A90" w:rsidRPr="00F043D1" w:rsidRDefault="008C2A90" w:rsidP="00337E1A">
                  <w:pPr>
                    <w:rPr>
                      <w:rFonts w:ascii="Calibri" w:hAnsi="Calibri"/>
                    </w:rPr>
                  </w:pPr>
                  <w:r w:rsidRPr="00F043D1">
                    <w:rPr>
                      <w:rFonts w:ascii="Calibri" w:hAnsi="Calibri"/>
                    </w:rPr>
                    <w:t>Monalisa Palu</w:t>
                  </w:r>
                </w:p>
              </w:tc>
              <w:tc>
                <w:tcPr>
                  <w:tcW w:w="2801" w:type="dxa"/>
                  <w:shd w:val="clear" w:color="auto" w:fill="auto"/>
                </w:tcPr>
                <w:p w14:paraId="073E925D" w14:textId="77777777" w:rsidR="008C2A90" w:rsidRPr="00F043D1" w:rsidRDefault="008C2A90" w:rsidP="008C2A90">
                  <w:pPr>
                    <w:jc w:val="left"/>
                    <w:rPr>
                      <w:rFonts w:ascii="Calibri" w:hAnsi="Calibri"/>
                    </w:rPr>
                  </w:pPr>
                  <w:r w:rsidRPr="00F043D1">
                    <w:rPr>
                      <w:rFonts w:ascii="Calibri" w:hAnsi="Calibri"/>
                    </w:rPr>
                    <w:t>CEO</w:t>
                  </w:r>
                </w:p>
              </w:tc>
              <w:tc>
                <w:tcPr>
                  <w:tcW w:w="3584" w:type="dxa"/>
                  <w:shd w:val="clear" w:color="auto" w:fill="auto"/>
                </w:tcPr>
                <w:p w14:paraId="06819C42" w14:textId="77777777" w:rsidR="008C2A90" w:rsidRPr="00F043D1" w:rsidRDefault="008C2A90" w:rsidP="008C2A90">
                  <w:pPr>
                    <w:jc w:val="left"/>
                    <w:rPr>
                      <w:rFonts w:ascii="Calibri" w:hAnsi="Calibri"/>
                    </w:rPr>
                  </w:pPr>
                  <w:r w:rsidRPr="00F043D1">
                    <w:rPr>
                      <w:rFonts w:ascii="Calibri" w:hAnsi="Calibri"/>
                    </w:rPr>
                    <w:t>True Tonga Inc (TTI)</w:t>
                  </w:r>
                </w:p>
              </w:tc>
            </w:tr>
            <w:tr w:rsidR="009C7A2C" w:rsidRPr="008C2A90" w14:paraId="32861C24" w14:textId="77777777" w:rsidTr="00FB0282">
              <w:tc>
                <w:tcPr>
                  <w:tcW w:w="2189" w:type="dxa"/>
                  <w:shd w:val="clear" w:color="auto" w:fill="auto"/>
                </w:tcPr>
                <w:p w14:paraId="7A1D284C" w14:textId="77777777" w:rsidR="008C2A90" w:rsidRPr="00F043D1" w:rsidRDefault="008C2A90" w:rsidP="008C2A90">
                  <w:pPr>
                    <w:rPr>
                      <w:rFonts w:ascii="Calibri" w:hAnsi="Calibri"/>
                    </w:rPr>
                  </w:pPr>
                  <w:r w:rsidRPr="00F043D1">
                    <w:rPr>
                      <w:rFonts w:ascii="Calibri" w:hAnsi="Calibri"/>
                    </w:rPr>
                    <w:t>Susitina Tesi</w:t>
                  </w:r>
                </w:p>
              </w:tc>
              <w:tc>
                <w:tcPr>
                  <w:tcW w:w="2801" w:type="dxa"/>
                  <w:shd w:val="clear" w:color="auto" w:fill="auto"/>
                </w:tcPr>
                <w:p w14:paraId="4B9FD7E1" w14:textId="77777777" w:rsidR="008C2A90" w:rsidRPr="00F043D1" w:rsidRDefault="008C2A90" w:rsidP="008C2A90">
                  <w:pPr>
                    <w:jc w:val="left"/>
                    <w:rPr>
                      <w:rFonts w:ascii="Calibri" w:hAnsi="Calibri"/>
                    </w:rPr>
                  </w:pPr>
                  <w:r w:rsidRPr="00F043D1">
                    <w:rPr>
                      <w:rFonts w:ascii="Calibri" w:hAnsi="Calibri"/>
                    </w:rPr>
                    <w:t>Handicraft artist and trainer</w:t>
                  </w:r>
                </w:p>
              </w:tc>
              <w:tc>
                <w:tcPr>
                  <w:tcW w:w="3584" w:type="dxa"/>
                  <w:shd w:val="clear" w:color="auto" w:fill="auto"/>
                </w:tcPr>
                <w:p w14:paraId="4E29BEB6" w14:textId="77777777" w:rsidR="008C2A90" w:rsidRPr="00F043D1" w:rsidRDefault="008C2A90" w:rsidP="008C2A90">
                  <w:pPr>
                    <w:jc w:val="left"/>
                    <w:rPr>
                      <w:rFonts w:ascii="Calibri" w:hAnsi="Calibri"/>
                    </w:rPr>
                  </w:pPr>
                  <w:r w:rsidRPr="00F043D1">
                    <w:rPr>
                      <w:rFonts w:ascii="Calibri" w:hAnsi="Calibri"/>
                    </w:rPr>
                    <w:t>Member of TTI</w:t>
                  </w:r>
                </w:p>
              </w:tc>
            </w:tr>
            <w:tr w:rsidR="009C7A2C" w:rsidRPr="008C2A90" w14:paraId="25F0A961" w14:textId="77777777" w:rsidTr="00FB0282">
              <w:tc>
                <w:tcPr>
                  <w:tcW w:w="2189" w:type="dxa"/>
                  <w:shd w:val="clear" w:color="auto" w:fill="auto"/>
                </w:tcPr>
                <w:p w14:paraId="5DF26A9E" w14:textId="77777777" w:rsidR="008C2A90" w:rsidRPr="00F043D1" w:rsidRDefault="008C2A90" w:rsidP="00337E1A">
                  <w:pPr>
                    <w:rPr>
                      <w:rFonts w:ascii="Calibri" w:hAnsi="Calibri"/>
                    </w:rPr>
                  </w:pPr>
                  <w:r w:rsidRPr="00F043D1">
                    <w:rPr>
                      <w:rFonts w:ascii="Calibri" w:hAnsi="Calibri"/>
                    </w:rPr>
                    <w:t>Tevita Lautaha</w:t>
                  </w:r>
                </w:p>
              </w:tc>
              <w:tc>
                <w:tcPr>
                  <w:tcW w:w="2801" w:type="dxa"/>
                  <w:shd w:val="clear" w:color="auto" w:fill="auto"/>
                </w:tcPr>
                <w:p w14:paraId="37F10B90" w14:textId="77777777" w:rsidR="008C2A90" w:rsidRPr="00F043D1" w:rsidRDefault="008C2A90" w:rsidP="008C2A90">
                  <w:pPr>
                    <w:jc w:val="left"/>
                    <w:rPr>
                      <w:rFonts w:ascii="Calibri" w:hAnsi="Calibri"/>
                    </w:rPr>
                  </w:pPr>
                  <w:r w:rsidRPr="00F043D1">
                    <w:rPr>
                      <w:rFonts w:ascii="Calibri" w:hAnsi="Calibri"/>
                    </w:rPr>
                    <w:t>Deputy CEO</w:t>
                  </w:r>
                </w:p>
              </w:tc>
              <w:tc>
                <w:tcPr>
                  <w:tcW w:w="3584" w:type="dxa"/>
                  <w:shd w:val="clear" w:color="auto" w:fill="auto"/>
                </w:tcPr>
                <w:p w14:paraId="355556D3" w14:textId="77777777" w:rsidR="008C2A90" w:rsidRPr="00F043D1" w:rsidRDefault="008C2A90" w:rsidP="00337E1A">
                  <w:pPr>
                    <w:jc w:val="left"/>
                    <w:rPr>
                      <w:rFonts w:ascii="Calibri" w:hAnsi="Calibri"/>
                    </w:rPr>
                  </w:pPr>
                  <w:r w:rsidRPr="00F043D1">
                    <w:rPr>
                      <w:rFonts w:ascii="Calibri" w:hAnsi="Calibri"/>
                    </w:rPr>
                    <w:t>Tongan Ministry of Commerce, Consumers, Trade, Investment and Labour</w:t>
                  </w:r>
                </w:p>
              </w:tc>
            </w:tr>
            <w:tr w:rsidR="009C7A2C" w:rsidRPr="008C2A90" w14:paraId="4A12C3FE" w14:textId="77777777" w:rsidTr="00FB0282">
              <w:tc>
                <w:tcPr>
                  <w:tcW w:w="2189" w:type="dxa"/>
                  <w:shd w:val="clear" w:color="auto" w:fill="auto"/>
                </w:tcPr>
                <w:p w14:paraId="1C9EC814" w14:textId="77777777" w:rsidR="008C2A90" w:rsidRPr="00F043D1" w:rsidRDefault="008C2A90" w:rsidP="008C2A90">
                  <w:pPr>
                    <w:rPr>
                      <w:rFonts w:ascii="Calibri" w:hAnsi="Calibri"/>
                    </w:rPr>
                  </w:pPr>
                  <w:r w:rsidRPr="00F043D1">
                    <w:rPr>
                      <w:rFonts w:ascii="Calibri" w:hAnsi="Calibri"/>
                    </w:rPr>
                    <w:t>Adi Talanaivini Mafi</w:t>
                  </w:r>
                </w:p>
              </w:tc>
              <w:tc>
                <w:tcPr>
                  <w:tcW w:w="2801" w:type="dxa"/>
                  <w:shd w:val="clear" w:color="auto" w:fill="auto"/>
                </w:tcPr>
                <w:p w14:paraId="126E78F1" w14:textId="77777777" w:rsidR="008C2A90" w:rsidRPr="00F043D1" w:rsidRDefault="008C2A90" w:rsidP="008C2A90">
                  <w:pPr>
                    <w:jc w:val="left"/>
                    <w:rPr>
                      <w:rFonts w:ascii="Calibri" w:hAnsi="Calibri"/>
                    </w:rPr>
                  </w:pPr>
                  <w:r w:rsidRPr="00F043D1">
                    <w:rPr>
                      <w:rFonts w:ascii="Calibri" w:hAnsi="Calibri"/>
                    </w:rPr>
                    <w:t>Tongan public servant</w:t>
                  </w:r>
                </w:p>
              </w:tc>
              <w:tc>
                <w:tcPr>
                  <w:tcW w:w="3584" w:type="dxa"/>
                  <w:shd w:val="clear" w:color="auto" w:fill="auto"/>
                </w:tcPr>
                <w:p w14:paraId="33226894" w14:textId="77777777" w:rsidR="008C2A90" w:rsidRPr="00F043D1" w:rsidRDefault="008C2A90" w:rsidP="008C2A90">
                  <w:pPr>
                    <w:jc w:val="left"/>
                    <w:rPr>
                      <w:rFonts w:ascii="Calibri" w:hAnsi="Calibri"/>
                    </w:rPr>
                  </w:pPr>
                  <w:r w:rsidRPr="00F043D1">
                    <w:rPr>
                      <w:rFonts w:ascii="Calibri" w:hAnsi="Calibri"/>
                    </w:rPr>
                    <w:t>GUA Award Recipient 2016</w:t>
                  </w:r>
                </w:p>
              </w:tc>
            </w:tr>
            <w:tr w:rsidR="009C7A2C" w:rsidRPr="008C2A90" w14:paraId="0A4DE685" w14:textId="77777777" w:rsidTr="00FB0282">
              <w:tc>
                <w:tcPr>
                  <w:tcW w:w="2189" w:type="dxa"/>
                  <w:shd w:val="clear" w:color="auto" w:fill="auto"/>
                </w:tcPr>
                <w:p w14:paraId="4CF5B307" w14:textId="77777777" w:rsidR="008C2A90" w:rsidRPr="00F043D1" w:rsidRDefault="008C2A90" w:rsidP="008C2A90">
                  <w:pPr>
                    <w:rPr>
                      <w:rFonts w:ascii="Calibri" w:hAnsi="Calibri"/>
                    </w:rPr>
                  </w:pPr>
                  <w:r w:rsidRPr="00F043D1">
                    <w:rPr>
                      <w:rFonts w:ascii="Calibri" w:hAnsi="Calibri"/>
                    </w:rPr>
                    <w:t>Natalia Latu</w:t>
                  </w:r>
                </w:p>
                <w:p w14:paraId="08E1DF86" w14:textId="77777777" w:rsidR="008C2A90" w:rsidRPr="00F043D1" w:rsidRDefault="008C2A90" w:rsidP="008C2A90">
                  <w:pPr>
                    <w:rPr>
                      <w:rFonts w:ascii="Calibri" w:hAnsi="Calibri"/>
                    </w:rPr>
                  </w:pPr>
                </w:p>
              </w:tc>
              <w:tc>
                <w:tcPr>
                  <w:tcW w:w="2801" w:type="dxa"/>
                  <w:shd w:val="clear" w:color="auto" w:fill="auto"/>
                </w:tcPr>
                <w:p w14:paraId="5C48D233" w14:textId="77777777" w:rsidR="008C2A90" w:rsidRPr="00F043D1" w:rsidRDefault="008C2A90" w:rsidP="008C2A90">
                  <w:pPr>
                    <w:jc w:val="left"/>
                    <w:rPr>
                      <w:rFonts w:ascii="Calibri" w:hAnsi="Calibri"/>
                    </w:rPr>
                  </w:pPr>
                  <w:r w:rsidRPr="00F043D1">
                    <w:rPr>
                      <w:rFonts w:ascii="Calibri" w:hAnsi="Calibri"/>
                    </w:rPr>
                    <w:t>Acting CEO</w:t>
                  </w:r>
                </w:p>
              </w:tc>
              <w:tc>
                <w:tcPr>
                  <w:tcW w:w="3584" w:type="dxa"/>
                  <w:shd w:val="clear" w:color="auto" w:fill="auto"/>
                </w:tcPr>
                <w:p w14:paraId="70B4C30B" w14:textId="77777777" w:rsidR="008C2A90" w:rsidRPr="00F043D1" w:rsidRDefault="008C2A90" w:rsidP="008C2A90">
                  <w:pPr>
                    <w:jc w:val="left"/>
                    <w:rPr>
                      <w:rFonts w:ascii="Calibri" w:hAnsi="Calibri"/>
                    </w:rPr>
                  </w:pPr>
                  <w:r w:rsidRPr="00F043D1">
                    <w:rPr>
                      <w:rFonts w:ascii="Calibri" w:hAnsi="Calibri"/>
                    </w:rPr>
                    <w:t>Tongan Ministry of Finance and National Planning</w:t>
                  </w:r>
                </w:p>
                <w:p w14:paraId="61AB7900" w14:textId="77777777" w:rsidR="008C2A90" w:rsidRPr="00F043D1" w:rsidRDefault="008C2A90" w:rsidP="008C2A90">
                  <w:pPr>
                    <w:jc w:val="left"/>
                    <w:rPr>
                      <w:rFonts w:ascii="Calibri" w:hAnsi="Calibri"/>
                      <w:u w:val="single"/>
                    </w:rPr>
                  </w:pPr>
                  <w:r w:rsidRPr="00F043D1">
                    <w:rPr>
                      <w:rFonts w:ascii="Calibri" w:hAnsi="Calibri"/>
                    </w:rPr>
                    <w:t>Aid Management Unit</w:t>
                  </w:r>
                </w:p>
              </w:tc>
            </w:tr>
            <w:tr w:rsidR="009C7A2C" w:rsidRPr="008C2A90" w14:paraId="74FC85D4" w14:textId="77777777" w:rsidTr="00FB0282">
              <w:tc>
                <w:tcPr>
                  <w:tcW w:w="2189" w:type="dxa"/>
                  <w:shd w:val="clear" w:color="auto" w:fill="auto"/>
                </w:tcPr>
                <w:p w14:paraId="699136E8" w14:textId="77777777" w:rsidR="008C2A90" w:rsidRPr="00F043D1" w:rsidRDefault="008C2A90" w:rsidP="008C2A90">
                  <w:pPr>
                    <w:rPr>
                      <w:rFonts w:ascii="Calibri" w:hAnsi="Calibri"/>
                    </w:rPr>
                  </w:pPr>
                  <w:r w:rsidRPr="00F043D1">
                    <w:rPr>
                      <w:rFonts w:ascii="Calibri" w:hAnsi="Calibri"/>
                    </w:rPr>
                    <w:t>Milika Tuita</w:t>
                  </w:r>
                </w:p>
              </w:tc>
              <w:tc>
                <w:tcPr>
                  <w:tcW w:w="2801" w:type="dxa"/>
                  <w:shd w:val="clear" w:color="auto" w:fill="auto"/>
                </w:tcPr>
                <w:p w14:paraId="02F46423" w14:textId="77777777" w:rsidR="008C2A90" w:rsidRPr="00F043D1" w:rsidRDefault="008C2A90" w:rsidP="008C2A90">
                  <w:pPr>
                    <w:jc w:val="left"/>
                    <w:rPr>
                      <w:rFonts w:ascii="Calibri" w:hAnsi="Calibri"/>
                    </w:rPr>
                  </w:pPr>
                  <w:r w:rsidRPr="00F043D1">
                    <w:rPr>
                      <w:rFonts w:ascii="Calibri" w:hAnsi="Calibri"/>
                    </w:rPr>
                    <w:t>UNJO Country Manager</w:t>
                  </w:r>
                </w:p>
              </w:tc>
              <w:tc>
                <w:tcPr>
                  <w:tcW w:w="3584" w:type="dxa"/>
                  <w:shd w:val="clear" w:color="auto" w:fill="auto"/>
                </w:tcPr>
                <w:p w14:paraId="74B23DDF" w14:textId="77777777" w:rsidR="008C2A90" w:rsidRPr="00F043D1" w:rsidRDefault="008C2A90" w:rsidP="008C2A90">
                  <w:pPr>
                    <w:jc w:val="left"/>
                    <w:rPr>
                      <w:rFonts w:ascii="Calibri" w:hAnsi="Calibri"/>
                    </w:rPr>
                  </w:pPr>
                  <w:r w:rsidRPr="00F043D1">
                    <w:rPr>
                      <w:rFonts w:ascii="Calibri" w:hAnsi="Calibri"/>
                    </w:rPr>
                    <w:t>UNDP/UN Women (Tonga)</w:t>
                  </w:r>
                </w:p>
              </w:tc>
            </w:tr>
            <w:tr w:rsidR="009C7A2C" w:rsidRPr="008C2A90" w14:paraId="76B481E4" w14:textId="77777777" w:rsidTr="00FB0282">
              <w:tc>
                <w:tcPr>
                  <w:tcW w:w="2189" w:type="dxa"/>
                  <w:shd w:val="clear" w:color="auto" w:fill="auto"/>
                </w:tcPr>
                <w:p w14:paraId="16A7037D" w14:textId="77777777" w:rsidR="008C2A90" w:rsidRPr="00F043D1" w:rsidRDefault="008C2A90" w:rsidP="008C2A90">
                  <w:pPr>
                    <w:rPr>
                      <w:rFonts w:ascii="Calibri" w:hAnsi="Calibri"/>
                    </w:rPr>
                  </w:pPr>
                  <w:r w:rsidRPr="00F043D1">
                    <w:rPr>
                      <w:rFonts w:ascii="Calibri" w:hAnsi="Calibri"/>
                    </w:rPr>
                    <w:t>Katrina Fatiaki</w:t>
                  </w:r>
                </w:p>
              </w:tc>
              <w:tc>
                <w:tcPr>
                  <w:tcW w:w="2801" w:type="dxa"/>
                  <w:shd w:val="clear" w:color="auto" w:fill="auto"/>
                </w:tcPr>
                <w:p w14:paraId="203D946D" w14:textId="77777777" w:rsidR="008C2A90" w:rsidRPr="00F043D1" w:rsidRDefault="008C2A90" w:rsidP="008C2A90">
                  <w:pPr>
                    <w:jc w:val="left"/>
                    <w:rPr>
                      <w:rFonts w:ascii="Calibri" w:hAnsi="Calibri"/>
                    </w:rPr>
                  </w:pPr>
                </w:p>
              </w:tc>
              <w:tc>
                <w:tcPr>
                  <w:tcW w:w="3584" w:type="dxa"/>
                  <w:shd w:val="clear" w:color="auto" w:fill="auto"/>
                </w:tcPr>
                <w:p w14:paraId="7573CE0B" w14:textId="77777777" w:rsidR="008C2A90" w:rsidRPr="00F043D1" w:rsidRDefault="008C2A90" w:rsidP="008C2A90">
                  <w:pPr>
                    <w:jc w:val="left"/>
                    <w:rPr>
                      <w:rFonts w:ascii="Calibri" w:hAnsi="Calibri"/>
                    </w:rPr>
                  </w:pPr>
                  <w:r w:rsidRPr="00F043D1">
                    <w:rPr>
                      <w:rFonts w:ascii="Calibri" w:hAnsi="Calibri"/>
                    </w:rPr>
                    <w:t>Former RRRT trainer</w:t>
                  </w:r>
                </w:p>
              </w:tc>
            </w:tr>
            <w:tr w:rsidR="009C7A2C" w:rsidRPr="008C2A90" w14:paraId="78D8E378" w14:textId="77777777" w:rsidTr="00FB0282">
              <w:tc>
                <w:tcPr>
                  <w:tcW w:w="2189" w:type="dxa"/>
                  <w:shd w:val="clear" w:color="auto" w:fill="auto"/>
                </w:tcPr>
                <w:p w14:paraId="05E7F873" w14:textId="77777777" w:rsidR="008C2A90" w:rsidRPr="00F043D1" w:rsidRDefault="008C2A90" w:rsidP="008C2A90">
                  <w:pPr>
                    <w:rPr>
                      <w:rFonts w:ascii="Calibri" w:hAnsi="Calibri"/>
                    </w:rPr>
                  </w:pPr>
                  <w:r w:rsidRPr="00F043D1">
                    <w:rPr>
                      <w:rFonts w:ascii="Calibri" w:hAnsi="Calibri"/>
                    </w:rPr>
                    <w:t>Drew Havea</w:t>
                  </w:r>
                </w:p>
              </w:tc>
              <w:tc>
                <w:tcPr>
                  <w:tcW w:w="2801" w:type="dxa"/>
                  <w:shd w:val="clear" w:color="auto" w:fill="auto"/>
                </w:tcPr>
                <w:p w14:paraId="2F33078E" w14:textId="77777777" w:rsidR="008C2A90" w:rsidRPr="00F043D1" w:rsidRDefault="008C2A90" w:rsidP="008C2A90">
                  <w:pPr>
                    <w:jc w:val="left"/>
                    <w:rPr>
                      <w:rFonts w:ascii="Calibri" w:hAnsi="Calibri"/>
                    </w:rPr>
                  </w:pPr>
                  <w:r w:rsidRPr="00F043D1">
                    <w:rPr>
                      <w:rFonts w:ascii="Calibri" w:hAnsi="Calibri"/>
                    </w:rPr>
                    <w:t>Chairman</w:t>
                  </w:r>
                </w:p>
              </w:tc>
              <w:tc>
                <w:tcPr>
                  <w:tcW w:w="3584" w:type="dxa"/>
                  <w:shd w:val="clear" w:color="auto" w:fill="auto"/>
                </w:tcPr>
                <w:p w14:paraId="53B599C4" w14:textId="77777777" w:rsidR="008C2A90" w:rsidRPr="00F043D1" w:rsidRDefault="008C2A90" w:rsidP="008C2A90">
                  <w:pPr>
                    <w:jc w:val="left"/>
                    <w:rPr>
                      <w:rFonts w:ascii="Calibri" w:hAnsi="Calibri"/>
                    </w:rPr>
                  </w:pPr>
                  <w:r w:rsidRPr="00F043D1">
                    <w:rPr>
                      <w:rFonts w:ascii="Calibri" w:hAnsi="Calibri"/>
                    </w:rPr>
                    <w:t>TNLDF/CSFT</w:t>
                  </w:r>
                </w:p>
              </w:tc>
            </w:tr>
            <w:tr w:rsidR="009C7A2C" w:rsidRPr="008C2A90" w14:paraId="3ACB8E5D" w14:textId="77777777" w:rsidTr="00FB0282">
              <w:tc>
                <w:tcPr>
                  <w:tcW w:w="2189" w:type="dxa"/>
                  <w:shd w:val="clear" w:color="auto" w:fill="auto"/>
                </w:tcPr>
                <w:p w14:paraId="339B68AF" w14:textId="77777777" w:rsidR="008C2A90" w:rsidRPr="00F043D1" w:rsidRDefault="008C2A90" w:rsidP="008C2A90">
                  <w:pPr>
                    <w:rPr>
                      <w:rFonts w:ascii="Calibri" w:hAnsi="Calibri"/>
                    </w:rPr>
                  </w:pPr>
                  <w:r w:rsidRPr="00F043D1">
                    <w:rPr>
                      <w:rFonts w:ascii="Calibri" w:hAnsi="Calibri"/>
                    </w:rPr>
                    <w:t>Manitasi Leger</w:t>
                  </w:r>
                </w:p>
              </w:tc>
              <w:tc>
                <w:tcPr>
                  <w:tcW w:w="2801" w:type="dxa"/>
                  <w:shd w:val="clear" w:color="auto" w:fill="auto"/>
                </w:tcPr>
                <w:p w14:paraId="6C0BBF3D" w14:textId="77777777" w:rsidR="008C2A90" w:rsidRPr="00F043D1" w:rsidRDefault="008C2A90" w:rsidP="008C2A90">
                  <w:pPr>
                    <w:jc w:val="left"/>
                    <w:rPr>
                      <w:rFonts w:ascii="Calibri" w:hAnsi="Calibri"/>
                    </w:rPr>
                  </w:pPr>
                  <w:r w:rsidRPr="00F043D1">
                    <w:rPr>
                      <w:rFonts w:ascii="Calibri" w:hAnsi="Calibri"/>
                    </w:rPr>
                    <w:t>Secretary</w:t>
                  </w:r>
                </w:p>
              </w:tc>
              <w:tc>
                <w:tcPr>
                  <w:tcW w:w="3584" w:type="dxa"/>
                  <w:shd w:val="clear" w:color="auto" w:fill="auto"/>
                </w:tcPr>
                <w:p w14:paraId="19B473CF" w14:textId="77777777" w:rsidR="008C2A90" w:rsidRPr="00F043D1" w:rsidRDefault="008C2A90" w:rsidP="008C2A90">
                  <w:pPr>
                    <w:jc w:val="left"/>
                    <w:rPr>
                      <w:rFonts w:ascii="Calibri" w:hAnsi="Calibri"/>
                    </w:rPr>
                  </w:pPr>
                  <w:r w:rsidRPr="00F043D1">
                    <w:rPr>
                      <w:rFonts w:ascii="Calibri" w:hAnsi="Calibri"/>
                    </w:rPr>
                    <w:t>TNLDF</w:t>
                  </w:r>
                </w:p>
              </w:tc>
            </w:tr>
            <w:tr w:rsidR="009C7A2C" w:rsidRPr="008C2A90" w14:paraId="181B0A43" w14:textId="77777777" w:rsidTr="00FB0282">
              <w:tc>
                <w:tcPr>
                  <w:tcW w:w="2189" w:type="dxa"/>
                  <w:shd w:val="clear" w:color="auto" w:fill="auto"/>
                </w:tcPr>
                <w:p w14:paraId="2E21482C" w14:textId="77777777" w:rsidR="008C2A90" w:rsidRPr="00F043D1" w:rsidRDefault="008C2A90" w:rsidP="008C2A90">
                  <w:pPr>
                    <w:rPr>
                      <w:rFonts w:ascii="Calibri" w:hAnsi="Calibri"/>
                    </w:rPr>
                  </w:pPr>
                  <w:r w:rsidRPr="00F043D1">
                    <w:rPr>
                      <w:rFonts w:ascii="Calibri" w:hAnsi="Calibri"/>
                    </w:rPr>
                    <w:t>Siale ‘Emeline ‘Ilolahi</w:t>
                  </w:r>
                </w:p>
              </w:tc>
              <w:tc>
                <w:tcPr>
                  <w:tcW w:w="2801" w:type="dxa"/>
                  <w:shd w:val="clear" w:color="auto" w:fill="auto"/>
                </w:tcPr>
                <w:p w14:paraId="4DDA9746" w14:textId="77777777" w:rsidR="008C2A90" w:rsidRPr="00F043D1" w:rsidRDefault="008C2A90" w:rsidP="008C2A90">
                  <w:pPr>
                    <w:jc w:val="left"/>
                    <w:rPr>
                      <w:rFonts w:ascii="Calibri" w:hAnsi="Calibri"/>
                    </w:rPr>
                  </w:pPr>
                  <w:r w:rsidRPr="00F043D1">
                    <w:rPr>
                      <w:rFonts w:ascii="Calibri" w:hAnsi="Calibri"/>
                    </w:rPr>
                    <w:t>Director</w:t>
                  </w:r>
                </w:p>
              </w:tc>
              <w:tc>
                <w:tcPr>
                  <w:tcW w:w="3584" w:type="dxa"/>
                  <w:shd w:val="clear" w:color="auto" w:fill="auto"/>
                </w:tcPr>
                <w:p w14:paraId="55EA49B8" w14:textId="77777777" w:rsidR="008C2A90" w:rsidRPr="00F043D1" w:rsidRDefault="008C2A90" w:rsidP="008C2A90">
                  <w:pPr>
                    <w:jc w:val="left"/>
                    <w:rPr>
                      <w:rFonts w:ascii="Calibri" w:hAnsi="Calibri"/>
                    </w:rPr>
                  </w:pPr>
                  <w:r w:rsidRPr="00F043D1">
                    <w:rPr>
                      <w:rFonts w:ascii="Calibri" w:hAnsi="Calibri"/>
                    </w:rPr>
                    <w:t>CSFT</w:t>
                  </w:r>
                </w:p>
              </w:tc>
            </w:tr>
            <w:tr w:rsidR="009C7A2C" w:rsidRPr="008C2A90" w14:paraId="1904F89A" w14:textId="77777777" w:rsidTr="00FB0282">
              <w:tc>
                <w:tcPr>
                  <w:tcW w:w="2189" w:type="dxa"/>
                  <w:shd w:val="clear" w:color="auto" w:fill="auto"/>
                </w:tcPr>
                <w:p w14:paraId="60656DD3" w14:textId="77777777" w:rsidR="008C2A90" w:rsidRPr="00F043D1" w:rsidRDefault="008C2A90" w:rsidP="008C2A90">
                  <w:pPr>
                    <w:rPr>
                      <w:rFonts w:ascii="Calibri" w:hAnsi="Calibri"/>
                    </w:rPr>
                  </w:pPr>
                  <w:r w:rsidRPr="00F043D1">
                    <w:rPr>
                      <w:rFonts w:ascii="Calibri" w:hAnsi="Calibri"/>
                    </w:rPr>
                    <w:t xml:space="preserve"> ‘Evaipomana  Tu’uholoaki</w:t>
                  </w:r>
                </w:p>
              </w:tc>
              <w:tc>
                <w:tcPr>
                  <w:tcW w:w="2801" w:type="dxa"/>
                  <w:shd w:val="clear" w:color="auto" w:fill="auto"/>
                </w:tcPr>
                <w:p w14:paraId="2E332E6A" w14:textId="77777777" w:rsidR="008C2A90" w:rsidRPr="00F043D1" w:rsidRDefault="008C2A90" w:rsidP="008C2A90">
                  <w:pPr>
                    <w:jc w:val="left"/>
                    <w:rPr>
                      <w:rFonts w:ascii="Calibri" w:hAnsi="Calibri"/>
                    </w:rPr>
                  </w:pPr>
                  <w:r w:rsidRPr="00F043D1">
                    <w:rPr>
                      <w:rFonts w:ascii="Calibri" w:hAnsi="Calibri"/>
                    </w:rPr>
                    <w:t>Deputy CEO</w:t>
                  </w:r>
                </w:p>
              </w:tc>
              <w:tc>
                <w:tcPr>
                  <w:tcW w:w="3584" w:type="dxa"/>
                  <w:shd w:val="clear" w:color="auto" w:fill="auto"/>
                </w:tcPr>
                <w:p w14:paraId="7C886E86" w14:textId="77777777" w:rsidR="008C2A90" w:rsidRPr="00F043D1" w:rsidRDefault="008C2A90" w:rsidP="008C2A90">
                  <w:pPr>
                    <w:jc w:val="left"/>
                    <w:rPr>
                      <w:rFonts w:ascii="Calibri" w:hAnsi="Calibri"/>
                    </w:rPr>
                  </w:pPr>
                  <w:r w:rsidRPr="00F043D1">
                    <w:rPr>
                      <w:rFonts w:ascii="Calibri" w:hAnsi="Calibri"/>
                    </w:rPr>
                    <w:t>Tongan Ministry of Internal Affairs</w:t>
                  </w:r>
                </w:p>
              </w:tc>
            </w:tr>
            <w:tr w:rsidR="009C7A2C" w:rsidRPr="008C2A90" w14:paraId="4417E91D" w14:textId="77777777" w:rsidTr="00FB0282">
              <w:tc>
                <w:tcPr>
                  <w:tcW w:w="2189" w:type="dxa"/>
                  <w:shd w:val="clear" w:color="auto" w:fill="auto"/>
                </w:tcPr>
                <w:p w14:paraId="6EC1F167" w14:textId="77777777" w:rsidR="008C2A90" w:rsidRPr="00F043D1" w:rsidRDefault="008C2A90" w:rsidP="008C2A90">
                  <w:pPr>
                    <w:rPr>
                      <w:rFonts w:ascii="Calibri" w:hAnsi="Calibri"/>
                    </w:rPr>
                  </w:pPr>
                  <w:r w:rsidRPr="00F043D1">
                    <w:rPr>
                      <w:rFonts w:ascii="Calibri" w:hAnsi="Calibri"/>
                    </w:rPr>
                    <w:t>Lavinia Palei</w:t>
                  </w:r>
                </w:p>
              </w:tc>
              <w:tc>
                <w:tcPr>
                  <w:tcW w:w="2801" w:type="dxa"/>
                  <w:shd w:val="clear" w:color="auto" w:fill="auto"/>
                </w:tcPr>
                <w:p w14:paraId="2156E4DF" w14:textId="77777777" w:rsidR="008C2A90" w:rsidRPr="00F043D1" w:rsidRDefault="008C2A90" w:rsidP="008C2A90">
                  <w:pPr>
                    <w:jc w:val="left"/>
                    <w:rPr>
                      <w:rFonts w:ascii="Calibri" w:hAnsi="Calibri"/>
                    </w:rPr>
                  </w:pPr>
                  <w:r w:rsidRPr="00F043D1">
                    <w:rPr>
                      <w:rFonts w:ascii="Calibri" w:hAnsi="Calibri"/>
                    </w:rPr>
                    <w:t>Representative</w:t>
                  </w:r>
                </w:p>
              </w:tc>
              <w:tc>
                <w:tcPr>
                  <w:tcW w:w="3584" w:type="dxa"/>
                  <w:shd w:val="clear" w:color="auto" w:fill="auto"/>
                </w:tcPr>
                <w:p w14:paraId="1D96FA95" w14:textId="77777777" w:rsidR="008C2A90" w:rsidRPr="00F043D1" w:rsidRDefault="008C2A90" w:rsidP="008C2A90">
                  <w:pPr>
                    <w:jc w:val="left"/>
                    <w:rPr>
                      <w:rFonts w:ascii="Calibri" w:hAnsi="Calibri"/>
                    </w:rPr>
                  </w:pPr>
                  <w:r w:rsidRPr="00F043D1">
                    <w:rPr>
                      <w:rFonts w:ascii="Calibri" w:hAnsi="Calibri"/>
                    </w:rPr>
                    <w:t>Oxfam (Tonga)</w:t>
                  </w:r>
                </w:p>
              </w:tc>
            </w:tr>
            <w:tr w:rsidR="009C7A2C" w:rsidRPr="008C2A90" w14:paraId="354878B3" w14:textId="77777777" w:rsidTr="00FB0282">
              <w:tc>
                <w:tcPr>
                  <w:tcW w:w="2189" w:type="dxa"/>
                  <w:shd w:val="clear" w:color="auto" w:fill="auto"/>
                </w:tcPr>
                <w:p w14:paraId="6456E635" w14:textId="77777777" w:rsidR="008C2A90" w:rsidRPr="00F043D1" w:rsidRDefault="008C2A90" w:rsidP="008C2A90">
                  <w:pPr>
                    <w:rPr>
                      <w:rFonts w:ascii="Calibri" w:hAnsi="Calibri"/>
                    </w:rPr>
                  </w:pPr>
                  <w:r w:rsidRPr="00F043D1">
                    <w:rPr>
                      <w:rFonts w:ascii="Calibri" w:hAnsi="Calibri"/>
                    </w:rPr>
                    <w:t>Lopeti Aleamotu'a</w:t>
                  </w:r>
                </w:p>
              </w:tc>
              <w:tc>
                <w:tcPr>
                  <w:tcW w:w="2801" w:type="dxa"/>
                  <w:shd w:val="clear" w:color="auto" w:fill="auto"/>
                </w:tcPr>
                <w:p w14:paraId="74CA75F0" w14:textId="77777777" w:rsidR="008C2A90" w:rsidRPr="00F043D1" w:rsidRDefault="008C2A90" w:rsidP="008C2A90">
                  <w:pPr>
                    <w:jc w:val="left"/>
                    <w:rPr>
                      <w:rFonts w:ascii="Calibri" w:hAnsi="Calibri"/>
                    </w:rPr>
                  </w:pPr>
                  <w:r w:rsidRPr="00F043D1">
                    <w:rPr>
                      <w:rFonts w:ascii="Calibri" w:hAnsi="Calibri"/>
                    </w:rPr>
                    <w:t>Representative of the Young Nobles</w:t>
                  </w:r>
                </w:p>
              </w:tc>
              <w:tc>
                <w:tcPr>
                  <w:tcW w:w="3584" w:type="dxa"/>
                  <w:shd w:val="clear" w:color="auto" w:fill="auto"/>
                </w:tcPr>
                <w:p w14:paraId="161B6D9A" w14:textId="77777777" w:rsidR="008C2A90" w:rsidRPr="00F043D1" w:rsidRDefault="008C2A90" w:rsidP="008C2A90">
                  <w:pPr>
                    <w:jc w:val="left"/>
                    <w:rPr>
                      <w:rFonts w:ascii="Calibri" w:hAnsi="Calibri"/>
                    </w:rPr>
                  </w:pPr>
                  <w:r w:rsidRPr="00F043D1">
                    <w:rPr>
                      <w:rFonts w:ascii="Calibri" w:hAnsi="Calibri"/>
                    </w:rPr>
                    <w:t>Namoa/TNLDF</w:t>
                  </w:r>
                </w:p>
              </w:tc>
            </w:tr>
          </w:tbl>
          <w:p w14:paraId="384B3701" w14:textId="77777777" w:rsidR="008C2A90" w:rsidRDefault="008C2A90" w:rsidP="00CD5ECE">
            <w:pPr>
              <w:rPr>
                <w:rFonts w:ascii="Calibri" w:hAnsi="Calibri"/>
                <w:b/>
                <w:sz w:val="26"/>
                <w:szCs w:val="26"/>
              </w:rPr>
            </w:pPr>
          </w:p>
          <w:p w14:paraId="388A023F" w14:textId="77777777" w:rsidR="008C2A90" w:rsidRDefault="008C2A90" w:rsidP="00CD5ECE">
            <w:pPr>
              <w:rPr>
                <w:rFonts w:ascii="Calibri" w:hAnsi="Calibri"/>
                <w:b/>
                <w:sz w:val="26"/>
                <w:szCs w:val="26"/>
              </w:rPr>
            </w:pPr>
          </w:p>
          <w:p w14:paraId="2184FF68" w14:textId="77777777" w:rsidR="008C2A90" w:rsidRDefault="008C2A90" w:rsidP="00CD5ECE">
            <w:pPr>
              <w:rPr>
                <w:rFonts w:ascii="Calibri" w:hAnsi="Calibri"/>
                <w:b/>
                <w:sz w:val="26"/>
                <w:szCs w:val="26"/>
              </w:rPr>
            </w:pPr>
          </w:p>
          <w:p w14:paraId="06470E6E" w14:textId="77777777" w:rsidR="00CD5ECE" w:rsidRPr="001E70DC" w:rsidRDefault="00CD5ECE" w:rsidP="008C2A90">
            <w:pPr>
              <w:tabs>
                <w:tab w:val="left" w:pos="1253"/>
              </w:tabs>
              <w:rPr>
                <w:rFonts w:ascii="Calibri" w:hAnsi="Calibri"/>
                <w:sz w:val="26"/>
                <w:szCs w:val="26"/>
              </w:rPr>
            </w:pPr>
          </w:p>
        </w:tc>
      </w:tr>
    </w:tbl>
    <w:p w14:paraId="1C9B64D7" w14:textId="77777777" w:rsidR="00CD5ECE" w:rsidRPr="008C2A90" w:rsidRDefault="00CD5ECE" w:rsidP="00CD5ECE">
      <w:pPr>
        <w:rPr>
          <w:u w:val="single"/>
        </w:rPr>
      </w:pPr>
    </w:p>
    <w:p w14:paraId="1078456E" w14:textId="77777777" w:rsidR="00500F71" w:rsidRPr="00500F71" w:rsidRDefault="00500F71">
      <w:r>
        <w:br w:type="page"/>
      </w:r>
    </w:p>
    <w:p w14:paraId="710C3EB6" w14:textId="77777777" w:rsidR="001C4E36" w:rsidRDefault="00D00827" w:rsidP="00337E1A">
      <w:pPr>
        <w:pStyle w:val="Heading2"/>
        <w:numPr>
          <w:ilvl w:val="0"/>
          <w:numId w:val="0"/>
        </w:numPr>
        <w:spacing w:before="240" w:after="120"/>
        <w:ind w:left="431" w:hanging="431"/>
      </w:pPr>
      <w:bookmarkStart w:id="65" w:name="_Toc486247226"/>
      <w:r>
        <w:t xml:space="preserve">Annex </w:t>
      </w:r>
      <w:r w:rsidR="00BC051C">
        <w:t>9</w:t>
      </w:r>
      <w:r w:rsidR="008A47DE" w:rsidRPr="00D67E75">
        <w:t>: Documents</w:t>
      </w:r>
      <w:r w:rsidR="00DD0594" w:rsidRPr="00D67E75">
        <w:t xml:space="preserve"> Reviewed</w:t>
      </w:r>
      <w:bookmarkEnd w:id="65"/>
    </w:p>
    <w:p w14:paraId="7DCEBD55" w14:textId="77777777" w:rsidR="00335DCA" w:rsidRPr="00F601F6" w:rsidRDefault="00335DCA" w:rsidP="00335DCA">
      <w:pPr>
        <w:pStyle w:val="SDAbodytext"/>
        <w:rPr>
          <w:b/>
        </w:rPr>
      </w:pPr>
      <w:r>
        <w:rPr>
          <w:b/>
        </w:rPr>
        <w:t>Program Documents</w:t>
      </w:r>
    </w:p>
    <w:p w14:paraId="7F425166" w14:textId="77777777" w:rsidR="00335DCA" w:rsidRDefault="00335DCA" w:rsidP="00335DCA">
      <w:pPr>
        <w:pStyle w:val="SDAbodytext"/>
      </w:pPr>
      <w:r>
        <w:t>PLP3 Program Design Document, December 2013</w:t>
      </w:r>
    </w:p>
    <w:p w14:paraId="2E39A912" w14:textId="77777777" w:rsidR="00335DCA" w:rsidRDefault="00335DCA" w:rsidP="00335DCA">
      <w:pPr>
        <w:pStyle w:val="SDAbodytext"/>
      </w:pPr>
      <w:r>
        <w:t>Services Order (contract) 65541/10 for PLP3, June 2014</w:t>
      </w:r>
    </w:p>
    <w:p w14:paraId="7517EA7B" w14:textId="77777777" w:rsidR="00335DCA" w:rsidRDefault="00335DCA" w:rsidP="00335DCA">
      <w:pPr>
        <w:pStyle w:val="SDAbodytext"/>
      </w:pPr>
      <w:r>
        <w:t>PLP3 Monitoring and Evaluation Plan, May 2016</w:t>
      </w:r>
    </w:p>
    <w:p w14:paraId="318B73CF" w14:textId="77777777" w:rsidR="00335DCA" w:rsidRDefault="00335DCA" w:rsidP="00335DCA">
      <w:pPr>
        <w:pStyle w:val="SDAbodytext"/>
      </w:pPr>
      <w:r w:rsidRPr="00335DCA">
        <w:t>PLP3 Evaluation Plan, April 2017</w:t>
      </w:r>
    </w:p>
    <w:p w14:paraId="4DE6A13E" w14:textId="77777777" w:rsidR="00335DCA" w:rsidRDefault="00335DCA" w:rsidP="00335DCA">
      <w:pPr>
        <w:pStyle w:val="SDAbodytext"/>
      </w:pPr>
      <w:r>
        <w:t>PLP3 Gender and Inclusion Strategy, May 2016</w:t>
      </w:r>
    </w:p>
    <w:p w14:paraId="23C4A795" w14:textId="77777777" w:rsidR="00335DCA" w:rsidRDefault="00335DCA" w:rsidP="00335DCA">
      <w:pPr>
        <w:pStyle w:val="SDAbodytext"/>
      </w:pPr>
      <w:r>
        <w:t>PLP1&amp;2 Program Completion Report, June 2014</w:t>
      </w:r>
    </w:p>
    <w:p w14:paraId="4A5DD3B9" w14:textId="77777777" w:rsidR="00335DCA" w:rsidRDefault="00335DCA" w:rsidP="00335DCA">
      <w:pPr>
        <w:pStyle w:val="SDAbodytext"/>
      </w:pPr>
      <w:r>
        <w:t>PLP3 Annual Report 2014-15, May 2015</w:t>
      </w:r>
    </w:p>
    <w:p w14:paraId="0C903CD2" w14:textId="77777777" w:rsidR="00335DCA" w:rsidRDefault="00335DCA" w:rsidP="00335DCA">
      <w:pPr>
        <w:pStyle w:val="SDAbodytext"/>
      </w:pPr>
      <w:r>
        <w:t>PLP3 Annual Report Summary, November 2015</w:t>
      </w:r>
    </w:p>
    <w:p w14:paraId="147A0B40" w14:textId="77777777" w:rsidR="00335DCA" w:rsidRDefault="00335DCA" w:rsidP="00335DCA">
      <w:pPr>
        <w:pStyle w:val="SDAbodytext"/>
      </w:pPr>
      <w:r>
        <w:t>PLP3 Annual Report 2015-16, June 2016</w:t>
      </w:r>
    </w:p>
    <w:p w14:paraId="290E4A41" w14:textId="77777777" w:rsidR="00335DCA" w:rsidRPr="005A0884" w:rsidRDefault="00335DCA" w:rsidP="00335DCA">
      <w:pPr>
        <w:pStyle w:val="SDAbodytext"/>
      </w:pPr>
      <w:r>
        <w:t>PLP</w:t>
      </w:r>
      <w:r w:rsidRPr="005A0884">
        <w:t xml:space="preserve">3 Year 2 Annual Report 2015-16 </w:t>
      </w:r>
      <w:r>
        <w:t xml:space="preserve">PLP response to DFAT Feedback, </w:t>
      </w:r>
      <w:r w:rsidRPr="005A0884">
        <w:t xml:space="preserve">August 2016 </w:t>
      </w:r>
    </w:p>
    <w:p w14:paraId="24435557" w14:textId="77777777" w:rsidR="00335DCA" w:rsidRDefault="00335DCA" w:rsidP="00335DCA">
      <w:pPr>
        <w:pStyle w:val="SDAbodytext"/>
      </w:pPr>
      <w:r>
        <w:t>PLP3 Annual Report Cover Note, June 2016</w:t>
      </w:r>
    </w:p>
    <w:p w14:paraId="462DA726" w14:textId="77777777" w:rsidR="00335DCA" w:rsidRDefault="00335DCA" w:rsidP="00335DCA">
      <w:pPr>
        <w:pStyle w:val="SDAbodytext"/>
      </w:pPr>
      <w:r>
        <w:t>PLP3 Annual Plan (July 2016 – June 2017), August 2016</w:t>
      </w:r>
    </w:p>
    <w:p w14:paraId="60722DA7" w14:textId="77777777" w:rsidR="00335DCA" w:rsidRDefault="00335DCA" w:rsidP="00335DCA">
      <w:pPr>
        <w:pStyle w:val="SDAbodytext"/>
      </w:pPr>
      <w:r>
        <w:t>PLP3 Advisory Panel meeting minutes, 19 January 2016</w:t>
      </w:r>
    </w:p>
    <w:p w14:paraId="174E3923" w14:textId="77777777" w:rsidR="00335DCA" w:rsidRDefault="00335DCA" w:rsidP="00335DCA">
      <w:pPr>
        <w:pStyle w:val="SDAbodytext"/>
      </w:pPr>
      <w:r>
        <w:t>PLP3 Advisory Panel meeting minutes, 7 November 2016</w:t>
      </w:r>
    </w:p>
    <w:p w14:paraId="2EF2A28C" w14:textId="77777777" w:rsidR="00335DCA" w:rsidRDefault="00335DCA" w:rsidP="00335DCA">
      <w:pPr>
        <w:pStyle w:val="SDAbodytext"/>
      </w:pPr>
      <w:r>
        <w:t>PLP3 Advisory Panel Charter, January 2016</w:t>
      </w:r>
    </w:p>
    <w:p w14:paraId="2D529C7E" w14:textId="77777777" w:rsidR="00335DCA" w:rsidRDefault="00335DCA" w:rsidP="00335DCA">
      <w:pPr>
        <w:pStyle w:val="SDAbodytext"/>
      </w:pPr>
      <w:r>
        <w:t>PLP3 6-Monthly Reflection and Refocus agenda and report, July 2014</w:t>
      </w:r>
    </w:p>
    <w:p w14:paraId="554A5A20" w14:textId="77777777" w:rsidR="00335DCA" w:rsidRDefault="00335DCA" w:rsidP="00335DCA">
      <w:pPr>
        <w:pStyle w:val="SDAbodytext"/>
      </w:pPr>
      <w:r>
        <w:t>PLP3 6-Monthly Reflection and Refocus agenda and report, February 2015</w:t>
      </w:r>
    </w:p>
    <w:p w14:paraId="20705AFD" w14:textId="77777777" w:rsidR="00335DCA" w:rsidRDefault="00335DCA" w:rsidP="00335DCA">
      <w:pPr>
        <w:pStyle w:val="SDAbodytext"/>
      </w:pPr>
      <w:r>
        <w:t>PLP3 6-Monthly Reflection and Refocus agenda and report, February 2016</w:t>
      </w:r>
    </w:p>
    <w:p w14:paraId="115F5BD4" w14:textId="77777777" w:rsidR="00335DCA" w:rsidRDefault="00335DCA" w:rsidP="00335DCA">
      <w:pPr>
        <w:pStyle w:val="SDAbodytext"/>
      </w:pPr>
      <w:r>
        <w:t>PLP3 6-Monthly Reflection and Refocus agenda and report, July 2016</w:t>
      </w:r>
    </w:p>
    <w:p w14:paraId="1252852C" w14:textId="77777777" w:rsidR="00335DCA" w:rsidRDefault="00335DCA" w:rsidP="00335DCA">
      <w:pPr>
        <w:pStyle w:val="SDAbodytext"/>
      </w:pPr>
      <w:r>
        <w:t>PLP3 6-Monthly Reflection and Refocus agenda and report, December 2016</w:t>
      </w:r>
    </w:p>
    <w:p w14:paraId="02CBA275" w14:textId="77777777" w:rsidR="00335DCA" w:rsidRDefault="00335DCA" w:rsidP="00335DCA">
      <w:pPr>
        <w:pStyle w:val="SDAbodytext"/>
      </w:pPr>
      <w:r>
        <w:t>PLP3 Internal Communications Strategy (Holbeck), June 2016</w:t>
      </w:r>
    </w:p>
    <w:p w14:paraId="59242231" w14:textId="77777777" w:rsidR="00335DCA" w:rsidRDefault="00335DCA" w:rsidP="00335DCA">
      <w:pPr>
        <w:pStyle w:val="SDAbodytext"/>
      </w:pPr>
      <w:r>
        <w:t>PLP3 Knowledge Dissemination Strategy (Newton Cain), July 2015</w:t>
      </w:r>
    </w:p>
    <w:p w14:paraId="5A409AC7" w14:textId="77777777" w:rsidR="00335DCA" w:rsidRDefault="00335DCA" w:rsidP="00335DCA">
      <w:pPr>
        <w:pStyle w:val="SDAbodytext"/>
      </w:pPr>
      <w:r>
        <w:t>PLP3 Donor Program Update (October-December 2016), February 2017</w:t>
      </w:r>
    </w:p>
    <w:p w14:paraId="7B7EA120" w14:textId="77777777" w:rsidR="00335DCA" w:rsidRDefault="00335DCA" w:rsidP="00335DCA">
      <w:pPr>
        <w:pStyle w:val="SDAbodytext"/>
      </w:pPr>
      <w:r>
        <w:t>PLP3 Donor Program Update (January-March 2017), April 2017</w:t>
      </w:r>
    </w:p>
    <w:p w14:paraId="43F84ADA" w14:textId="77777777" w:rsidR="00335DCA" w:rsidRDefault="00335DCA" w:rsidP="00335DCA">
      <w:pPr>
        <w:pStyle w:val="SDAbodytext"/>
      </w:pPr>
      <w:r>
        <w:t>PLP3 Key Achievements (July 2014 – May 2017), May 2017</w:t>
      </w:r>
    </w:p>
    <w:p w14:paraId="275C5B59" w14:textId="77777777" w:rsidR="00335DCA" w:rsidRPr="00F601F6" w:rsidRDefault="00335DCA" w:rsidP="00335DCA">
      <w:pPr>
        <w:pStyle w:val="SDAbodytext"/>
        <w:rPr>
          <w:b/>
        </w:rPr>
      </w:pPr>
      <w:r>
        <w:rPr>
          <w:b/>
        </w:rPr>
        <w:t>Evaluations and Assessments</w:t>
      </w:r>
    </w:p>
    <w:p w14:paraId="1D292A1E" w14:textId="77777777" w:rsidR="00335DCA" w:rsidRDefault="00335DCA" w:rsidP="00335DCA">
      <w:pPr>
        <w:pStyle w:val="SDAbodytext"/>
      </w:pPr>
      <w:r>
        <w:t>Independent Progress Report on PLP (Henderson and Roche), June 2012</w:t>
      </w:r>
    </w:p>
    <w:p w14:paraId="4F4190FF" w14:textId="77777777" w:rsidR="00335DCA" w:rsidRDefault="00335DCA" w:rsidP="00335DCA">
      <w:pPr>
        <w:pStyle w:val="SDAbodytext"/>
      </w:pPr>
      <w:r>
        <w:t>PLP3 Pacific Regional Leadership Initiative (March 2015 – May 2017) Draft Evaluation Report, June 2017 draft</w:t>
      </w:r>
    </w:p>
    <w:p w14:paraId="21646726" w14:textId="77777777" w:rsidR="00335DCA" w:rsidRDefault="00335DCA" w:rsidP="00335DCA">
      <w:pPr>
        <w:pStyle w:val="SDAbodytext"/>
      </w:pPr>
      <w:r>
        <w:t>Partner Performance Assessment of Cardno for PLP3 (July-December 2014), undated</w:t>
      </w:r>
    </w:p>
    <w:p w14:paraId="23D5CE7C" w14:textId="77777777" w:rsidR="00335DCA" w:rsidRDefault="00335DCA" w:rsidP="00335DCA">
      <w:pPr>
        <w:pStyle w:val="SDAbodytext"/>
      </w:pPr>
      <w:r>
        <w:t>Partner Performance Assessment of Cardno for PLP3 (January-December 2016), undated</w:t>
      </w:r>
    </w:p>
    <w:p w14:paraId="5C5F2EEE" w14:textId="77777777" w:rsidR="00335DCA" w:rsidRDefault="00335DCA" w:rsidP="00335DCA">
      <w:pPr>
        <w:pStyle w:val="SDAbodytext"/>
      </w:pPr>
      <w:r>
        <w:t>PLP3 Aid Quality Check 2017</w:t>
      </w:r>
    </w:p>
    <w:p w14:paraId="4A985007" w14:textId="77777777" w:rsidR="00335DCA" w:rsidRDefault="00335DCA" w:rsidP="00335DCA">
      <w:pPr>
        <w:pStyle w:val="SDAbodytext"/>
      </w:pPr>
      <w:r>
        <w:t>PLP3 Aid Quality Check July-December 2014</w:t>
      </w:r>
    </w:p>
    <w:p w14:paraId="50430824" w14:textId="77777777" w:rsidR="00335DCA" w:rsidRPr="00F601F6" w:rsidRDefault="00335DCA" w:rsidP="00335DCA">
      <w:pPr>
        <w:pStyle w:val="SDAbodytext"/>
        <w:rPr>
          <w:b/>
        </w:rPr>
      </w:pPr>
      <w:r>
        <w:rPr>
          <w:b/>
        </w:rPr>
        <w:t>Research</w:t>
      </w:r>
      <w:r w:rsidRPr="00F601F6">
        <w:rPr>
          <w:b/>
        </w:rPr>
        <w:t xml:space="preserve"> </w:t>
      </w:r>
      <w:r>
        <w:rPr>
          <w:b/>
        </w:rPr>
        <w:t>and Publications</w:t>
      </w:r>
    </w:p>
    <w:p w14:paraId="369C20A0" w14:textId="77777777" w:rsidR="00335DCA" w:rsidRDefault="00335DCA" w:rsidP="00335DCA">
      <w:pPr>
        <w:pStyle w:val="SDAbodytext"/>
      </w:pPr>
      <w:r>
        <w:t>List of commissioned research knowledge products, updated 29 March 2017</w:t>
      </w:r>
    </w:p>
    <w:p w14:paraId="1E9C61E9" w14:textId="77777777" w:rsidR="00335DCA" w:rsidRDefault="00335DCA" w:rsidP="00335DCA">
      <w:pPr>
        <w:pStyle w:val="SDAbodytext"/>
      </w:pPr>
      <w:r>
        <w:t>List of commissioned research knowledge products, updated 10 May 2017</w:t>
      </w:r>
    </w:p>
    <w:p w14:paraId="7064DB91" w14:textId="77777777" w:rsidR="00335DCA" w:rsidRDefault="00335DCA" w:rsidP="00335DCA">
      <w:pPr>
        <w:pStyle w:val="SDAbodytext"/>
      </w:pPr>
      <w:r>
        <w:t>List of citations of PLP3 work, updated 29 March 2017</w:t>
      </w:r>
    </w:p>
    <w:p w14:paraId="68484528" w14:textId="77777777" w:rsidR="00335DCA" w:rsidRDefault="00335DCA" w:rsidP="00335DCA">
      <w:pPr>
        <w:pStyle w:val="SDAbodytext"/>
      </w:pPr>
      <w:r>
        <w:t xml:space="preserve">Denney and McLaren, </w:t>
      </w:r>
      <w:r w:rsidRPr="00C8225B">
        <w:t>Thinking and</w:t>
      </w:r>
      <w:r>
        <w:t xml:space="preserve"> Working Politically to Support </w:t>
      </w:r>
      <w:r w:rsidRPr="00C8225B">
        <w:t>Developme</w:t>
      </w:r>
      <w:r>
        <w:t>ntal Leadership and Coalitions: The Pacific Leadership Program, October 2016</w:t>
      </w:r>
    </w:p>
    <w:p w14:paraId="3791F68F" w14:textId="77777777" w:rsidR="00335DCA" w:rsidRPr="00335DCA" w:rsidRDefault="00335DCA" w:rsidP="00335DCA">
      <w:pPr>
        <w:pStyle w:val="SDAbodytext"/>
      </w:pPr>
      <w:r w:rsidRPr="00335DCA">
        <w:t>Denney and McLaren, Coalitions for Change in the Pacific: A Comparative Analysis of PLP’s Action-Research case studies / Report and Policy Brief, 2016, page 28</w:t>
      </w:r>
    </w:p>
    <w:p w14:paraId="75AC9C6B" w14:textId="6B2D349B" w:rsidR="00335DCA" w:rsidRPr="00335DCA" w:rsidRDefault="00FF4EC0" w:rsidP="00335DCA">
      <w:pPr>
        <w:pStyle w:val="SDAbodytext"/>
      </w:pPr>
      <w:r>
        <w:t xml:space="preserve">Lee, </w:t>
      </w:r>
      <w:r w:rsidR="00335DCA" w:rsidRPr="00335DCA">
        <w:t>Tongan National Leadership Development Fo</w:t>
      </w:r>
      <w:r>
        <w:t>rum Completion Report 2017</w:t>
      </w:r>
      <w:r w:rsidR="00335DCA" w:rsidRPr="00335DCA">
        <w:t>, May 2017</w:t>
      </w:r>
    </w:p>
    <w:p w14:paraId="79F9B838" w14:textId="77777777" w:rsidR="00335DCA" w:rsidRPr="007D79E2" w:rsidRDefault="00335DCA" w:rsidP="00335DCA">
      <w:pPr>
        <w:pStyle w:val="SDAbodytext"/>
      </w:pPr>
      <w:r w:rsidRPr="005240AC">
        <w:t>Roche and Kelly, The Evaluation of Politics and the Politics of Evaluation, DLP Background Paper 11, August 2012</w:t>
      </w:r>
    </w:p>
    <w:p w14:paraId="7C1D2637" w14:textId="77777777" w:rsidR="00335DCA" w:rsidRPr="00544FBC" w:rsidRDefault="00335DCA" w:rsidP="00335DCA">
      <w:pPr>
        <w:pStyle w:val="SDAbodytext"/>
      </w:pPr>
      <w:r w:rsidRPr="00544FBC">
        <w:t xml:space="preserve">Wheeler and Leftwich, Coalitions in the Politics of Development: Findings, insights and guidance from the DLP Coalitions Workshop in Sydney (15-16 February 2012), </w:t>
      </w:r>
      <w:r>
        <w:t>April 2012</w:t>
      </w:r>
    </w:p>
    <w:p w14:paraId="054FFF26" w14:textId="77777777" w:rsidR="00335DCA" w:rsidRDefault="00335DCA" w:rsidP="00335DCA">
      <w:pPr>
        <w:pStyle w:val="SDAbodytext"/>
      </w:pPr>
      <w:r>
        <w:t xml:space="preserve">Hoatson, Draft </w:t>
      </w:r>
      <w:r w:rsidRPr="00C977D3">
        <w:t xml:space="preserve">Case Study </w:t>
      </w:r>
      <w:r>
        <w:t>on Simbo for Change, forthcoming</w:t>
      </w:r>
    </w:p>
    <w:p w14:paraId="68FC0F52" w14:textId="77777777" w:rsidR="00335DCA" w:rsidRDefault="00335DCA" w:rsidP="00335DCA">
      <w:pPr>
        <w:pStyle w:val="SDAbodytext"/>
      </w:pPr>
      <w:r>
        <w:t>Rosseau and Kenneth-Watson, Supporting Coalition-Based Reform in Vanuatu, March 2017</w:t>
      </w:r>
    </w:p>
    <w:p w14:paraId="28E4B7AC" w14:textId="77777777" w:rsidR="00335DCA" w:rsidRDefault="00335DCA" w:rsidP="00335DCA">
      <w:pPr>
        <w:pStyle w:val="SDAbodytext"/>
      </w:pPr>
      <w:r>
        <w:t xml:space="preserve">Craney and Hudson, Draft </w:t>
      </w:r>
      <w:bookmarkStart w:id="66" w:name="_Toc455304565"/>
      <w:r>
        <w:t>interim/baseline report on the Green Growth Leaders’ Coalition (2016), forthcoming</w:t>
      </w:r>
    </w:p>
    <w:p w14:paraId="69671720" w14:textId="77777777" w:rsidR="00335DCA" w:rsidRPr="00C977D3" w:rsidRDefault="00335DCA" w:rsidP="00335DCA">
      <w:pPr>
        <w:pStyle w:val="SDAbodytext"/>
      </w:pPr>
      <w:r>
        <w:t xml:space="preserve">Rhodes, Draft History of the Pacific Leadership Program, March 2017 draft </w:t>
      </w:r>
      <w:bookmarkEnd w:id="66"/>
    </w:p>
    <w:p w14:paraId="32EF1811" w14:textId="77777777" w:rsidR="00335DCA" w:rsidRDefault="00335DCA" w:rsidP="00335DCA">
      <w:pPr>
        <w:pStyle w:val="SDAbodytext"/>
      </w:pPr>
      <w:r>
        <w:t xml:space="preserve">Terms of Reference for research on </w:t>
      </w:r>
      <w:r w:rsidRPr="00C459C7">
        <w:t>Mapping PLP’s Influence on Coalition and Organisational Relationships</w:t>
      </w:r>
      <w:r>
        <w:t>, March 2017</w:t>
      </w:r>
    </w:p>
    <w:p w14:paraId="197B1E2B" w14:textId="77777777" w:rsidR="00335DCA" w:rsidRDefault="00335DCA" w:rsidP="00335DCA">
      <w:pPr>
        <w:pStyle w:val="SDAbodytext"/>
      </w:pPr>
      <w:r>
        <w:t xml:space="preserve">Terms of Reference for research on </w:t>
      </w:r>
      <w:r w:rsidRPr="002D68A4">
        <w:t>Tracking and Mapping the Green Growth Leaders’ Coalition</w:t>
      </w:r>
      <w:r>
        <w:t>, October 2016</w:t>
      </w:r>
    </w:p>
    <w:p w14:paraId="234110DE" w14:textId="77777777" w:rsidR="00335DCA" w:rsidRDefault="00335DCA" w:rsidP="00335DCA">
      <w:pPr>
        <w:pStyle w:val="SDAbodytext"/>
      </w:pPr>
      <w:r>
        <w:t>Ward and van Heerde-Hudson, Lessons Learned on Thinking and Working Politically for the Ratification of CEDAW in Tonga, June 2016</w:t>
      </w:r>
    </w:p>
    <w:p w14:paraId="1230E5CD" w14:textId="77777777" w:rsidR="00335DCA" w:rsidRDefault="00335DCA" w:rsidP="00335DCA">
      <w:pPr>
        <w:pStyle w:val="SDAbodytext"/>
      </w:pPr>
      <w:r>
        <w:t>PLP3 Briefing Note on Lessons Learned on Thinking and Working Politically for the Ratification of CEDAW in Tonga, August 2016</w:t>
      </w:r>
    </w:p>
    <w:p w14:paraId="78EC9215" w14:textId="77777777" w:rsidR="00335DCA" w:rsidRDefault="00335DCA" w:rsidP="00335DCA">
      <w:pPr>
        <w:pStyle w:val="SDAbodytext"/>
      </w:pPr>
      <w:r>
        <w:t>PLP3 Briefing Note on Adaptive Leadership, February 2017</w:t>
      </w:r>
    </w:p>
    <w:p w14:paraId="26AD1AB4" w14:textId="77777777" w:rsidR="00335DCA" w:rsidRDefault="00335DCA" w:rsidP="00335DCA">
      <w:pPr>
        <w:pStyle w:val="SDAbodytext"/>
      </w:pPr>
      <w:r>
        <w:t>PLP3 Briefing Note on Analysis of Women Councillor's Experiences in WISDM Coalition Activities in Vanuatu, June 2016</w:t>
      </w:r>
    </w:p>
    <w:p w14:paraId="59E63498" w14:textId="77777777" w:rsidR="00335DCA" w:rsidRDefault="00335DCA" w:rsidP="00335DCA">
      <w:pPr>
        <w:pStyle w:val="SDAbodytext"/>
      </w:pPr>
      <w:r>
        <w:t>PLP3 Briefing Note on Samoa Chamber of Commerce and Industry, March 2017</w:t>
      </w:r>
    </w:p>
    <w:p w14:paraId="6F7C96D0" w14:textId="77777777" w:rsidR="00335DCA" w:rsidRDefault="00335DCA" w:rsidP="00335DCA">
      <w:pPr>
        <w:pStyle w:val="SDAbodytext"/>
      </w:pPr>
      <w:r>
        <w:t>PLP3 Briefing Note on PLP3's Approach to Action Research, May 2016</w:t>
      </w:r>
    </w:p>
    <w:p w14:paraId="19B2A379" w14:textId="77777777" w:rsidR="00335DCA" w:rsidRDefault="00335DCA" w:rsidP="00335DCA">
      <w:pPr>
        <w:pStyle w:val="SDAbodytext"/>
      </w:pPr>
      <w:r>
        <w:t>PLP3 Solomon Islands Country Program Fact Sheet, June 2016</w:t>
      </w:r>
    </w:p>
    <w:p w14:paraId="753620CF" w14:textId="77777777" w:rsidR="00335DCA" w:rsidRDefault="00335DCA" w:rsidP="00335DCA">
      <w:pPr>
        <w:pStyle w:val="SDAbodytext"/>
      </w:pPr>
      <w:r>
        <w:t>PLP3 Samoa Country Program Fact Sheet, June 2016</w:t>
      </w:r>
    </w:p>
    <w:p w14:paraId="3895ACD2" w14:textId="77777777" w:rsidR="00335DCA" w:rsidRDefault="00335DCA" w:rsidP="00335DCA">
      <w:pPr>
        <w:pStyle w:val="SDAbodytext"/>
      </w:pPr>
      <w:r>
        <w:t>PLP3 Tonga Country Program Fact Sheet, June 2016</w:t>
      </w:r>
    </w:p>
    <w:p w14:paraId="6113C56F" w14:textId="77777777" w:rsidR="00335DCA" w:rsidRDefault="00335DCA" w:rsidP="00335DCA">
      <w:pPr>
        <w:pStyle w:val="SDAbodytext"/>
      </w:pPr>
      <w:r>
        <w:t>PLP3 Vanuatu Country Program Fact Sheet, June 2016</w:t>
      </w:r>
    </w:p>
    <w:p w14:paraId="4E8A28A9" w14:textId="77777777" w:rsidR="00335DCA" w:rsidRDefault="00335DCA" w:rsidP="00335DCA">
      <w:pPr>
        <w:pStyle w:val="SDAbodytext"/>
      </w:pPr>
      <w:r>
        <w:t>PLP3 Pacific Regional Activities Fact Sheet, May 2016</w:t>
      </w:r>
    </w:p>
    <w:p w14:paraId="2546C678" w14:textId="77777777" w:rsidR="00335DCA" w:rsidRDefault="00335DCA" w:rsidP="00335DCA">
      <w:pPr>
        <w:pStyle w:val="SDAbodytext"/>
      </w:pPr>
      <w:r>
        <w:t>Wallis, Crowded &amp; Complex: The Changing Geopolitics of the South Pacific, ASPI Special Report, April 2017</w:t>
      </w:r>
    </w:p>
    <w:p w14:paraId="2738B2BA" w14:textId="77777777" w:rsidR="00335DCA" w:rsidRDefault="00335DCA" w:rsidP="00335DCA">
      <w:pPr>
        <w:pStyle w:val="SDAbodytext"/>
      </w:pPr>
      <w:r>
        <w:t>Cole, Ladner, Koenig and Tyrrel, Reflections on Implementing Politically Informed, Searching Programs: Lessons for Aid Practitioners and Policy Makers (Case Study 5 in the Working Politically in Practise Series), April 2016</w:t>
      </w:r>
    </w:p>
    <w:p w14:paraId="452D47D6" w14:textId="77777777" w:rsidR="00335DCA" w:rsidRPr="00F601F6" w:rsidRDefault="00335DCA" w:rsidP="00335DCA">
      <w:pPr>
        <w:pStyle w:val="SDAbodytext"/>
        <w:rPr>
          <w:b/>
        </w:rPr>
      </w:pPr>
      <w:r>
        <w:rPr>
          <w:b/>
        </w:rPr>
        <w:t>Policy Documents</w:t>
      </w:r>
    </w:p>
    <w:p w14:paraId="7529B468" w14:textId="77777777" w:rsidR="00335DCA" w:rsidRDefault="00335DCA" w:rsidP="00335DCA">
      <w:pPr>
        <w:pStyle w:val="SDAbodytext"/>
      </w:pPr>
      <w:r>
        <w:t>Australian Aid: Promoting Growth and Stability, White Paper, June 2006</w:t>
      </w:r>
    </w:p>
    <w:p w14:paraId="5BFAE78D" w14:textId="77777777" w:rsidR="00335DCA" w:rsidRDefault="00335DCA" w:rsidP="00335DCA">
      <w:pPr>
        <w:pStyle w:val="SDAbodytext"/>
      </w:pPr>
      <w:r>
        <w:t>Australian Aid: Promoting Prosperity, Reducing Poverty, Enhancing Stability, June 2014</w:t>
      </w:r>
    </w:p>
    <w:p w14:paraId="4391EA1C" w14:textId="77777777" w:rsidR="00335DCA" w:rsidRDefault="00335DCA" w:rsidP="00335DCA">
      <w:pPr>
        <w:pStyle w:val="SDAbodytext"/>
      </w:pPr>
      <w:r>
        <w:t>Australia's New Development Policy and Performance Framework: A summary, undated</w:t>
      </w:r>
    </w:p>
    <w:p w14:paraId="4FCEFE80" w14:textId="77777777" w:rsidR="00335DCA" w:rsidRDefault="00335DCA" w:rsidP="00335DCA">
      <w:pPr>
        <w:pStyle w:val="SDAbodytext"/>
      </w:pPr>
      <w:r>
        <w:t>Effective Governance: Strategy for Australia's Aid Investments, March 2015</w:t>
      </w:r>
    </w:p>
    <w:p w14:paraId="53065588" w14:textId="77777777" w:rsidR="00335DCA" w:rsidRDefault="00335DCA" w:rsidP="00335DCA">
      <w:pPr>
        <w:pStyle w:val="SDAbodytext"/>
      </w:pPr>
      <w:r>
        <w:t>Aid Investment Plan: Pacific Regional (2015-16 to 2018-19), undated</w:t>
      </w:r>
    </w:p>
    <w:p w14:paraId="350C24DD" w14:textId="77777777" w:rsidR="00335DCA" w:rsidRPr="00004DF7" w:rsidRDefault="00335DCA" w:rsidP="00335DCA">
      <w:pPr>
        <w:pStyle w:val="SDAbodytext"/>
        <w:rPr>
          <w:b/>
        </w:rPr>
      </w:pPr>
      <w:r>
        <w:rPr>
          <w:b/>
        </w:rPr>
        <w:t>Other</w:t>
      </w:r>
    </w:p>
    <w:p w14:paraId="2DEEFFB0" w14:textId="77777777" w:rsidR="00335DCA" w:rsidRDefault="00335DCA" w:rsidP="00335DCA">
      <w:pPr>
        <w:pStyle w:val="SDAbodytext"/>
      </w:pPr>
      <w:r>
        <w:t>Remarks by Prime Minister Turnbull at Pacific Islands Forum, 9 September 2016</w:t>
      </w:r>
    </w:p>
    <w:p w14:paraId="44D3CEC4" w14:textId="77777777" w:rsidR="00335DCA" w:rsidRDefault="00335DCA" w:rsidP="00335DCA">
      <w:pPr>
        <w:pStyle w:val="SDAbodytext"/>
      </w:pPr>
      <w:r>
        <w:t xml:space="preserve">DLP Website, </w:t>
      </w:r>
      <w:r w:rsidRPr="00FA6EC9">
        <w:t>www.dlprog.org</w:t>
      </w:r>
    </w:p>
    <w:p w14:paraId="0CB00827" w14:textId="77777777" w:rsidR="00335DCA" w:rsidRDefault="00335DCA" w:rsidP="00335DCA">
      <w:pPr>
        <w:pStyle w:val="SDAbodytext"/>
      </w:pPr>
      <w:r>
        <w:t>PLP Website, www.plp.org.fj</w:t>
      </w:r>
    </w:p>
    <w:p w14:paraId="58357691" w14:textId="77777777" w:rsidR="001C4E36" w:rsidRDefault="001C4E36" w:rsidP="00CC0B68">
      <w:pPr>
        <w:pStyle w:val="SDAbodytext"/>
      </w:pPr>
    </w:p>
    <w:p w14:paraId="16126D93" w14:textId="77777777" w:rsidR="001C4E36" w:rsidRDefault="001C4E36" w:rsidP="00CC0B68">
      <w:pPr>
        <w:pStyle w:val="SDAbodytext"/>
      </w:pPr>
    </w:p>
    <w:p w14:paraId="5C024C29" w14:textId="77777777" w:rsidR="001C4E36" w:rsidRDefault="001C4E36" w:rsidP="007D1603"/>
    <w:sectPr w:rsidR="001C4E36" w:rsidSect="00EE26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BBF75" w14:textId="77777777" w:rsidR="00E17485" w:rsidRDefault="00E17485" w:rsidP="00D6021F">
      <w:pPr>
        <w:spacing w:after="0"/>
      </w:pPr>
      <w:r>
        <w:separator/>
      </w:r>
    </w:p>
  </w:endnote>
  <w:endnote w:type="continuationSeparator" w:id="0">
    <w:p w14:paraId="46782196" w14:textId="77777777" w:rsidR="00E17485" w:rsidRDefault="00E17485" w:rsidP="00D602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hitney Book">
    <w:altName w:val="Calibri"/>
    <w:panose1 w:val="00000000000000000000"/>
    <w:charset w:val="00"/>
    <w:family w:val="swiss"/>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SourceSansPro-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A3729" w14:textId="77777777" w:rsidR="00566595" w:rsidRDefault="005665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9556174"/>
      <w:docPartObj>
        <w:docPartGallery w:val="Page Numbers (Bottom of Page)"/>
        <w:docPartUnique/>
      </w:docPartObj>
    </w:sdtPr>
    <w:sdtEndPr>
      <w:rPr>
        <w:color w:val="808080" w:themeColor="background1" w:themeShade="80"/>
        <w:spacing w:val="60"/>
      </w:rPr>
    </w:sdtEndPr>
    <w:sdtContent>
      <w:p w14:paraId="0737447E" w14:textId="03C1B5A3" w:rsidR="002E0AD1" w:rsidRPr="009D6F93" w:rsidRDefault="002E0AD1" w:rsidP="009D6F9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65CF6" w:rsidRPr="00465CF6">
          <w:rPr>
            <w:b/>
            <w:bCs/>
            <w:noProof/>
          </w:rPr>
          <w:t>2</w:t>
        </w:r>
        <w:r>
          <w:rPr>
            <w:b/>
            <w:bCs/>
            <w:noProof/>
          </w:rPr>
          <w:fldChar w:fldCharType="end"/>
        </w:r>
        <w:r>
          <w:rPr>
            <w:b/>
            <w:bCs/>
          </w:rPr>
          <w:t xml:space="preserve"> | </w:t>
        </w:r>
        <w:r>
          <w:rPr>
            <w:color w:val="808080" w:themeColor="background1" w:themeShade="80"/>
            <w:spacing w:val="60"/>
          </w:rPr>
          <w:t>Page</w:t>
        </w:r>
        <w:r>
          <w:rPr>
            <w:color w:val="808080" w:themeColor="background1" w:themeShade="80"/>
            <w:spacing w:val="60"/>
          </w:rPr>
          <w:tab/>
          <w:t xml:space="preserve">                    </w:t>
        </w:r>
        <w:r>
          <w:rPr>
            <w:b/>
            <w:color w:val="808080" w:themeColor="background1" w:themeShade="80"/>
            <w:spacing w:val="60"/>
            <w:sz w:val="12"/>
            <w:szCs w:val="12"/>
          </w:rPr>
          <w:t xml:space="preserve">West Belconnen </w:t>
        </w:r>
        <w:r w:rsidRPr="00CD2283">
          <w:rPr>
            <w:b/>
            <w:color w:val="808080" w:themeColor="background1" w:themeShade="80"/>
            <w:spacing w:val="60"/>
            <w:sz w:val="12"/>
            <w:szCs w:val="12"/>
          </w:rPr>
          <w:t>Training &amp; Development Initiative</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C625C" w14:textId="77777777" w:rsidR="00566595" w:rsidRDefault="005665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396431"/>
      <w:docPartObj>
        <w:docPartGallery w:val="Page Numbers (Bottom of Page)"/>
        <w:docPartUnique/>
      </w:docPartObj>
    </w:sdtPr>
    <w:sdtEndPr>
      <w:rPr>
        <w:color w:val="808080" w:themeColor="background1" w:themeShade="80"/>
        <w:spacing w:val="60"/>
      </w:rPr>
    </w:sdtEndPr>
    <w:sdtContent>
      <w:p w14:paraId="5C484B43" w14:textId="33C9898A" w:rsidR="002E0AD1" w:rsidRPr="009D6F93" w:rsidRDefault="002E0AD1" w:rsidP="009D6F9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2195D" w:rsidRPr="0052195D">
          <w:rPr>
            <w:b/>
            <w:bCs/>
            <w:noProof/>
          </w:rPr>
          <w:t>4</w:t>
        </w:r>
        <w:r>
          <w:rPr>
            <w:b/>
            <w:bCs/>
            <w:noProof/>
          </w:rPr>
          <w:fldChar w:fldCharType="end"/>
        </w:r>
        <w:r>
          <w:rPr>
            <w:b/>
            <w:bCs/>
          </w:rPr>
          <w:t xml:space="preserve"> | </w:t>
        </w:r>
        <w:r>
          <w:rPr>
            <w:color w:val="808080" w:themeColor="background1" w:themeShade="80"/>
            <w:spacing w:val="60"/>
          </w:rPr>
          <w:t>Page</w:t>
        </w:r>
        <w:r>
          <w:rPr>
            <w:color w:val="808080" w:themeColor="background1" w:themeShade="80"/>
            <w:spacing w:val="60"/>
          </w:rPr>
          <w:tab/>
          <w:t xml:space="preserve"> </w:t>
        </w:r>
        <w:r w:rsidR="00A802B9">
          <w:rPr>
            <w:color w:val="808080" w:themeColor="background1" w:themeShade="80"/>
            <w:spacing w:val="60"/>
          </w:rPr>
          <w:t xml:space="preserve"> </w:t>
        </w:r>
        <w:r>
          <w:rPr>
            <w:color w:val="808080" w:themeColor="background1" w:themeShade="80"/>
            <w:spacing w:val="60"/>
          </w:rPr>
          <w:t xml:space="preserve"> </w:t>
        </w:r>
        <w:r>
          <w:rPr>
            <w:b/>
            <w:color w:val="808080" w:themeColor="background1" w:themeShade="80"/>
            <w:spacing w:val="60"/>
            <w:sz w:val="12"/>
            <w:szCs w:val="12"/>
          </w:rPr>
          <w:t xml:space="preserve">Final </w:t>
        </w:r>
        <w:r w:rsidRPr="00767BE5">
          <w:rPr>
            <w:b/>
            <w:color w:val="808080" w:themeColor="background1" w:themeShade="80"/>
            <w:spacing w:val="60"/>
            <w:sz w:val="12"/>
            <w:szCs w:val="12"/>
          </w:rPr>
          <w:t>Report</w:t>
        </w:r>
        <w:r>
          <w:rPr>
            <w:b/>
            <w:color w:val="808080" w:themeColor="background1" w:themeShade="80"/>
            <w:spacing w:val="60"/>
            <w:sz w:val="12"/>
            <w:szCs w:val="12"/>
          </w:rPr>
          <w:t xml:space="preserve"> – Evaluation of the Pacific Leadership Program (Phase 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BDEF8" w14:textId="77777777" w:rsidR="00E17485" w:rsidRDefault="00E17485" w:rsidP="00D6021F">
      <w:pPr>
        <w:spacing w:after="0"/>
      </w:pPr>
      <w:r>
        <w:separator/>
      </w:r>
    </w:p>
  </w:footnote>
  <w:footnote w:type="continuationSeparator" w:id="0">
    <w:p w14:paraId="1697545C" w14:textId="77777777" w:rsidR="00E17485" w:rsidRDefault="00E17485" w:rsidP="00D6021F">
      <w:pPr>
        <w:spacing w:after="0"/>
      </w:pPr>
      <w:r>
        <w:continuationSeparator/>
      </w:r>
    </w:p>
  </w:footnote>
  <w:footnote w:id="1">
    <w:p w14:paraId="0B3226A0" w14:textId="77777777" w:rsidR="002E0AD1" w:rsidRPr="001C3654" w:rsidRDefault="002E0AD1">
      <w:pPr>
        <w:pStyle w:val="FootnoteText"/>
        <w:rPr>
          <w:sz w:val="18"/>
          <w:szCs w:val="18"/>
        </w:rPr>
      </w:pPr>
      <w:r w:rsidRPr="001C3654">
        <w:rPr>
          <w:rStyle w:val="FootnoteReference"/>
          <w:sz w:val="18"/>
          <w:szCs w:val="18"/>
        </w:rPr>
        <w:footnoteRef/>
      </w:r>
      <w:r w:rsidRPr="001C3654">
        <w:rPr>
          <w:sz w:val="18"/>
          <w:szCs w:val="18"/>
        </w:rPr>
        <w:t xml:space="preserve"> See Annex 2 for PLP’s Theory of Change</w:t>
      </w:r>
    </w:p>
  </w:footnote>
  <w:footnote w:id="2">
    <w:p w14:paraId="1E007097" w14:textId="77777777" w:rsidR="002E0AD1" w:rsidRPr="001C3654" w:rsidRDefault="002E0AD1">
      <w:pPr>
        <w:pStyle w:val="FootnoteText"/>
        <w:rPr>
          <w:sz w:val="18"/>
          <w:szCs w:val="18"/>
        </w:rPr>
      </w:pPr>
      <w:r w:rsidRPr="001C3654">
        <w:rPr>
          <w:rStyle w:val="FootnoteReference"/>
          <w:sz w:val="18"/>
          <w:szCs w:val="18"/>
        </w:rPr>
        <w:footnoteRef/>
      </w:r>
      <w:r w:rsidRPr="001C3654">
        <w:rPr>
          <w:sz w:val="18"/>
          <w:szCs w:val="18"/>
        </w:rPr>
        <w:t xml:space="preserve"> There are many ways you can describe such an approach including: Thinking and Working Politically; Doing Development Differently; and Problem-Driven Iterative Adaption.</w:t>
      </w:r>
    </w:p>
  </w:footnote>
  <w:footnote w:id="3">
    <w:p w14:paraId="11EC07A2" w14:textId="77777777" w:rsidR="002E0AD1" w:rsidRDefault="002E0AD1" w:rsidP="0087033A">
      <w:pPr>
        <w:pStyle w:val="FootnoteText"/>
      </w:pPr>
      <w:r w:rsidRPr="0081086E">
        <w:rPr>
          <w:rStyle w:val="FootnoteReference"/>
          <w:sz w:val="18"/>
          <w:szCs w:val="18"/>
        </w:rPr>
        <w:footnoteRef/>
      </w:r>
      <w:r w:rsidRPr="0081086E">
        <w:rPr>
          <w:sz w:val="18"/>
          <w:szCs w:val="18"/>
        </w:rPr>
        <w:t xml:space="preserve"> For more information, refer to The Asia Foundation’s partnership with DFAT which has invested in learning from what a more politically informed approach to development assistance means in practice: </w:t>
      </w:r>
      <w:hyperlink r:id="rId1" w:history="1">
        <w:r w:rsidRPr="0081086E">
          <w:rPr>
            <w:rStyle w:val="Hyperlink"/>
            <w:sz w:val="18"/>
            <w:szCs w:val="18"/>
          </w:rPr>
          <w:t>http://asiafoundation.org/wp-content/uploads/2016/04/Reflections-onThree-Years-200416.pdf</w:t>
        </w:r>
      </w:hyperlink>
    </w:p>
  </w:footnote>
  <w:footnote w:id="4">
    <w:p w14:paraId="26ED7CDD" w14:textId="77777777" w:rsidR="002E0AD1" w:rsidRPr="001C3654" w:rsidRDefault="002E0AD1">
      <w:pPr>
        <w:pStyle w:val="FootnoteText"/>
        <w:rPr>
          <w:sz w:val="18"/>
          <w:szCs w:val="18"/>
        </w:rPr>
      </w:pPr>
      <w:r w:rsidRPr="001C3654">
        <w:rPr>
          <w:rStyle w:val="FootnoteReference"/>
          <w:sz w:val="18"/>
          <w:szCs w:val="18"/>
        </w:rPr>
        <w:footnoteRef/>
      </w:r>
      <w:r w:rsidRPr="001C3654">
        <w:rPr>
          <w:sz w:val="18"/>
          <w:szCs w:val="18"/>
        </w:rPr>
        <w:t xml:space="preserve"> The Asia Foundation, Working Politically in Practice Series, Case Study Number 5, “</w:t>
      </w:r>
      <w:r w:rsidRPr="001C3654">
        <w:rPr>
          <w:i/>
          <w:sz w:val="18"/>
          <w:szCs w:val="18"/>
        </w:rPr>
        <w:t>Reflections on Implementing Politically Informed, Search</w:t>
      </w:r>
      <w:r>
        <w:rPr>
          <w:i/>
          <w:sz w:val="18"/>
          <w:szCs w:val="18"/>
        </w:rPr>
        <w:t>ing</w:t>
      </w:r>
      <w:r w:rsidRPr="001C3654">
        <w:rPr>
          <w:i/>
          <w:sz w:val="18"/>
          <w:szCs w:val="18"/>
        </w:rPr>
        <w:t xml:space="preserve"> programs: Lessons for Aid Practitioners and Policy Markers</w:t>
      </w:r>
      <w:r w:rsidRPr="001C3654">
        <w:rPr>
          <w:sz w:val="18"/>
          <w:szCs w:val="18"/>
        </w:rPr>
        <w:t xml:space="preserve">” </w:t>
      </w:r>
    </w:p>
  </w:footnote>
  <w:footnote w:id="5">
    <w:p w14:paraId="7FDBE7CC" w14:textId="77777777" w:rsidR="002E0AD1" w:rsidRPr="001C3654" w:rsidRDefault="002E0AD1">
      <w:pPr>
        <w:pStyle w:val="FootnoteText"/>
        <w:rPr>
          <w:sz w:val="18"/>
          <w:szCs w:val="18"/>
        </w:rPr>
      </w:pPr>
      <w:r w:rsidRPr="001C3654">
        <w:rPr>
          <w:rStyle w:val="FootnoteReference"/>
          <w:sz w:val="18"/>
          <w:szCs w:val="18"/>
        </w:rPr>
        <w:footnoteRef/>
      </w:r>
      <w:r w:rsidRPr="001C3654">
        <w:rPr>
          <w:sz w:val="18"/>
          <w:szCs w:val="18"/>
        </w:rPr>
        <w:t xml:space="preserve"> Ibid, foreword</w:t>
      </w:r>
    </w:p>
  </w:footnote>
  <w:footnote w:id="6">
    <w:p w14:paraId="3258822F" w14:textId="77777777" w:rsidR="002E0AD1" w:rsidRPr="00530EC1" w:rsidRDefault="002E0AD1" w:rsidP="007428EC">
      <w:pPr>
        <w:pStyle w:val="FootnoteText"/>
        <w:rPr>
          <w:sz w:val="18"/>
          <w:szCs w:val="18"/>
        </w:rPr>
      </w:pPr>
      <w:r w:rsidRPr="00530EC1">
        <w:rPr>
          <w:rStyle w:val="FootnoteReference"/>
          <w:sz w:val="18"/>
          <w:szCs w:val="18"/>
        </w:rPr>
        <w:footnoteRef/>
      </w:r>
      <w:r w:rsidRPr="00530EC1">
        <w:rPr>
          <w:sz w:val="18"/>
          <w:szCs w:val="18"/>
        </w:rPr>
        <w:t xml:space="preserve"> Developmental leadership is seen to involve collective action towards locally owned, inclusive policy and institutional change for the public good.</w:t>
      </w:r>
    </w:p>
  </w:footnote>
  <w:footnote w:id="7">
    <w:p w14:paraId="08870F55" w14:textId="77777777" w:rsidR="002E0AD1" w:rsidRPr="001C3654" w:rsidRDefault="002E0AD1">
      <w:pPr>
        <w:pStyle w:val="FootnoteText"/>
        <w:rPr>
          <w:sz w:val="18"/>
          <w:szCs w:val="18"/>
        </w:rPr>
      </w:pPr>
      <w:r>
        <w:rPr>
          <w:rStyle w:val="FootnoteReference"/>
        </w:rPr>
        <w:footnoteRef/>
      </w:r>
      <w:r>
        <w:t xml:space="preserve"> </w:t>
      </w:r>
      <w:r w:rsidRPr="001C3654">
        <w:rPr>
          <w:sz w:val="18"/>
          <w:szCs w:val="18"/>
        </w:rPr>
        <w:t xml:space="preserve">Developmental leadership is understood as a political process, ‘involving the legitimacy, authority and capacity to mobilise people and resources, and to forge coalitions, in pursuit of developmental goals’(www.dlprog.org)  </w:t>
      </w:r>
    </w:p>
  </w:footnote>
  <w:footnote w:id="8">
    <w:p w14:paraId="4063E394" w14:textId="77777777" w:rsidR="002E0AD1" w:rsidRPr="001C3654" w:rsidRDefault="002E0AD1">
      <w:pPr>
        <w:pStyle w:val="FootnoteText"/>
        <w:rPr>
          <w:sz w:val="18"/>
          <w:szCs w:val="18"/>
        </w:rPr>
      </w:pPr>
      <w:r>
        <w:rPr>
          <w:rStyle w:val="FootnoteReference"/>
        </w:rPr>
        <w:footnoteRef/>
      </w:r>
      <w:r>
        <w:t xml:space="preserve"> </w:t>
      </w:r>
      <w:r>
        <w:rPr>
          <w:sz w:val="18"/>
          <w:szCs w:val="18"/>
        </w:rPr>
        <w:t>S</w:t>
      </w:r>
      <w:r w:rsidRPr="001C3654">
        <w:rPr>
          <w:sz w:val="18"/>
          <w:szCs w:val="18"/>
        </w:rPr>
        <w:t>takeholder interviews; citings of PLP3’s research by academic institutions</w:t>
      </w:r>
    </w:p>
  </w:footnote>
  <w:footnote w:id="9">
    <w:p w14:paraId="531E8B57" w14:textId="77777777" w:rsidR="002E0AD1" w:rsidRPr="001C3654" w:rsidRDefault="002E0AD1">
      <w:pPr>
        <w:pStyle w:val="FootnoteText"/>
        <w:rPr>
          <w:sz w:val="18"/>
          <w:szCs w:val="18"/>
        </w:rPr>
      </w:pPr>
      <w:r w:rsidRPr="001C3654">
        <w:rPr>
          <w:rStyle w:val="FootnoteReference"/>
          <w:sz w:val="18"/>
          <w:szCs w:val="18"/>
        </w:rPr>
        <w:footnoteRef/>
      </w:r>
      <w:r w:rsidRPr="001C3654">
        <w:rPr>
          <w:sz w:val="18"/>
          <w:szCs w:val="18"/>
        </w:rPr>
        <w:t xml:space="preserve"> See Annex 7 for a list of research products.</w:t>
      </w:r>
    </w:p>
  </w:footnote>
  <w:footnote w:id="10">
    <w:p w14:paraId="3DC0A09B" w14:textId="645A24B6" w:rsidR="00FF4EC0" w:rsidRPr="00FF4EC0" w:rsidRDefault="00FF4EC0">
      <w:pPr>
        <w:pStyle w:val="FootnoteText"/>
        <w:rPr>
          <w:sz w:val="18"/>
          <w:szCs w:val="18"/>
        </w:rPr>
      </w:pPr>
      <w:r w:rsidRPr="00FF4EC0">
        <w:rPr>
          <w:rStyle w:val="FootnoteReference"/>
          <w:sz w:val="18"/>
          <w:szCs w:val="18"/>
        </w:rPr>
        <w:footnoteRef/>
      </w:r>
      <w:r w:rsidRPr="00FF4EC0">
        <w:rPr>
          <w:sz w:val="18"/>
          <w:szCs w:val="18"/>
        </w:rPr>
        <w:t xml:space="preserve"> Evidenced from program documentation, stakeholder interviews, and an analysis of action research publications</w:t>
      </w:r>
    </w:p>
  </w:footnote>
  <w:footnote w:id="11">
    <w:p w14:paraId="6A05B552" w14:textId="77777777" w:rsidR="00FF4EC0" w:rsidRPr="001C3654" w:rsidRDefault="00FF4EC0" w:rsidP="00FF4EC0">
      <w:pPr>
        <w:pStyle w:val="FootnoteText"/>
        <w:rPr>
          <w:sz w:val="18"/>
          <w:szCs w:val="18"/>
        </w:rPr>
      </w:pPr>
      <w:r w:rsidRPr="00FF4EC0">
        <w:rPr>
          <w:rStyle w:val="FootnoteReference"/>
          <w:sz w:val="18"/>
          <w:szCs w:val="18"/>
        </w:rPr>
        <w:footnoteRef/>
      </w:r>
      <w:r w:rsidRPr="00FF4EC0">
        <w:rPr>
          <w:sz w:val="18"/>
          <w:szCs w:val="18"/>
        </w:rPr>
        <w:t xml:space="preserve"> For example: Women</w:t>
      </w:r>
      <w:r w:rsidRPr="001C3654">
        <w:rPr>
          <w:sz w:val="18"/>
          <w:szCs w:val="18"/>
        </w:rPr>
        <w:t xml:space="preserve"> in Shared Decision Making, Amendment to the Electoral Act for Municipal Councils to include TSMs (Vanuatu); Green Growth Leaders Coalition, Development and Endorsement of “ The Peoples Plan 2030” Vanuatu National Sustainable Development Plan; Samoa Chamber of Commerce, Removal of Municipal Taxes, Delay in the increase of Value Added Goods and Service Tax (VAGST), and Commitment from Government to improve Tax Compliance; Tonga National Leadership Development Forum, Development and Endorsement of the Ha’apai Development Plan; Transparency Vanuatu’s work on the Rights to Information Bill endorsed and enacted by the Government of Vanuatu; and the Tonga Women in Leadership Coalition’s support to the 1</w:t>
      </w:r>
      <w:r w:rsidRPr="001C3654">
        <w:rPr>
          <w:sz w:val="18"/>
          <w:szCs w:val="18"/>
          <w:vertAlign w:val="superscript"/>
        </w:rPr>
        <w:t>st</w:t>
      </w:r>
      <w:r w:rsidRPr="001C3654">
        <w:rPr>
          <w:sz w:val="18"/>
          <w:szCs w:val="18"/>
        </w:rPr>
        <w:t xml:space="preserve"> female Town Officer and 1</w:t>
      </w:r>
      <w:r w:rsidRPr="001C3654">
        <w:rPr>
          <w:sz w:val="18"/>
          <w:szCs w:val="18"/>
          <w:vertAlign w:val="superscript"/>
        </w:rPr>
        <w:t>st</w:t>
      </w:r>
      <w:r w:rsidRPr="001C3654">
        <w:rPr>
          <w:sz w:val="18"/>
          <w:szCs w:val="18"/>
        </w:rPr>
        <w:t xml:space="preserve"> female District Officer elected.</w:t>
      </w:r>
    </w:p>
  </w:footnote>
  <w:footnote w:id="12">
    <w:p w14:paraId="53A5B4FC" w14:textId="77777777" w:rsidR="002E0AD1" w:rsidRPr="001C3654" w:rsidRDefault="002E0AD1">
      <w:pPr>
        <w:pStyle w:val="FootnoteText"/>
        <w:rPr>
          <w:sz w:val="18"/>
          <w:szCs w:val="18"/>
        </w:rPr>
      </w:pPr>
      <w:r w:rsidRPr="001C3654">
        <w:rPr>
          <w:rStyle w:val="FootnoteReference"/>
          <w:sz w:val="18"/>
          <w:szCs w:val="18"/>
        </w:rPr>
        <w:footnoteRef/>
      </w:r>
      <w:r w:rsidRPr="001C3654">
        <w:rPr>
          <w:sz w:val="18"/>
          <w:szCs w:val="18"/>
        </w:rPr>
        <w:t xml:space="preserve"> Stakeholder interviews; PLP documentation (see annex 8 and annex 9).</w:t>
      </w:r>
    </w:p>
  </w:footnote>
  <w:footnote w:id="13">
    <w:p w14:paraId="171D0F1A" w14:textId="77777777" w:rsidR="002E0AD1" w:rsidRDefault="002E0AD1">
      <w:pPr>
        <w:pStyle w:val="FootnoteText"/>
      </w:pPr>
      <w:r w:rsidRPr="001C3654">
        <w:rPr>
          <w:rStyle w:val="FootnoteReference"/>
          <w:sz w:val="18"/>
          <w:szCs w:val="18"/>
        </w:rPr>
        <w:footnoteRef/>
      </w:r>
      <w:r w:rsidRPr="001C3654">
        <w:rPr>
          <w:sz w:val="18"/>
          <w:szCs w:val="18"/>
        </w:rPr>
        <w:t xml:space="preserve"> For example see: 1) ODI’s review of the Governance for Growth Program in Vanuatu, Hadley and Tilley, December 2016; and 2) Background Paper, Development Leadership Program, </w:t>
      </w:r>
      <w:r w:rsidRPr="001C3654">
        <w:rPr>
          <w:i/>
          <w:sz w:val="18"/>
          <w:szCs w:val="18"/>
        </w:rPr>
        <w:t>Policy and Practice for Developmental Leaders, Elites and Coalitions The Evaluation of Politics and the Politics of Evaluation,</w:t>
      </w:r>
      <w:r w:rsidRPr="001C3654">
        <w:rPr>
          <w:sz w:val="18"/>
          <w:szCs w:val="18"/>
        </w:rPr>
        <w:t xml:space="preserve"> Chris Roche, Oxfam Australia Linda Kelly, Praxis Consulting August 2012</w:t>
      </w:r>
      <w:r>
        <w:rPr>
          <w:sz w:val="18"/>
          <w:szCs w:val="18"/>
        </w:rPr>
        <w:t>.</w:t>
      </w:r>
    </w:p>
  </w:footnote>
  <w:footnote w:id="14">
    <w:p w14:paraId="50D90CF8" w14:textId="77777777" w:rsidR="002E0AD1" w:rsidRDefault="002E0AD1" w:rsidP="00A46C87">
      <w:pPr>
        <w:pStyle w:val="FootnoteText"/>
      </w:pPr>
      <w:r>
        <w:rPr>
          <w:rStyle w:val="FootnoteReference"/>
        </w:rPr>
        <w:footnoteRef/>
      </w:r>
      <w:r>
        <w:t xml:space="preserve"> </w:t>
      </w:r>
      <w:r w:rsidRPr="0081086E">
        <w:rPr>
          <w:sz w:val="18"/>
          <w:szCs w:val="18"/>
        </w:rPr>
        <w:t>An enabling environment refers to how donor agencie</w:t>
      </w:r>
      <w:r>
        <w:rPr>
          <w:sz w:val="18"/>
          <w:szCs w:val="18"/>
        </w:rPr>
        <w:t xml:space="preserve">s and their staff can provide a </w:t>
      </w:r>
      <w:r w:rsidRPr="00FF4839">
        <w:rPr>
          <w:sz w:val="18"/>
          <w:szCs w:val="18"/>
        </w:rPr>
        <w:t>conducive</w:t>
      </w:r>
      <w:r w:rsidRPr="0081086E">
        <w:rPr>
          <w:sz w:val="18"/>
          <w:szCs w:val="18"/>
        </w:rPr>
        <w:t xml:space="preserve"> environment for these approaches</w:t>
      </w:r>
      <w:r>
        <w:rPr>
          <w:sz w:val="18"/>
          <w:szCs w:val="18"/>
        </w:rPr>
        <w:t xml:space="preserve">. </w:t>
      </w:r>
      <w:r w:rsidRPr="00FF4839">
        <w:rPr>
          <w:sz w:val="18"/>
          <w:szCs w:val="18"/>
        </w:rPr>
        <w:t>Denney and McLaren</w:t>
      </w:r>
      <w:r>
        <w:rPr>
          <w:sz w:val="18"/>
          <w:szCs w:val="18"/>
        </w:rPr>
        <w:t xml:space="preserve"> describe such an environment as including “internal supporters within the donor organisation who can advocate and make space for these approaches; close working relationships between the donor and implementing team; flexible and long-term funding arrangements; and a recognition that change trajectories and results cannot be predicted”</w:t>
      </w:r>
      <w:r w:rsidRPr="00FF4839">
        <w:rPr>
          <w:sz w:val="18"/>
          <w:szCs w:val="18"/>
        </w:rPr>
        <w:t>, 2016, page 31.</w:t>
      </w:r>
    </w:p>
  </w:footnote>
  <w:footnote w:id="15">
    <w:p w14:paraId="31D36C99" w14:textId="77777777" w:rsidR="002E0AD1" w:rsidRDefault="002E0AD1" w:rsidP="000C0E6F">
      <w:pPr>
        <w:pStyle w:val="FootnoteText"/>
      </w:pPr>
      <w:r w:rsidRPr="00FB0282">
        <w:rPr>
          <w:rStyle w:val="FootnoteReference"/>
        </w:rPr>
        <w:footnoteRef/>
      </w:r>
      <w:r w:rsidRPr="00FB0282">
        <w:rPr>
          <w:rStyle w:val="FootnoteReference"/>
        </w:rPr>
        <w:t xml:space="preserve"> </w:t>
      </w:r>
      <w:r>
        <w:rPr>
          <w:sz w:val="18"/>
          <w:szCs w:val="18"/>
        </w:rPr>
        <w:t xml:space="preserve">See </w:t>
      </w:r>
      <w:r w:rsidRPr="0081086E">
        <w:rPr>
          <w:sz w:val="18"/>
          <w:szCs w:val="18"/>
        </w:rPr>
        <w:t>PLP3 Design Document (December 2013)</w:t>
      </w:r>
      <w:r>
        <w:rPr>
          <w:sz w:val="18"/>
          <w:szCs w:val="18"/>
        </w:rPr>
        <w:t xml:space="preserve"> which </w:t>
      </w:r>
      <w:r w:rsidRPr="0081086E">
        <w:rPr>
          <w:sz w:val="18"/>
          <w:szCs w:val="18"/>
        </w:rPr>
        <w:t>includes 4 result streams and six priority areas and aims to achieve 1-2 transformational institutional and/or policy level reforms each year.</w:t>
      </w:r>
      <w:r>
        <w:rPr>
          <w:rFonts w:ascii="Calibri" w:eastAsia="Calibri" w:hAnsi="Calibri"/>
          <w:color w:val="000000"/>
          <w:sz w:val="25"/>
        </w:rPr>
        <w:t xml:space="preserve"> </w:t>
      </w:r>
      <w:r>
        <w:t xml:space="preserve"> </w:t>
      </w:r>
    </w:p>
  </w:footnote>
  <w:footnote w:id="16">
    <w:p w14:paraId="16F9EFA5" w14:textId="77777777" w:rsidR="002E0AD1" w:rsidRPr="002E0AD1" w:rsidRDefault="002E0AD1">
      <w:pPr>
        <w:pStyle w:val="FootnoteText"/>
        <w:rPr>
          <w:sz w:val="18"/>
          <w:szCs w:val="18"/>
        </w:rPr>
      </w:pPr>
      <w:r w:rsidRPr="002E0AD1">
        <w:rPr>
          <w:rStyle w:val="FootnoteReference"/>
          <w:sz w:val="18"/>
          <w:szCs w:val="18"/>
        </w:rPr>
        <w:footnoteRef/>
      </w:r>
      <w:r w:rsidRPr="002E0AD1">
        <w:rPr>
          <w:sz w:val="18"/>
          <w:szCs w:val="18"/>
        </w:rPr>
        <w:t xml:space="preserve"> Stakeholder interviews.</w:t>
      </w:r>
    </w:p>
  </w:footnote>
  <w:footnote w:id="17">
    <w:p w14:paraId="0D6B3A0D" w14:textId="77777777" w:rsidR="002E0AD1" w:rsidRPr="001C3654" w:rsidRDefault="002E0AD1">
      <w:pPr>
        <w:pStyle w:val="FootnoteText"/>
        <w:rPr>
          <w:sz w:val="18"/>
          <w:szCs w:val="18"/>
        </w:rPr>
      </w:pPr>
      <w:r w:rsidRPr="001C3654">
        <w:rPr>
          <w:rStyle w:val="FootnoteReference"/>
          <w:sz w:val="18"/>
          <w:szCs w:val="18"/>
        </w:rPr>
        <w:footnoteRef/>
      </w:r>
      <w:r w:rsidRPr="001C3654">
        <w:rPr>
          <w:sz w:val="18"/>
          <w:szCs w:val="18"/>
        </w:rPr>
        <w:t xml:space="preserve"> Stakeholder interviews; and PLP3 Pacific Regional Leadership Initiative</w:t>
      </w:r>
      <w:r>
        <w:rPr>
          <w:sz w:val="18"/>
          <w:szCs w:val="18"/>
        </w:rPr>
        <w:t>,</w:t>
      </w:r>
      <w:r w:rsidRPr="001C3654">
        <w:rPr>
          <w:sz w:val="18"/>
          <w:szCs w:val="18"/>
        </w:rPr>
        <w:t xml:space="preserve"> draft evaluation report. June 2017.</w:t>
      </w:r>
    </w:p>
  </w:footnote>
  <w:footnote w:id="18">
    <w:p w14:paraId="659EC589" w14:textId="77777777" w:rsidR="002E0AD1" w:rsidRPr="001C3654" w:rsidRDefault="002E0AD1">
      <w:pPr>
        <w:pStyle w:val="FootnoteText"/>
        <w:rPr>
          <w:sz w:val="18"/>
          <w:szCs w:val="18"/>
        </w:rPr>
      </w:pPr>
      <w:r w:rsidRPr="001C3654">
        <w:rPr>
          <w:rStyle w:val="FootnoteReference"/>
          <w:sz w:val="18"/>
          <w:szCs w:val="18"/>
        </w:rPr>
        <w:footnoteRef/>
      </w:r>
      <w:r w:rsidRPr="001C3654">
        <w:rPr>
          <w:sz w:val="18"/>
          <w:szCs w:val="18"/>
        </w:rPr>
        <w:t xml:space="preserve"> </w:t>
      </w:r>
      <w:r>
        <w:rPr>
          <w:sz w:val="18"/>
          <w:szCs w:val="18"/>
        </w:rPr>
        <w:t>See www.dlprog.org</w:t>
      </w:r>
    </w:p>
  </w:footnote>
  <w:footnote w:id="19">
    <w:p w14:paraId="170CF72F" w14:textId="77777777" w:rsidR="002E0AD1" w:rsidRPr="001C3654" w:rsidRDefault="002E0AD1">
      <w:pPr>
        <w:pStyle w:val="FootnoteText"/>
        <w:rPr>
          <w:sz w:val="18"/>
          <w:szCs w:val="18"/>
        </w:rPr>
      </w:pPr>
      <w:r w:rsidRPr="001C3654">
        <w:rPr>
          <w:rStyle w:val="FootnoteReference"/>
          <w:sz w:val="18"/>
          <w:szCs w:val="18"/>
        </w:rPr>
        <w:footnoteRef/>
      </w:r>
      <w:r w:rsidRPr="001C3654">
        <w:rPr>
          <w:sz w:val="18"/>
          <w:szCs w:val="18"/>
        </w:rPr>
        <w:t xml:space="preserve"> </w:t>
      </w:r>
      <w:r w:rsidRPr="00450B25">
        <w:rPr>
          <w:rFonts w:eastAsia="Times New Roman" w:cs="Arial"/>
          <w:sz w:val="18"/>
          <w:szCs w:val="18"/>
          <w:lang w:eastAsia="en-AU"/>
        </w:rPr>
        <w:t xml:space="preserve">Denney and McLaren, </w:t>
      </w:r>
      <w:r w:rsidRPr="00450B25">
        <w:rPr>
          <w:i/>
          <w:sz w:val="18"/>
          <w:szCs w:val="18"/>
        </w:rPr>
        <w:t>Coalitions for Change in the Pacific: A comparative analysis of PLP’s action-research case studies / Report and Policy Brief</w:t>
      </w:r>
      <w:r w:rsidRPr="00450B25">
        <w:rPr>
          <w:sz w:val="18"/>
          <w:szCs w:val="18"/>
        </w:rPr>
        <w:t xml:space="preserve">, </w:t>
      </w:r>
      <w:r w:rsidRPr="00450B25">
        <w:rPr>
          <w:rFonts w:eastAsia="Times New Roman" w:cs="Arial"/>
          <w:sz w:val="18"/>
          <w:szCs w:val="18"/>
          <w:lang w:eastAsia="en-AU"/>
        </w:rPr>
        <w:t>2016</w:t>
      </w:r>
      <w:r>
        <w:rPr>
          <w:rFonts w:eastAsia="Times New Roman" w:cs="Arial"/>
          <w:sz w:val="18"/>
          <w:szCs w:val="18"/>
          <w:lang w:eastAsia="en-AU"/>
        </w:rPr>
        <w:t>, page 28.</w:t>
      </w:r>
    </w:p>
  </w:footnote>
  <w:footnote w:id="20">
    <w:p w14:paraId="67737474" w14:textId="77777777" w:rsidR="002E0AD1" w:rsidRDefault="002E0AD1">
      <w:pPr>
        <w:pStyle w:val="FootnoteText"/>
      </w:pPr>
      <w:r w:rsidRPr="001C3654">
        <w:rPr>
          <w:rStyle w:val="FootnoteReference"/>
          <w:sz w:val="18"/>
          <w:szCs w:val="18"/>
        </w:rPr>
        <w:footnoteRef/>
      </w:r>
      <w:r w:rsidRPr="001C3654">
        <w:rPr>
          <w:sz w:val="18"/>
          <w:szCs w:val="18"/>
        </w:rPr>
        <w:t xml:space="preserve"> Stakeholder interviews; survey responses</w:t>
      </w:r>
    </w:p>
  </w:footnote>
  <w:footnote w:id="21">
    <w:p w14:paraId="534770B0" w14:textId="77777777" w:rsidR="002E0AD1" w:rsidRPr="001C3654" w:rsidRDefault="002E0AD1" w:rsidP="00E7145A">
      <w:pPr>
        <w:pStyle w:val="FootnoteText"/>
        <w:rPr>
          <w:sz w:val="18"/>
          <w:szCs w:val="18"/>
        </w:rPr>
      </w:pPr>
      <w:r w:rsidRPr="001C3654">
        <w:rPr>
          <w:rStyle w:val="FootnoteReference"/>
          <w:sz w:val="18"/>
          <w:szCs w:val="18"/>
        </w:rPr>
        <w:footnoteRef/>
      </w:r>
      <w:r w:rsidRPr="001C3654">
        <w:rPr>
          <w:sz w:val="18"/>
          <w:szCs w:val="18"/>
        </w:rPr>
        <w:t xml:space="preserve"> The evaluation team acknowledges the importance of other determinants including financial and human resources and any shift in the policy context.</w:t>
      </w:r>
    </w:p>
  </w:footnote>
  <w:footnote w:id="22">
    <w:p w14:paraId="76BAF503" w14:textId="77777777" w:rsidR="002E0AD1" w:rsidRPr="001C3654" w:rsidRDefault="002E0AD1" w:rsidP="0006260F">
      <w:pPr>
        <w:pStyle w:val="FootnoteText"/>
        <w:rPr>
          <w:sz w:val="18"/>
          <w:szCs w:val="18"/>
        </w:rPr>
      </w:pPr>
      <w:r w:rsidRPr="001C3654">
        <w:rPr>
          <w:rStyle w:val="FootnoteReference"/>
          <w:sz w:val="18"/>
          <w:szCs w:val="18"/>
        </w:rPr>
        <w:footnoteRef/>
      </w:r>
      <w:r w:rsidRPr="001C3654">
        <w:rPr>
          <w:sz w:val="18"/>
          <w:szCs w:val="18"/>
        </w:rPr>
        <w:t xml:space="preserve"> PLP Coalitions and Network Mapping proje</w:t>
      </w:r>
      <w:r>
        <w:rPr>
          <w:sz w:val="18"/>
          <w:szCs w:val="18"/>
        </w:rPr>
        <w:t>ct (A. Craney, R. Davies, D. Hu</w:t>
      </w:r>
      <w:r w:rsidRPr="001C3654">
        <w:rPr>
          <w:sz w:val="18"/>
          <w:szCs w:val="18"/>
        </w:rPr>
        <w:t>d</w:t>
      </w:r>
      <w:r>
        <w:rPr>
          <w:sz w:val="18"/>
          <w:szCs w:val="18"/>
        </w:rPr>
        <w:t>s</w:t>
      </w:r>
      <w:r w:rsidRPr="001C3654">
        <w:rPr>
          <w:sz w:val="18"/>
          <w:szCs w:val="18"/>
        </w:rPr>
        <w:t>on)</w:t>
      </w:r>
    </w:p>
  </w:footnote>
  <w:footnote w:id="23">
    <w:p w14:paraId="7D567590" w14:textId="0B83E3C5" w:rsidR="002E0AD1" w:rsidRDefault="002E0AD1" w:rsidP="0006260F">
      <w:pPr>
        <w:pStyle w:val="FootnoteText"/>
      </w:pPr>
      <w:r w:rsidRPr="001C3654">
        <w:rPr>
          <w:rStyle w:val="FootnoteReference"/>
          <w:sz w:val="18"/>
          <w:szCs w:val="18"/>
        </w:rPr>
        <w:footnoteRef/>
      </w:r>
      <w:r w:rsidRPr="001C3654">
        <w:rPr>
          <w:sz w:val="18"/>
          <w:szCs w:val="18"/>
        </w:rPr>
        <w:t xml:space="preserve"> The Green Growth Leaders’ Coalition (GGLC) Interim/Baseline Report – will be tabled at 2017 GGLC Leaders’ retreat and then made publicly available (A</w:t>
      </w:r>
      <w:r w:rsidR="00FF4EC0">
        <w:rPr>
          <w:sz w:val="18"/>
          <w:szCs w:val="18"/>
        </w:rPr>
        <w:t>.</w:t>
      </w:r>
      <w:r w:rsidRPr="001C3654">
        <w:rPr>
          <w:sz w:val="18"/>
          <w:szCs w:val="18"/>
        </w:rPr>
        <w:t xml:space="preserve"> Craney and D</w:t>
      </w:r>
      <w:r w:rsidR="00FF4EC0">
        <w:rPr>
          <w:sz w:val="18"/>
          <w:szCs w:val="18"/>
        </w:rPr>
        <w:t>.</w:t>
      </w:r>
      <w:r w:rsidRPr="001C3654">
        <w:rPr>
          <w:sz w:val="18"/>
          <w:szCs w:val="18"/>
        </w:rPr>
        <w:t xml:space="preserve"> Hudson/ La Trobe DLP).</w:t>
      </w:r>
    </w:p>
  </w:footnote>
  <w:footnote w:id="24">
    <w:p w14:paraId="78E910B7" w14:textId="77777777" w:rsidR="002E0AD1" w:rsidRPr="001C3654" w:rsidRDefault="002E0AD1" w:rsidP="00124239">
      <w:pPr>
        <w:pStyle w:val="FootnoteText"/>
        <w:rPr>
          <w:sz w:val="18"/>
          <w:szCs w:val="18"/>
        </w:rPr>
      </w:pPr>
      <w:r w:rsidRPr="001C3654">
        <w:rPr>
          <w:rStyle w:val="FootnoteReference"/>
          <w:sz w:val="18"/>
          <w:szCs w:val="18"/>
        </w:rPr>
        <w:footnoteRef/>
      </w:r>
      <w:r w:rsidRPr="001C3654">
        <w:rPr>
          <w:sz w:val="18"/>
          <w:szCs w:val="18"/>
        </w:rPr>
        <w:t xml:space="preserve"> See www.plp.org.fj</w:t>
      </w:r>
    </w:p>
  </w:footnote>
  <w:footnote w:id="25">
    <w:p w14:paraId="203342FB" w14:textId="77777777" w:rsidR="002E0AD1" w:rsidRPr="001C3654" w:rsidRDefault="002E0AD1" w:rsidP="00124239">
      <w:pPr>
        <w:pStyle w:val="FootnoteText"/>
        <w:rPr>
          <w:sz w:val="18"/>
          <w:szCs w:val="18"/>
        </w:rPr>
      </w:pPr>
      <w:r w:rsidRPr="001C3654">
        <w:rPr>
          <w:rStyle w:val="FootnoteReference"/>
          <w:sz w:val="18"/>
          <w:szCs w:val="18"/>
        </w:rPr>
        <w:footnoteRef/>
      </w:r>
      <w:r w:rsidRPr="001C3654">
        <w:rPr>
          <w:sz w:val="18"/>
          <w:szCs w:val="18"/>
        </w:rPr>
        <w:t xml:space="preserve"> PLP3 Design Document</w:t>
      </w:r>
    </w:p>
  </w:footnote>
  <w:footnote w:id="26">
    <w:p w14:paraId="699D4C75" w14:textId="77777777" w:rsidR="002E0AD1" w:rsidRDefault="002E0AD1" w:rsidP="00124239">
      <w:pPr>
        <w:pStyle w:val="FootnoteText"/>
      </w:pPr>
      <w:r w:rsidRPr="001C3654">
        <w:rPr>
          <w:rStyle w:val="FootnoteReference"/>
          <w:sz w:val="18"/>
          <w:szCs w:val="18"/>
        </w:rPr>
        <w:footnoteRef/>
      </w:r>
      <w:r w:rsidRPr="001C3654">
        <w:rPr>
          <w:sz w:val="18"/>
          <w:szCs w:val="18"/>
        </w:rPr>
        <w:t xml:space="preserve"> See www.dlprog.org</w:t>
      </w:r>
    </w:p>
  </w:footnote>
  <w:footnote w:id="27">
    <w:p w14:paraId="528B03F6" w14:textId="77777777" w:rsidR="002E0AD1" w:rsidRPr="001C3654" w:rsidRDefault="002E0AD1">
      <w:pPr>
        <w:pStyle w:val="FootnoteText"/>
        <w:rPr>
          <w:sz w:val="18"/>
          <w:szCs w:val="18"/>
        </w:rPr>
      </w:pPr>
      <w:r w:rsidRPr="001C3654">
        <w:rPr>
          <w:rStyle w:val="FootnoteReference"/>
          <w:sz w:val="18"/>
          <w:szCs w:val="18"/>
        </w:rPr>
        <w:footnoteRef/>
      </w:r>
      <w:r w:rsidRPr="001C3654">
        <w:rPr>
          <w:sz w:val="18"/>
          <w:szCs w:val="18"/>
        </w:rPr>
        <w:t xml:space="preserve"> PLP Design Document, December 2013, page 9.</w:t>
      </w:r>
    </w:p>
  </w:footnote>
  <w:footnote w:id="28">
    <w:p w14:paraId="3A23DDF1" w14:textId="77777777" w:rsidR="002E0AD1" w:rsidRDefault="002E0AD1">
      <w:pPr>
        <w:pStyle w:val="FootnoteText"/>
      </w:pPr>
      <w:r w:rsidRPr="001C3654">
        <w:rPr>
          <w:rStyle w:val="FootnoteReference"/>
          <w:sz w:val="18"/>
          <w:szCs w:val="18"/>
        </w:rPr>
        <w:footnoteRef/>
      </w:r>
      <w:r w:rsidRPr="001C3654">
        <w:rPr>
          <w:sz w:val="18"/>
          <w:szCs w:val="18"/>
        </w:rPr>
        <w:t xml:space="preserve"> Pacific Leadership Program Phase 3 2014-2017, Evaluation Plan, 27 April 2017</w:t>
      </w:r>
    </w:p>
  </w:footnote>
  <w:footnote w:id="29">
    <w:p w14:paraId="0D063DC5" w14:textId="77777777" w:rsidR="002E0AD1" w:rsidRPr="001C3654" w:rsidRDefault="002E0AD1" w:rsidP="00F64989">
      <w:pPr>
        <w:pStyle w:val="FootnoteText"/>
        <w:rPr>
          <w:sz w:val="18"/>
          <w:szCs w:val="18"/>
        </w:rPr>
      </w:pPr>
      <w:r w:rsidRPr="001C3654">
        <w:rPr>
          <w:rStyle w:val="FootnoteReference"/>
          <w:sz w:val="18"/>
          <w:szCs w:val="18"/>
        </w:rPr>
        <w:footnoteRef/>
      </w:r>
      <w:r w:rsidRPr="001C3654">
        <w:rPr>
          <w:sz w:val="18"/>
          <w:szCs w:val="18"/>
        </w:rPr>
        <w:t xml:space="preserve"> </w:t>
      </w:r>
      <w:r w:rsidRPr="002E1836">
        <w:rPr>
          <w:i/>
          <w:sz w:val="18"/>
          <w:szCs w:val="18"/>
        </w:rPr>
        <w:t>The Evaluation of Politics and the Politics of Evaluation,</w:t>
      </w:r>
      <w:r w:rsidRPr="002E1836">
        <w:rPr>
          <w:sz w:val="18"/>
          <w:szCs w:val="18"/>
        </w:rPr>
        <w:t xml:space="preserve"> Background Paper Development Leadership Program, Chris Roche, Oxfam Australia Linda Kelly, Praxis Consulting August 2012</w:t>
      </w:r>
    </w:p>
  </w:footnote>
  <w:footnote w:id="30">
    <w:p w14:paraId="437C7287" w14:textId="77777777" w:rsidR="002E0AD1" w:rsidRDefault="002E0AD1" w:rsidP="0042547F">
      <w:pPr>
        <w:pStyle w:val="FootnoteText"/>
      </w:pPr>
      <w:r w:rsidRPr="001C3654">
        <w:rPr>
          <w:rStyle w:val="FootnoteReference"/>
          <w:sz w:val="18"/>
          <w:szCs w:val="18"/>
        </w:rPr>
        <w:footnoteRef/>
      </w:r>
      <w:r w:rsidRPr="001C3654">
        <w:rPr>
          <w:sz w:val="18"/>
          <w:szCs w:val="18"/>
        </w:rPr>
        <w:t xml:space="preserve"> This was the first White Paper on Australia’s Aid Program.</w:t>
      </w:r>
    </w:p>
  </w:footnote>
  <w:footnote w:id="31">
    <w:p w14:paraId="18427538" w14:textId="77777777" w:rsidR="002E0AD1" w:rsidRPr="001C3654" w:rsidRDefault="002E0AD1" w:rsidP="0042547F">
      <w:pPr>
        <w:pStyle w:val="FootnoteText"/>
        <w:rPr>
          <w:sz w:val="18"/>
          <w:szCs w:val="18"/>
        </w:rPr>
      </w:pPr>
      <w:r w:rsidRPr="001C3654">
        <w:rPr>
          <w:rStyle w:val="FootnoteReference"/>
          <w:sz w:val="18"/>
          <w:szCs w:val="18"/>
        </w:rPr>
        <w:footnoteRef/>
      </w:r>
      <w:r w:rsidRPr="001C3654">
        <w:rPr>
          <w:sz w:val="18"/>
          <w:szCs w:val="18"/>
        </w:rPr>
        <w:t xml:space="preserve"> Fostering Functioning and Effective States – was one of its four organising themes.</w:t>
      </w:r>
    </w:p>
  </w:footnote>
  <w:footnote w:id="32">
    <w:p w14:paraId="4897A675" w14:textId="77777777" w:rsidR="002E0AD1" w:rsidRPr="001C3654" w:rsidRDefault="002E0AD1" w:rsidP="0042547F">
      <w:pPr>
        <w:pStyle w:val="FootnoteText"/>
        <w:rPr>
          <w:sz w:val="18"/>
          <w:szCs w:val="18"/>
        </w:rPr>
      </w:pPr>
      <w:r w:rsidRPr="001C3654">
        <w:rPr>
          <w:rStyle w:val="FootnoteReference"/>
          <w:sz w:val="18"/>
          <w:szCs w:val="18"/>
        </w:rPr>
        <w:footnoteRef/>
      </w:r>
      <w:r w:rsidRPr="001C3654">
        <w:rPr>
          <w:sz w:val="18"/>
          <w:szCs w:val="18"/>
        </w:rPr>
        <w:t xml:space="preserve"> </w:t>
      </w:r>
      <w:r w:rsidRPr="001C3654">
        <w:rPr>
          <w:i/>
          <w:sz w:val="18"/>
          <w:szCs w:val="18"/>
        </w:rPr>
        <w:t xml:space="preserve">Australian Aid: Promoting Growth and Stability; </w:t>
      </w:r>
      <w:r w:rsidRPr="001C3654">
        <w:rPr>
          <w:sz w:val="18"/>
          <w:szCs w:val="18"/>
        </w:rPr>
        <w:t>White Paper; 2006</w:t>
      </w:r>
    </w:p>
  </w:footnote>
  <w:footnote w:id="33">
    <w:p w14:paraId="3C49D7F9" w14:textId="2A8ABCBE" w:rsidR="00AC77B7" w:rsidRPr="001C3654" w:rsidRDefault="00AC77B7" w:rsidP="00AC77B7">
      <w:pPr>
        <w:pStyle w:val="FootnoteText"/>
        <w:rPr>
          <w:sz w:val="18"/>
          <w:szCs w:val="18"/>
        </w:rPr>
      </w:pPr>
      <w:r w:rsidRPr="001C3654">
        <w:rPr>
          <w:rStyle w:val="FootnoteReference"/>
          <w:sz w:val="18"/>
          <w:szCs w:val="18"/>
        </w:rPr>
        <w:footnoteRef/>
      </w:r>
      <w:r w:rsidRPr="001C3654">
        <w:rPr>
          <w:sz w:val="18"/>
          <w:szCs w:val="18"/>
        </w:rPr>
        <w:t xml:space="preserve"> </w:t>
      </w:r>
      <w:r>
        <w:rPr>
          <w:sz w:val="18"/>
          <w:szCs w:val="18"/>
        </w:rPr>
        <w:t>These two objectives were i</w:t>
      </w:r>
      <w:r w:rsidRPr="001C3654">
        <w:rPr>
          <w:sz w:val="18"/>
          <w:szCs w:val="18"/>
        </w:rPr>
        <w:t>dentified in the Independent Progress Report, June 2012</w:t>
      </w:r>
    </w:p>
  </w:footnote>
  <w:footnote w:id="34">
    <w:p w14:paraId="456BDBDB" w14:textId="77777777" w:rsidR="002E0AD1" w:rsidRPr="001C3654" w:rsidRDefault="002E0AD1" w:rsidP="0042547F">
      <w:pPr>
        <w:pStyle w:val="FootnoteText"/>
        <w:rPr>
          <w:sz w:val="18"/>
          <w:szCs w:val="18"/>
        </w:rPr>
      </w:pPr>
      <w:r w:rsidRPr="001C3654">
        <w:rPr>
          <w:rStyle w:val="FootnoteReference"/>
          <w:sz w:val="18"/>
          <w:szCs w:val="18"/>
        </w:rPr>
        <w:footnoteRef/>
      </w:r>
      <w:r w:rsidRPr="001C3654">
        <w:rPr>
          <w:sz w:val="18"/>
          <w:szCs w:val="18"/>
        </w:rPr>
        <w:t xml:space="preserve"> Including: Thinking and Working Politically; Doing Development Differently; and Problem-Driven Iterative Adaption.</w:t>
      </w:r>
    </w:p>
  </w:footnote>
  <w:footnote w:id="35">
    <w:p w14:paraId="55DE4CAE" w14:textId="77777777" w:rsidR="002E0AD1" w:rsidRPr="001C3654" w:rsidRDefault="002E0AD1" w:rsidP="0042547F">
      <w:pPr>
        <w:pStyle w:val="FootnoteText"/>
        <w:rPr>
          <w:sz w:val="18"/>
          <w:szCs w:val="18"/>
        </w:rPr>
      </w:pPr>
      <w:r w:rsidRPr="001C3654">
        <w:rPr>
          <w:rStyle w:val="FootnoteReference"/>
          <w:sz w:val="18"/>
          <w:szCs w:val="18"/>
        </w:rPr>
        <w:footnoteRef/>
      </w:r>
      <w:r w:rsidRPr="001C3654">
        <w:rPr>
          <w:sz w:val="18"/>
          <w:szCs w:val="18"/>
        </w:rPr>
        <w:t xml:space="preserve"> </w:t>
      </w:r>
      <w:r w:rsidRPr="001C3654">
        <w:rPr>
          <w:rFonts w:eastAsia="Times New Roman" w:cs="Arial"/>
          <w:sz w:val="18"/>
          <w:szCs w:val="18"/>
          <w:lang w:eastAsia="en-AU"/>
        </w:rPr>
        <w:t xml:space="preserve">Denney and McLaren, </w:t>
      </w:r>
      <w:r w:rsidRPr="001C3654">
        <w:rPr>
          <w:i/>
          <w:sz w:val="18"/>
          <w:szCs w:val="18"/>
        </w:rPr>
        <w:t>Coalitions for Change in the Pacific: A comparative analysis of PLP’s action-research case studies / Report and Policy Brief</w:t>
      </w:r>
      <w:r w:rsidRPr="001C3654">
        <w:rPr>
          <w:sz w:val="18"/>
          <w:szCs w:val="18"/>
        </w:rPr>
        <w:t xml:space="preserve">, </w:t>
      </w:r>
      <w:r w:rsidRPr="001C3654">
        <w:rPr>
          <w:rFonts w:eastAsia="Times New Roman" w:cs="Arial"/>
          <w:sz w:val="18"/>
          <w:szCs w:val="18"/>
          <w:lang w:eastAsia="en-AU"/>
        </w:rPr>
        <w:t>2016</w:t>
      </w:r>
    </w:p>
  </w:footnote>
  <w:footnote w:id="36">
    <w:p w14:paraId="4C308D2C" w14:textId="77777777" w:rsidR="002E0AD1" w:rsidRPr="001C3654" w:rsidRDefault="002E0AD1" w:rsidP="0042547F">
      <w:pPr>
        <w:pStyle w:val="FootnoteText"/>
        <w:rPr>
          <w:sz w:val="18"/>
          <w:szCs w:val="18"/>
        </w:rPr>
      </w:pPr>
      <w:r w:rsidRPr="001C3654">
        <w:rPr>
          <w:rStyle w:val="FootnoteReference"/>
          <w:sz w:val="18"/>
          <w:szCs w:val="18"/>
        </w:rPr>
        <w:footnoteRef/>
      </w:r>
      <w:r w:rsidRPr="001C3654">
        <w:rPr>
          <w:sz w:val="18"/>
          <w:szCs w:val="18"/>
        </w:rPr>
        <w:t xml:space="preserve"> Deborah Rhodes, </w:t>
      </w:r>
      <w:r w:rsidRPr="001C3654">
        <w:rPr>
          <w:i/>
          <w:sz w:val="18"/>
          <w:szCs w:val="18"/>
        </w:rPr>
        <w:t>History of the Pacific Leadership Program</w:t>
      </w:r>
      <w:r w:rsidRPr="001C3654">
        <w:rPr>
          <w:sz w:val="18"/>
          <w:szCs w:val="18"/>
        </w:rPr>
        <w:t>, March 2017 p.1.</w:t>
      </w:r>
    </w:p>
  </w:footnote>
  <w:footnote w:id="37">
    <w:p w14:paraId="7DA4A247" w14:textId="1389072B" w:rsidR="002E0AD1" w:rsidRPr="00AA4D72" w:rsidRDefault="002E0AD1" w:rsidP="007E77EC">
      <w:pPr>
        <w:pStyle w:val="FootnoteText"/>
        <w:rPr>
          <w:sz w:val="18"/>
          <w:szCs w:val="18"/>
        </w:rPr>
      </w:pPr>
      <w:r w:rsidRPr="007428EC">
        <w:rPr>
          <w:rStyle w:val="FootnoteReference"/>
          <w:sz w:val="18"/>
          <w:szCs w:val="18"/>
        </w:rPr>
        <w:footnoteRef/>
      </w:r>
      <w:r w:rsidRPr="007428EC">
        <w:rPr>
          <w:sz w:val="18"/>
          <w:szCs w:val="18"/>
        </w:rPr>
        <w:t xml:space="preserve"> The Asia Foundation, Working Politically in Practice Series, Case Study Number 5, “</w:t>
      </w:r>
      <w:r w:rsidRPr="007428EC">
        <w:rPr>
          <w:i/>
          <w:sz w:val="18"/>
          <w:szCs w:val="18"/>
        </w:rPr>
        <w:t xml:space="preserve">Reflections on Implementing </w:t>
      </w:r>
      <w:r w:rsidR="00FF4EC0" w:rsidRPr="007428EC">
        <w:rPr>
          <w:i/>
          <w:sz w:val="18"/>
          <w:szCs w:val="18"/>
        </w:rPr>
        <w:t>Politically</w:t>
      </w:r>
      <w:r w:rsidRPr="007428EC">
        <w:rPr>
          <w:i/>
          <w:sz w:val="18"/>
          <w:szCs w:val="18"/>
        </w:rPr>
        <w:t xml:space="preserve"> Informed, </w:t>
      </w:r>
      <w:r w:rsidR="00FF4EC0" w:rsidRPr="007428EC">
        <w:rPr>
          <w:i/>
          <w:sz w:val="18"/>
          <w:szCs w:val="18"/>
        </w:rPr>
        <w:t>Search</w:t>
      </w:r>
      <w:r w:rsidR="00FF4EC0">
        <w:rPr>
          <w:i/>
          <w:sz w:val="18"/>
          <w:szCs w:val="18"/>
        </w:rPr>
        <w:t>ing</w:t>
      </w:r>
      <w:r w:rsidRPr="007428EC">
        <w:rPr>
          <w:i/>
          <w:sz w:val="18"/>
          <w:szCs w:val="18"/>
        </w:rPr>
        <w:t xml:space="preserve"> </w:t>
      </w:r>
      <w:r w:rsidR="00FF4EC0">
        <w:rPr>
          <w:i/>
          <w:sz w:val="18"/>
          <w:szCs w:val="18"/>
        </w:rPr>
        <w:t>P</w:t>
      </w:r>
      <w:r w:rsidRPr="007428EC">
        <w:rPr>
          <w:i/>
          <w:sz w:val="18"/>
          <w:szCs w:val="18"/>
        </w:rPr>
        <w:t>rograms: Lessons for Aid Practitioners and Policy Markers</w:t>
      </w:r>
      <w:r w:rsidRPr="00AA4D72">
        <w:rPr>
          <w:sz w:val="18"/>
          <w:szCs w:val="18"/>
        </w:rPr>
        <w:t xml:space="preserve">” </w:t>
      </w:r>
    </w:p>
  </w:footnote>
  <w:footnote w:id="38">
    <w:p w14:paraId="2FF28112" w14:textId="77777777" w:rsidR="002E0AD1" w:rsidRPr="007428EC" w:rsidRDefault="002E0AD1" w:rsidP="007E77EC">
      <w:pPr>
        <w:pStyle w:val="FootnoteText"/>
        <w:rPr>
          <w:sz w:val="18"/>
          <w:szCs w:val="18"/>
        </w:rPr>
      </w:pPr>
      <w:r w:rsidRPr="007428EC">
        <w:rPr>
          <w:rStyle w:val="FootnoteReference"/>
          <w:sz w:val="18"/>
          <w:szCs w:val="18"/>
        </w:rPr>
        <w:footnoteRef/>
      </w:r>
      <w:r w:rsidRPr="007428EC">
        <w:rPr>
          <w:sz w:val="18"/>
          <w:szCs w:val="18"/>
        </w:rPr>
        <w:t xml:space="preserve"> Ibid, foreword.</w:t>
      </w:r>
    </w:p>
  </w:footnote>
  <w:footnote w:id="39">
    <w:p w14:paraId="054E4C03" w14:textId="77777777" w:rsidR="002E0AD1" w:rsidRPr="001C3654" w:rsidRDefault="002E0AD1">
      <w:pPr>
        <w:pStyle w:val="FootnoteText"/>
        <w:rPr>
          <w:sz w:val="18"/>
          <w:szCs w:val="18"/>
        </w:rPr>
      </w:pPr>
      <w:r w:rsidRPr="001C3654">
        <w:rPr>
          <w:rStyle w:val="FootnoteReference"/>
          <w:sz w:val="18"/>
          <w:szCs w:val="18"/>
        </w:rPr>
        <w:footnoteRef/>
      </w:r>
      <w:r w:rsidRPr="001C3654">
        <w:rPr>
          <w:sz w:val="18"/>
          <w:szCs w:val="18"/>
        </w:rPr>
        <w:t xml:space="preserve"> For further information, see Deborah Rhodes, </w:t>
      </w:r>
      <w:r w:rsidRPr="001C3654">
        <w:rPr>
          <w:i/>
          <w:sz w:val="18"/>
          <w:szCs w:val="18"/>
        </w:rPr>
        <w:t>History of the Pacific Leadership Program</w:t>
      </w:r>
      <w:r w:rsidRPr="001C3654">
        <w:rPr>
          <w:sz w:val="18"/>
          <w:szCs w:val="18"/>
        </w:rPr>
        <w:t>, March 2017.</w:t>
      </w:r>
    </w:p>
  </w:footnote>
  <w:footnote w:id="40">
    <w:p w14:paraId="27C6B29C" w14:textId="77777777" w:rsidR="002E0AD1" w:rsidRDefault="002E0AD1" w:rsidP="00514701">
      <w:pPr>
        <w:pStyle w:val="FootnoteText"/>
      </w:pPr>
      <w:r w:rsidRPr="001C3654">
        <w:rPr>
          <w:rStyle w:val="FootnoteReference"/>
        </w:rPr>
        <w:footnoteRef/>
      </w:r>
      <w:r w:rsidRPr="001C3654">
        <w:rPr>
          <w:rStyle w:val="FootnoteReference"/>
        </w:rPr>
        <w:t xml:space="preserve"> </w:t>
      </w:r>
      <w:r w:rsidRPr="007428EC">
        <w:rPr>
          <w:sz w:val="18"/>
          <w:szCs w:val="18"/>
        </w:rPr>
        <w:t>See PLP3 Design Document (December 2013) which includes 4 result streams and six priority areas</w:t>
      </w:r>
      <w:r>
        <w:rPr>
          <w:sz w:val="18"/>
          <w:szCs w:val="18"/>
        </w:rPr>
        <w:t xml:space="preserve"> across three governance levels, </w:t>
      </w:r>
      <w:r w:rsidRPr="007428EC">
        <w:rPr>
          <w:sz w:val="18"/>
          <w:szCs w:val="18"/>
        </w:rPr>
        <w:t>and aims to achieve 1-2 transformational institutional and/or policy level reforms each year</w:t>
      </w:r>
      <w:r w:rsidRPr="00514701">
        <w:rPr>
          <w:sz w:val="18"/>
          <w:szCs w:val="18"/>
        </w:rPr>
        <w:t>.</w:t>
      </w:r>
      <w:r>
        <w:rPr>
          <w:rFonts w:ascii="Calibri" w:eastAsia="Calibri" w:hAnsi="Calibri"/>
          <w:color w:val="000000"/>
          <w:sz w:val="25"/>
        </w:rPr>
        <w:t xml:space="preserve"> </w:t>
      </w:r>
      <w:r>
        <w:t xml:space="preserve"> </w:t>
      </w:r>
    </w:p>
  </w:footnote>
  <w:footnote w:id="41">
    <w:p w14:paraId="0CBEC1E6" w14:textId="77777777" w:rsidR="002E0AD1" w:rsidRPr="001C3654" w:rsidRDefault="002E0AD1">
      <w:pPr>
        <w:pStyle w:val="FootnoteText"/>
        <w:rPr>
          <w:sz w:val="18"/>
          <w:szCs w:val="18"/>
        </w:rPr>
      </w:pPr>
      <w:r w:rsidRPr="001C3654">
        <w:rPr>
          <w:rStyle w:val="FootnoteReference"/>
          <w:sz w:val="18"/>
          <w:szCs w:val="18"/>
        </w:rPr>
        <w:footnoteRef/>
      </w:r>
      <w:r w:rsidRPr="001C3654">
        <w:rPr>
          <w:sz w:val="18"/>
          <w:szCs w:val="18"/>
        </w:rPr>
        <w:t xml:space="preserve"> Stakeholder interviews.</w:t>
      </w:r>
    </w:p>
  </w:footnote>
  <w:footnote w:id="42">
    <w:p w14:paraId="0D214303" w14:textId="77777777" w:rsidR="002E0AD1" w:rsidRPr="001C3654" w:rsidRDefault="002E0AD1" w:rsidP="0042547F">
      <w:pPr>
        <w:pStyle w:val="FootnoteText"/>
        <w:rPr>
          <w:sz w:val="18"/>
          <w:szCs w:val="18"/>
        </w:rPr>
      </w:pPr>
      <w:r w:rsidRPr="001C3654">
        <w:rPr>
          <w:rStyle w:val="FootnoteReference"/>
          <w:sz w:val="18"/>
          <w:szCs w:val="18"/>
        </w:rPr>
        <w:footnoteRef/>
      </w:r>
      <w:r w:rsidRPr="001C3654">
        <w:rPr>
          <w:sz w:val="18"/>
          <w:szCs w:val="18"/>
        </w:rPr>
        <w:t xml:space="preserve"> And for a full history of the Pacific Leadership Program, see paper, </w:t>
      </w:r>
      <w:r w:rsidRPr="001C3654">
        <w:rPr>
          <w:i/>
          <w:sz w:val="18"/>
          <w:szCs w:val="18"/>
        </w:rPr>
        <w:t>History of the Pacific Leadership Program</w:t>
      </w:r>
      <w:r w:rsidRPr="001C3654">
        <w:rPr>
          <w:sz w:val="18"/>
          <w:szCs w:val="18"/>
        </w:rPr>
        <w:t>, by Deborah Rhodes, March 2017</w:t>
      </w:r>
    </w:p>
  </w:footnote>
  <w:footnote w:id="43">
    <w:p w14:paraId="5014953E" w14:textId="77777777" w:rsidR="002E0AD1" w:rsidRPr="001C3654" w:rsidRDefault="002E0AD1" w:rsidP="007D3BE9">
      <w:pPr>
        <w:pStyle w:val="FootnoteText"/>
        <w:rPr>
          <w:sz w:val="18"/>
          <w:szCs w:val="18"/>
        </w:rPr>
      </w:pPr>
      <w:r w:rsidRPr="001C3654">
        <w:rPr>
          <w:rStyle w:val="FootnoteReference"/>
          <w:sz w:val="18"/>
          <w:szCs w:val="18"/>
        </w:rPr>
        <w:footnoteRef/>
      </w:r>
      <w:r w:rsidRPr="001C3654">
        <w:rPr>
          <w:sz w:val="18"/>
          <w:szCs w:val="18"/>
        </w:rPr>
        <w:t xml:space="preserve"> Remarks by the Prime Minister Malcolm Turnbull, Pacific Islands Forum, September 2016</w:t>
      </w:r>
    </w:p>
  </w:footnote>
  <w:footnote w:id="44">
    <w:p w14:paraId="40AE4C7B" w14:textId="77777777" w:rsidR="002E0AD1" w:rsidRPr="001C3654" w:rsidRDefault="002E0AD1" w:rsidP="007D3BE9">
      <w:pPr>
        <w:pStyle w:val="FootnoteText"/>
        <w:rPr>
          <w:sz w:val="18"/>
          <w:szCs w:val="18"/>
        </w:rPr>
      </w:pPr>
      <w:r w:rsidRPr="001C3654">
        <w:rPr>
          <w:rStyle w:val="FootnoteReference"/>
          <w:sz w:val="18"/>
          <w:szCs w:val="18"/>
        </w:rPr>
        <w:footnoteRef/>
      </w:r>
      <w:r w:rsidRPr="001C3654">
        <w:rPr>
          <w:sz w:val="18"/>
          <w:szCs w:val="18"/>
        </w:rPr>
        <w:t xml:space="preserve"> See: Australian Strategic Policy Institute, Special Report, </w:t>
      </w:r>
      <w:r w:rsidRPr="001C3654">
        <w:rPr>
          <w:i/>
          <w:sz w:val="18"/>
          <w:szCs w:val="18"/>
        </w:rPr>
        <w:t>Crowded and Complex: the changing geopolitics of the South Pacific</w:t>
      </w:r>
      <w:r w:rsidRPr="001C3654">
        <w:rPr>
          <w:sz w:val="18"/>
          <w:szCs w:val="18"/>
        </w:rPr>
        <w:t>, April 2017.</w:t>
      </w:r>
    </w:p>
  </w:footnote>
  <w:footnote w:id="45">
    <w:p w14:paraId="79B8E62B" w14:textId="77777777" w:rsidR="002E0AD1" w:rsidRPr="001C3654" w:rsidRDefault="002E0AD1">
      <w:pPr>
        <w:pStyle w:val="FootnoteText"/>
        <w:rPr>
          <w:sz w:val="18"/>
          <w:szCs w:val="18"/>
        </w:rPr>
      </w:pPr>
      <w:r w:rsidRPr="001C3654">
        <w:rPr>
          <w:rStyle w:val="FootnoteReference"/>
          <w:sz w:val="18"/>
          <w:szCs w:val="18"/>
        </w:rPr>
        <w:footnoteRef/>
      </w:r>
      <w:r w:rsidRPr="001C3654">
        <w:rPr>
          <w:sz w:val="18"/>
          <w:szCs w:val="18"/>
        </w:rPr>
        <w:t xml:space="preserve"> Commonwealth of Australia, DFAT, </w:t>
      </w:r>
      <w:r w:rsidRPr="001C3654">
        <w:rPr>
          <w:i/>
          <w:sz w:val="18"/>
          <w:szCs w:val="18"/>
        </w:rPr>
        <w:t>Effective Governance: a strategy for Australia’s aid investments</w:t>
      </w:r>
      <w:r w:rsidRPr="001C3654">
        <w:rPr>
          <w:sz w:val="18"/>
          <w:szCs w:val="18"/>
        </w:rPr>
        <w:t>, March 2015, p.12</w:t>
      </w:r>
    </w:p>
  </w:footnote>
  <w:footnote w:id="46">
    <w:p w14:paraId="4562F782" w14:textId="77777777" w:rsidR="002E0AD1" w:rsidRPr="001C3654" w:rsidRDefault="002E0AD1" w:rsidP="001F4152">
      <w:pPr>
        <w:pStyle w:val="FootnoteText"/>
        <w:rPr>
          <w:sz w:val="18"/>
          <w:szCs w:val="18"/>
        </w:rPr>
      </w:pPr>
      <w:r w:rsidRPr="001C3654">
        <w:rPr>
          <w:rStyle w:val="FootnoteReference"/>
          <w:sz w:val="18"/>
          <w:szCs w:val="18"/>
        </w:rPr>
        <w:footnoteRef/>
      </w:r>
      <w:r w:rsidRPr="001C3654">
        <w:rPr>
          <w:sz w:val="18"/>
          <w:szCs w:val="18"/>
        </w:rPr>
        <w:t xml:space="preserve"> See: http://www.forumsec.org</w:t>
      </w:r>
    </w:p>
  </w:footnote>
  <w:footnote w:id="47">
    <w:p w14:paraId="00BE01AF" w14:textId="77777777" w:rsidR="002E0AD1" w:rsidRPr="001C3654" w:rsidRDefault="002E0AD1" w:rsidP="00342FA6">
      <w:pPr>
        <w:pStyle w:val="FootnoteText"/>
        <w:rPr>
          <w:sz w:val="18"/>
          <w:szCs w:val="18"/>
        </w:rPr>
      </w:pPr>
      <w:r w:rsidRPr="001C3654">
        <w:rPr>
          <w:rStyle w:val="FootnoteReference"/>
          <w:sz w:val="18"/>
          <w:szCs w:val="18"/>
        </w:rPr>
        <w:footnoteRef/>
      </w:r>
      <w:r w:rsidRPr="001C3654">
        <w:rPr>
          <w:sz w:val="18"/>
          <w:szCs w:val="18"/>
        </w:rPr>
        <w:t xml:space="preserve"> International research including: The World Development Report 2017 “Governance and the Law”, The World Bank; The Asia Foundation; the Developmental Leadership Program; and the Overseas Development Institute.</w:t>
      </w:r>
    </w:p>
  </w:footnote>
  <w:footnote w:id="48">
    <w:p w14:paraId="145346AE" w14:textId="77777777" w:rsidR="002E0AD1" w:rsidRDefault="002E0AD1" w:rsidP="00342FA6">
      <w:pPr>
        <w:pStyle w:val="FootnoteText"/>
      </w:pPr>
      <w:r w:rsidRPr="001C3654">
        <w:rPr>
          <w:rStyle w:val="FootnoteReference"/>
          <w:sz w:val="18"/>
          <w:szCs w:val="18"/>
        </w:rPr>
        <w:footnoteRef/>
      </w:r>
      <w:r w:rsidRPr="001C3654">
        <w:rPr>
          <w:sz w:val="18"/>
          <w:szCs w:val="18"/>
        </w:rPr>
        <w:t xml:space="preserve"> Chris Wheeler and Adrian Leftwich, Coalitions in the Politics of Development: Findings, insights and guidance from the DLP Coalitions Workshop, Sydney, 15-16 February 2012, p.3 Developmental Leadership Program Research and Policy Workshop Report, April 2012.</w:t>
      </w:r>
    </w:p>
  </w:footnote>
  <w:footnote w:id="49">
    <w:p w14:paraId="59CB4C37" w14:textId="77777777" w:rsidR="002E0AD1" w:rsidRPr="001C3654" w:rsidRDefault="002E0AD1">
      <w:pPr>
        <w:pStyle w:val="FootnoteText"/>
        <w:rPr>
          <w:sz w:val="18"/>
          <w:szCs w:val="18"/>
        </w:rPr>
      </w:pPr>
      <w:r w:rsidRPr="001C3654">
        <w:rPr>
          <w:rStyle w:val="FootnoteReference"/>
          <w:sz w:val="18"/>
          <w:szCs w:val="18"/>
        </w:rPr>
        <w:footnoteRef/>
      </w:r>
      <w:r w:rsidRPr="001C3654">
        <w:rPr>
          <w:sz w:val="18"/>
          <w:szCs w:val="18"/>
        </w:rPr>
        <w:t xml:space="preserve"> See for example: ODI’s review of the Governance for Growth Program in Vanuatu, Hadley and Tilley, December 2016.</w:t>
      </w:r>
    </w:p>
  </w:footnote>
  <w:footnote w:id="50">
    <w:p w14:paraId="6737B880" w14:textId="77777777" w:rsidR="002E0AD1" w:rsidRPr="001C3654" w:rsidRDefault="002E0AD1" w:rsidP="0042547F">
      <w:pPr>
        <w:pStyle w:val="ListParagraph"/>
        <w:spacing w:after="0"/>
        <w:ind w:left="0"/>
        <w:rPr>
          <w:sz w:val="18"/>
          <w:szCs w:val="18"/>
        </w:rPr>
      </w:pPr>
      <w:r w:rsidRPr="001C3654">
        <w:rPr>
          <w:rStyle w:val="FootnoteReference"/>
          <w:sz w:val="18"/>
          <w:szCs w:val="18"/>
        </w:rPr>
        <w:footnoteRef/>
      </w:r>
      <w:r w:rsidRPr="001C3654">
        <w:rPr>
          <w:sz w:val="18"/>
          <w:szCs w:val="18"/>
        </w:rPr>
        <w:t xml:space="preserve"> Such as: Coalitions for Change (Philippines); Vanuatu Skills Partnership; Governance for Growth (Vanuatu); PNG Governance Facility design pillar for Leadership and Coalitions building; Governance for Development (Timor Leste); MAMPU (Indonesia); Peduli (Indonesia).</w:t>
      </w:r>
    </w:p>
  </w:footnote>
  <w:footnote w:id="51">
    <w:p w14:paraId="5FADF8D7" w14:textId="77777777" w:rsidR="002E0AD1" w:rsidRPr="001C3654" w:rsidRDefault="002E0AD1" w:rsidP="00342FA6">
      <w:pPr>
        <w:pStyle w:val="FootnoteText"/>
        <w:rPr>
          <w:sz w:val="18"/>
          <w:szCs w:val="18"/>
        </w:rPr>
      </w:pPr>
      <w:r w:rsidRPr="001C3654">
        <w:rPr>
          <w:rStyle w:val="FootnoteReference"/>
          <w:sz w:val="18"/>
          <w:szCs w:val="18"/>
        </w:rPr>
        <w:footnoteRef/>
      </w:r>
      <w:r w:rsidRPr="001C3654">
        <w:rPr>
          <w:sz w:val="18"/>
          <w:szCs w:val="18"/>
        </w:rPr>
        <w:t xml:space="preserve"> http://www.dlprog.org/about-us.php</w:t>
      </w:r>
    </w:p>
  </w:footnote>
  <w:footnote w:id="52">
    <w:p w14:paraId="303030FD" w14:textId="77777777" w:rsidR="002E0AD1" w:rsidRPr="001C3654" w:rsidRDefault="002E0AD1">
      <w:pPr>
        <w:pStyle w:val="FootnoteText"/>
        <w:rPr>
          <w:sz w:val="18"/>
          <w:szCs w:val="18"/>
        </w:rPr>
      </w:pPr>
      <w:r w:rsidRPr="001C3654">
        <w:rPr>
          <w:rStyle w:val="FootnoteReference"/>
          <w:sz w:val="18"/>
          <w:szCs w:val="18"/>
        </w:rPr>
        <w:footnoteRef/>
      </w:r>
      <w:r w:rsidRPr="001C3654">
        <w:rPr>
          <w:sz w:val="18"/>
          <w:szCs w:val="18"/>
        </w:rPr>
        <w:t xml:space="preserve"> These are: Women in Shared Decision Making, Amendment to the Electoral Act for Municipal Councils to include TSMs (Vanuatu); Green Growth Leaders Coalition, Development and Endorsement of “ The Peoples Plan 2030” Vanuatu National Sustainable Development Plan; Civil Society Forum of Tonga (Deep Sea Mining Coalition) Review of the Exploration Tax bracket for Deep Sea Mining; Samoa Chamber of Commerce, Removal of Municipal Taxes, Delay in the increase of Value Added Goods and Service Tax (VAGST), and Commitment from Government to improve Tax Compliance; Tonga National Leadership Development Forum, Development and Endorsement of the Ha’apai Development Plan; Transparency Vanuatu’s work on the Rights to Information Bill endorsed and enacted by the Government of Vanuatu; and the Tonga Women in Leadership Coalition’s support to the 1</w:t>
      </w:r>
      <w:r w:rsidRPr="001C3654">
        <w:rPr>
          <w:sz w:val="18"/>
          <w:szCs w:val="18"/>
          <w:vertAlign w:val="superscript"/>
        </w:rPr>
        <w:t>st</w:t>
      </w:r>
      <w:r w:rsidRPr="001C3654">
        <w:rPr>
          <w:sz w:val="18"/>
          <w:szCs w:val="18"/>
        </w:rPr>
        <w:t xml:space="preserve"> female Town Officer and 1</w:t>
      </w:r>
      <w:r w:rsidRPr="001C3654">
        <w:rPr>
          <w:sz w:val="18"/>
          <w:szCs w:val="18"/>
          <w:vertAlign w:val="superscript"/>
        </w:rPr>
        <w:t>st</w:t>
      </w:r>
      <w:r w:rsidRPr="001C3654">
        <w:rPr>
          <w:sz w:val="18"/>
          <w:szCs w:val="18"/>
        </w:rPr>
        <w:t xml:space="preserve"> female District Officer elected.</w:t>
      </w:r>
    </w:p>
  </w:footnote>
  <w:footnote w:id="53">
    <w:p w14:paraId="43D42E6E" w14:textId="77777777" w:rsidR="002E0AD1" w:rsidRDefault="002E0AD1">
      <w:pPr>
        <w:pStyle w:val="FootnoteText"/>
      </w:pPr>
      <w:r w:rsidRPr="001C3654">
        <w:rPr>
          <w:rStyle w:val="FootnoteReference"/>
          <w:sz w:val="18"/>
          <w:szCs w:val="18"/>
        </w:rPr>
        <w:footnoteRef/>
      </w:r>
      <w:r w:rsidRPr="001C3654">
        <w:rPr>
          <w:sz w:val="18"/>
          <w:szCs w:val="18"/>
        </w:rPr>
        <w:t xml:space="preserve"> </w:t>
      </w:r>
      <w:r w:rsidRPr="004131CE">
        <w:rPr>
          <w:sz w:val="18"/>
          <w:szCs w:val="18"/>
        </w:rPr>
        <w:t>An enabling environment refers to how donor agencies and their staff can provide a conducive environment for these approaches</w:t>
      </w:r>
      <w:r w:rsidRPr="00CD7569">
        <w:rPr>
          <w:sz w:val="18"/>
          <w:szCs w:val="18"/>
        </w:rPr>
        <w:t>. Denney and McLaren</w:t>
      </w:r>
      <w:r w:rsidRPr="00CE099E">
        <w:rPr>
          <w:sz w:val="18"/>
          <w:szCs w:val="18"/>
        </w:rPr>
        <w:t xml:space="preserve"> describe such an environment as including “internal supporters within the donor organisation who can advocate and make space for t</w:t>
      </w:r>
      <w:r w:rsidRPr="00E96E53">
        <w:rPr>
          <w:sz w:val="18"/>
          <w:szCs w:val="18"/>
        </w:rPr>
        <w:t>hese approaches; close working relationships between the donor and implementing team; flexible and long-term funding arrangements; and a recognition that change trajectories and results cannot be predicted”, 2016, page 31.</w:t>
      </w:r>
    </w:p>
  </w:footnote>
  <w:footnote w:id="54">
    <w:p w14:paraId="3E06079B" w14:textId="77777777" w:rsidR="002E0AD1" w:rsidRPr="001C3654" w:rsidRDefault="002E0AD1" w:rsidP="007B3018">
      <w:pPr>
        <w:pStyle w:val="FootnoteText"/>
        <w:rPr>
          <w:sz w:val="18"/>
          <w:szCs w:val="18"/>
        </w:rPr>
      </w:pPr>
      <w:r w:rsidRPr="001C3654">
        <w:rPr>
          <w:rStyle w:val="FootnoteReference"/>
          <w:sz w:val="18"/>
          <w:szCs w:val="18"/>
        </w:rPr>
        <w:footnoteRef/>
      </w:r>
      <w:r w:rsidRPr="001C3654">
        <w:rPr>
          <w:sz w:val="18"/>
          <w:szCs w:val="18"/>
        </w:rPr>
        <w:t xml:space="preserve"> Developmental leadership is seen to involve collective action towards locally owned, inclusive policy and institutional change for the public good.</w:t>
      </w:r>
    </w:p>
  </w:footnote>
  <w:footnote w:id="55">
    <w:p w14:paraId="085E9064" w14:textId="77777777" w:rsidR="002E0AD1" w:rsidRPr="00223FF3" w:rsidRDefault="002E0AD1" w:rsidP="00246076">
      <w:pPr>
        <w:pStyle w:val="NormalWeb"/>
        <w:spacing w:before="0" w:after="0" w:afterAutospacing="0"/>
        <w:rPr>
          <w:rFonts w:ascii="Calibri" w:hAnsi="Calibri"/>
          <w:sz w:val="20"/>
          <w:szCs w:val="20"/>
        </w:rPr>
      </w:pPr>
      <w:r w:rsidRPr="001C3654">
        <w:rPr>
          <w:rStyle w:val="FootnoteReference"/>
          <w:rFonts w:ascii="Calibri" w:hAnsi="Calibri"/>
          <w:sz w:val="18"/>
          <w:szCs w:val="18"/>
        </w:rPr>
        <w:footnoteRef/>
      </w:r>
      <w:r w:rsidRPr="001C3654">
        <w:rPr>
          <w:rFonts w:ascii="Calibri" w:hAnsi="Calibri"/>
          <w:sz w:val="18"/>
          <w:szCs w:val="18"/>
        </w:rPr>
        <w:t xml:space="preserve"> Commonwealth of Australia, DFAT, </w:t>
      </w:r>
      <w:r w:rsidRPr="001C3654">
        <w:rPr>
          <w:rFonts w:ascii="Calibri" w:hAnsi="Calibri"/>
          <w:i/>
          <w:iCs/>
          <w:sz w:val="18"/>
          <w:szCs w:val="18"/>
        </w:rPr>
        <w:t xml:space="preserve">Australian aid: promoting prosperity, reducing poverty, enhancing stability, </w:t>
      </w:r>
      <w:r w:rsidRPr="001C3654">
        <w:rPr>
          <w:rFonts w:ascii="Calibri" w:hAnsi="Calibri"/>
          <w:iCs/>
          <w:sz w:val="18"/>
          <w:szCs w:val="18"/>
        </w:rPr>
        <w:t>June 2014</w:t>
      </w:r>
      <w:r w:rsidRPr="001C3654">
        <w:rPr>
          <w:rFonts w:ascii="Calibri" w:hAnsi="Calibri"/>
          <w:sz w:val="18"/>
          <w:szCs w:val="18"/>
        </w:rPr>
        <w:t>. p.2.</w:t>
      </w:r>
    </w:p>
  </w:footnote>
  <w:footnote w:id="56">
    <w:p w14:paraId="2ED5FFF5" w14:textId="77777777" w:rsidR="002E0AD1" w:rsidRPr="001C3654" w:rsidRDefault="002E0AD1" w:rsidP="00246076">
      <w:pPr>
        <w:pStyle w:val="FootnoteText"/>
        <w:rPr>
          <w:sz w:val="18"/>
          <w:szCs w:val="18"/>
        </w:rPr>
      </w:pPr>
      <w:r w:rsidRPr="001C3654">
        <w:rPr>
          <w:rStyle w:val="FootnoteReference"/>
          <w:sz w:val="18"/>
          <w:szCs w:val="18"/>
        </w:rPr>
        <w:footnoteRef/>
      </w:r>
      <w:r w:rsidRPr="001C3654">
        <w:rPr>
          <w:sz w:val="18"/>
          <w:szCs w:val="18"/>
        </w:rPr>
        <w:t xml:space="preserve"> In the Paris Declaration on Aid Effectiveness (2005), the Accra Agenda for Action (2008) and the Busan Partnership (2012)</w:t>
      </w:r>
    </w:p>
  </w:footnote>
  <w:footnote w:id="57">
    <w:p w14:paraId="62C9133F" w14:textId="77777777" w:rsidR="002E0AD1" w:rsidRPr="001C3654" w:rsidRDefault="002E0AD1" w:rsidP="00246076">
      <w:pPr>
        <w:pStyle w:val="FootnoteText"/>
        <w:rPr>
          <w:sz w:val="18"/>
          <w:szCs w:val="18"/>
        </w:rPr>
      </w:pPr>
      <w:r w:rsidRPr="001C3654">
        <w:rPr>
          <w:rStyle w:val="FootnoteReference"/>
          <w:sz w:val="18"/>
          <w:szCs w:val="18"/>
        </w:rPr>
        <w:footnoteRef/>
      </w:r>
      <w:r w:rsidRPr="001C3654">
        <w:rPr>
          <w:sz w:val="18"/>
          <w:szCs w:val="18"/>
        </w:rPr>
        <w:t xml:space="preserve"> International research including: The World Development Report 2017 “Governance and the Law”, The World Bank; The Asia Foundation; the Development Leadership Program; and the Overseas Development Institute.</w:t>
      </w:r>
    </w:p>
  </w:footnote>
  <w:footnote w:id="58">
    <w:p w14:paraId="56F44F65" w14:textId="77777777" w:rsidR="002E0AD1" w:rsidRPr="001C3654" w:rsidRDefault="002E0AD1" w:rsidP="009A7A1A">
      <w:pPr>
        <w:pStyle w:val="FootnoteText"/>
        <w:rPr>
          <w:sz w:val="18"/>
          <w:szCs w:val="18"/>
        </w:rPr>
      </w:pPr>
      <w:r w:rsidRPr="001C3654">
        <w:rPr>
          <w:rStyle w:val="FootnoteReference"/>
          <w:sz w:val="18"/>
          <w:szCs w:val="18"/>
        </w:rPr>
        <w:footnoteRef/>
      </w:r>
      <w:r w:rsidRPr="001C3654">
        <w:rPr>
          <w:sz w:val="18"/>
          <w:szCs w:val="18"/>
        </w:rPr>
        <w:t xml:space="preserve"> </w:t>
      </w:r>
      <w:r w:rsidRPr="001C3654">
        <w:rPr>
          <w:rFonts w:ascii="Calibri" w:hAnsi="Calibri"/>
          <w:sz w:val="18"/>
          <w:szCs w:val="18"/>
        </w:rPr>
        <w:t xml:space="preserve">Commonwealth of Australia, DFAT, </w:t>
      </w:r>
      <w:r w:rsidRPr="001C3654">
        <w:rPr>
          <w:rFonts w:ascii="Calibri" w:hAnsi="Calibri"/>
          <w:i/>
          <w:iCs/>
          <w:sz w:val="18"/>
          <w:szCs w:val="18"/>
        </w:rPr>
        <w:t xml:space="preserve">Australian aid: promoting prosperity, reducing poverty, enhancing stability, </w:t>
      </w:r>
      <w:r w:rsidRPr="001C3654">
        <w:rPr>
          <w:rFonts w:ascii="Calibri" w:hAnsi="Calibri"/>
          <w:iCs/>
          <w:sz w:val="18"/>
          <w:szCs w:val="18"/>
        </w:rPr>
        <w:t>June 2014</w:t>
      </w:r>
      <w:r w:rsidRPr="001C3654">
        <w:rPr>
          <w:rFonts w:ascii="Calibri" w:hAnsi="Calibri"/>
          <w:sz w:val="18"/>
          <w:szCs w:val="18"/>
        </w:rPr>
        <w:t>. p.2.</w:t>
      </w:r>
    </w:p>
  </w:footnote>
  <w:footnote w:id="59">
    <w:p w14:paraId="7596CB07" w14:textId="77777777" w:rsidR="002E0AD1" w:rsidRPr="001C3654" w:rsidRDefault="002E0AD1" w:rsidP="009A7A1A">
      <w:pPr>
        <w:pStyle w:val="FootnoteText"/>
        <w:rPr>
          <w:sz w:val="18"/>
          <w:szCs w:val="18"/>
        </w:rPr>
      </w:pPr>
      <w:r w:rsidRPr="001C3654">
        <w:rPr>
          <w:rStyle w:val="FootnoteReference"/>
          <w:sz w:val="18"/>
          <w:szCs w:val="18"/>
        </w:rPr>
        <w:footnoteRef/>
      </w:r>
      <w:r w:rsidRPr="001C3654">
        <w:rPr>
          <w:sz w:val="18"/>
          <w:szCs w:val="18"/>
        </w:rPr>
        <w:t xml:space="preserve"> For example see: 1) ODI’s review of the Governance for Growth Program in Vanuatu, Hadley and Tilley, December 2016; and 2) Background Paper, Development Leadership Program, </w:t>
      </w:r>
      <w:r w:rsidRPr="001C3654">
        <w:rPr>
          <w:i/>
          <w:sz w:val="18"/>
          <w:szCs w:val="18"/>
        </w:rPr>
        <w:t>Policy and Practice for Developmental Leaders, Elites and Coalitions The Evaluation of Politics and the Politics of Evaluation,</w:t>
      </w:r>
      <w:r w:rsidRPr="001C3654">
        <w:rPr>
          <w:sz w:val="18"/>
          <w:szCs w:val="18"/>
        </w:rPr>
        <w:t xml:space="preserve"> Chris Roche, Oxfam Australia Linda Kelly, Praxis Consulting August 2012</w:t>
      </w:r>
    </w:p>
  </w:footnote>
  <w:footnote w:id="60">
    <w:p w14:paraId="34F7B69E" w14:textId="77777777" w:rsidR="002E0AD1" w:rsidRPr="001C3654" w:rsidRDefault="002E0AD1">
      <w:pPr>
        <w:pStyle w:val="FootnoteText"/>
        <w:rPr>
          <w:sz w:val="18"/>
          <w:szCs w:val="18"/>
        </w:rPr>
      </w:pPr>
      <w:r w:rsidRPr="001C3654">
        <w:rPr>
          <w:rStyle w:val="FootnoteReference"/>
          <w:sz w:val="18"/>
          <w:szCs w:val="18"/>
        </w:rPr>
        <w:footnoteRef/>
      </w:r>
      <w:r w:rsidRPr="001C3654">
        <w:rPr>
          <w:sz w:val="18"/>
          <w:szCs w:val="18"/>
        </w:rPr>
        <w:t xml:space="preserve"> Evidenced from action research studies and stakeholder interviews.</w:t>
      </w:r>
    </w:p>
  </w:footnote>
  <w:footnote w:id="61">
    <w:p w14:paraId="1E25949B" w14:textId="77777777" w:rsidR="002E0AD1" w:rsidRPr="001C3654" w:rsidRDefault="002E0AD1" w:rsidP="001C3654">
      <w:pPr>
        <w:spacing w:after="0"/>
        <w:rPr>
          <w:sz w:val="18"/>
          <w:szCs w:val="18"/>
        </w:rPr>
      </w:pPr>
      <w:r w:rsidRPr="001C3654">
        <w:rPr>
          <w:rStyle w:val="FootnoteReference"/>
          <w:sz w:val="18"/>
          <w:szCs w:val="18"/>
        </w:rPr>
        <w:footnoteRef/>
      </w:r>
      <w:r w:rsidRPr="001C3654">
        <w:rPr>
          <w:sz w:val="18"/>
          <w:szCs w:val="18"/>
        </w:rPr>
        <w:t xml:space="preserve"> PLP3 withdrew support from Oxfam Vanuatu (2015); Leadership Vanuatu (2015) and the Solomon Islands Development Trust (December 2014)</w:t>
      </w:r>
    </w:p>
  </w:footnote>
  <w:footnote w:id="62">
    <w:p w14:paraId="22C2C38B" w14:textId="77777777" w:rsidR="002E0AD1" w:rsidRPr="001C3654" w:rsidRDefault="002E0AD1" w:rsidP="00275D22">
      <w:pPr>
        <w:pStyle w:val="FootnoteText"/>
        <w:rPr>
          <w:sz w:val="18"/>
          <w:szCs w:val="18"/>
        </w:rPr>
      </w:pPr>
      <w:r>
        <w:rPr>
          <w:rStyle w:val="FootnoteReference"/>
        </w:rPr>
        <w:footnoteRef/>
      </w:r>
      <w:r>
        <w:t xml:space="preserve"> </w:t>
      </w:r>
      <w:r w:rsidRPr="001C3654">
        <w:rPr>
          <w:sz w:val="18"/>
          <w:szCs w:val="18"/>
        </w:rPr>
        <w:t xml:space="preserve">For example, the forthcoming publications on </w:t>
      </w:r>
      <w:r w:rsidRPr="00F71987">
        <w:rPr>
          <w:sz w:val="18"/>
          <w:szCs w:val="18"/>
        </w:rPr>
        <w:t>PLP Coalitions and Network Mapping project (A. Craney, R. Davies, D. Husdon</w:t>
      </w:r>
      <w:r w:rsidRPr="00E20B40">
        <w:rPr>
          <w:sz w:val="18"/>
          <w:szCs w:val="18"/>
        </w:rPr>
        <w:t>) and the Green Growth Leaders’ Coalition (GGLC) Interim/Baseline Report (A Craney and D Hudson/ La Trobe DLP).</w:t>
      </w:r>
    </w:p>
  </w:footnote>
  <w:footnote w:id="63">
    <w:p w14:paraId="24D47F0B" w14:textId="77777777" w:rsidR="002E0AD1" w:rsidRPr="001C3654" w:rsidRDefault="002E0AD1">
      <w:pPr>
        <w:pStyle w:val="FootnoteText"/>
        <w:rPr>
          <w:sz w:val="18"/>
          <w:szCs w:val="18"/>
        </w:rPr>
      </w:pPr>
      <w:r w:rsidRPr="001C3654">
        <w:rPr>
          <w:rStyle w:val="FootnoteReference"/>
          <w:sz w:val="18"/>
          <w:szCs w:val="18"/>
        </w:rPr>
        <w:footnoteRef/>
      </w:r>
      <w:r w:rsidRPr="001C3654">
        <w:rPr>
          <w:sz w:val="18"/>
          <w:szCs w:val="18"/>
        </w:rPr>
        <w:t xml:space="preserve"> </w:t>
      </w:r>
      <w:r>
        <w:rPr>
          <w:sz w:val="18"/>
          <w:szCs w:val="18"/>
        </w:rPr>
        <w:t>See</w:t>
      </w:r>
      <w:r w:rsidRPr="001C3654">
        <w:rPr>
          <w:sz w:val="18"/>
          <w:szCs w:val="18"/>
        </w:rPr>
        <w:t xml:space="preserve"> research publications (see annex 7).</w:t>
      </w:r>
      <w:r>
        <w:rPr>
          <w:sz w:val="18"/>
          <w:szCs w:val="18"/>
        </w:rPr>
        <w:t xml:space="preserve"> A number of stakeholders suggested that PLP was beginning to 'hit its stride' in terms of research output, as well as maturing partnerships.</w:t>
      </w:r>
    </w:p>
  </w:footnote>
  <w:footnote w:id="64">
    <w:p w14:paraId="071A90C8" w14:textId="77777777" w:rsidR="002E0AD1" w:rsidRPr="001C3654" w:rsidRDefault="002E0AD1">
      <w:pPr>
        <w:pStyle w:val="FootnoteText"/>
        <w:rPr>
          <w:sz w:val="18"/>
          <w:szCs w:val="18"/>
        </w:rPr>
      </w:pPr>
      <w:r w:rsidRPr="001C3654">
        <w:rPr>
          <w:rStyle w:val="FootnoteReference"/>
          <w:sz w:val="18"/>
          <w:szCs w:val="18"/>
        </w:rPr>
        <w:footnoteRef/>
      </w:r>
      <w:r w:rsidRPr="001C3654">
        <w:rPr>
          <w:sz w:val="18"/>
          <w:szCs w:val="18"/>
        </w:rPr>
        <w:t xml:space="preserve"> Stakeholder interviews</w:t>
      </w:r>
      <w:r>
        <w:rPr>
          <w:sz w:val="18"/>
          <w:szCs w:val="18"/>
        </w:rPr>
        <w:t>. In particular, stakeholders frequently referred to PLP staff's willingness to listen, commitment and passion, and willingness to sit down together to brainstorm and reflect on possible pathways forward.</w:t>
      </w:r>
    </w:p>
  </w:footnote>
  <w:footnote w:id="65">
    <w:p w14:paraId="2130FC95" w14:textId="77777777" w:rsidR="002E0AD1" w:rsidRPr="001C3654" w:rsidRDefault="002E0AD1">
      <w:pPr>
        <w:pStyle w:val="FootnoteText"/>
        <w:rPr>
          <w:sz w:val="18"/>
          <w:szCs w:val="18"/>
        </w:rPr>
      </w:pPr>
      <w:r w:rsidRPr="001C3654">
        <w:rPr>
          <w:rStyle w:val="FootnoteReference"/>
          <w:sz w:val="18"/>
          <w:szCs w:val="18"/>
        </w:rPr>
        <w:footnoteRef/>
      </w:r>
      <w:r w:rsidRPr="001C3654">
        <w:rPr>
          <w:sz w:val="18"/>
          <w:szCs w:val="18"/>
        </w:rPr>
        <w:t xml:space="preserve"> Stakeholder consultations</w:t>
      </w:r>
    </w:p>
  </w:footnote>
  <w:footnote w:id="66">
    <w:p w14:paraId="6F56B53F" w14:textId="77777777" w:rsidR="002E0AD1" w:rsidRPr="001C3654" w:rsidRDefault="002E0AD1">
      <w:pPr>
        <w:pStyle w:val="FootnoteText"/>
        <w:rPr>
          <w:sz w:val="18"/>
          <w:szCs w:val="18"/>
        </w:rPr>
      </w:pPr>
      <w:r w:rsidRPr="001C3654">
        <w:rPr>
          <w:rStyle w:val="FootnoteReference"/>
          <w:sz w:val="18"/>
          <w:szCs w:val="18"/>
        </w:rPr>
        <w:footnoteRef/>
      </w:r>
      <w:r w:rsidRPr="001C3654">
        <w:rPr>
          <w:sz w:val="18"/>
          <w:szCs w:val="18"/>
        </w:rPr>
        <w:t xml:space="preserve"> Including: action research support for Green Growth Leaders’ Coalition (A. Craney and D. Hudson), Simbo for Change (L. Hoatson), Women in Shared Decision Making (B. Rousseau), and Tonga National Leadership Development Forum (H. Lee).</w:t>
      </w:r>
    </w:p>
  </w:footnote>
  <w:footnote w:id="67">
    <w:p w14:paraId="6C7418E9" w14:textId="77777777" w:rsidR="002E0AD1" w:rsidRPr="001C3654" w:rsidRDefault="002E0AD1">
      <w:pPr>
        <w:pStyle w:val="FootnoteText"/>
        <w:rPr>
          <w:sz w:val="18"/>
          <w:szCs w:val="18"/>
        </w:rPr>
      </w:pPr>
      <w:r w:rsidRPr="001C3654">
        <w:rPr>
          <w:rStyle w:val="FootnoteReference"/>
          <w:sz w:val="18"/>
          <w:szCs w:val="18"/>
        </w:rPr>
        <w:footnoteRef/>
      </w:r>
      <w:r w:rsidRPr="001C3654">
        <w:rPr>
          <w:sz w:val="18"/>
          <w:szCs w:val="18"/>
        </w:rPr>
        <w:t xml:space="preserve"> Numerous stakeholders referenced the value of PLP3-funded research and surveys that they had used to support policy advocacy. </w:t>
      </w:r>
    </w:p>
  </w:footnote>
  <w:footnote w:id="68">
    <w:p w14:paraId="3CEC998E" w14:textId="77777777" w:rsidR="002E0AD1" w:rsidRDefault="002E0AD1" w:rsidP="007A09AD">
      <w:pPr>
        <w:pStyle w:val="FootnoteText"/>
      </w:pPr>
      <w:r w:rsidRPr="001C3654">
        <w:rPr>
          <w:rStyle w:val="FootnoteReference"/>
          <w:sz w:val="18"/>
          <w:szCs w:val="18"/>
        </w:rPr>
        <w:footnoteRef/>
      </w:r>
      <w:r w:rsidRPr="001C3654">
        <w:rPr>
          <w:sz w:val="18"/>
          <w:szCs w:val="18"/>
        </w:rPr>
        <w:t xml:space="preserve"> Which DFAT also invests in through the Governance, Water and Fragility Branch.</w:t>
      </w:r>
    </w:p>
  </w:footnote>
  <w:footnote w:id="69">
    <w:p w14:paraId="5BCBC09D" w14:textId="77777777" w:rsidR="002E0AD1" w:rsidRPr="001C3654" w:rsidRDefault="002E0AD1">
      <w:pPr>
        <w:pStyle w:val="FootnoteText"/>
        <w:rPr>
          <w:sz w:val="18"/>
          <w:szCs w:val="18"/>
        </w:rPr>
      </w:pPr>
      <w:r w:rsidRPr="001C3654">
        <w:rPr>
          <w:rStyle w:val="FootnoteReference"/>
          <w:sz w:val="18"/>
          <w:szCs w:val="18"/>
        </w:rPr>
        <w:footnoteRef/>
      </w:r>
      <w:r w:rsidRPr="001C3654">
        <w:rPr>
          <w:sz w:val="18"/>
          <w:szCs w:val="18"/>
        </w:rPr>
        <w:t xml:space="preserve"> Stakeholder consultations. Numerous stakeholders highlighted the knowledge and advice of PLP staff as one of the things they valued most about PLP (alongside funding and flexibility).</w:t>
      </w:r>
    </w:p>
  </w:footnote>
  <w:footnote w:id="70">
    <w:p w14:paraId="32A933AF" w14:textId="77777777" w:rsidR="002E0AD1" w:rsidRPr="001C3654" w:rsidRDefault="002E0AD1">
      <w:pPr>
        <w:pStyle w:val="FootnoteText"/>
        <w:rPr>
          <w:sz w:val="18"/>
          <w:szCs w:val="18"/>
        </w:rPr>
      </w:pPr>
      <w:r w:rsidRPr="00FB0282">
        <w:rPr>
          <w:rStyle w:val="FootnoteReference"/>
          <w:sz w:val="18"/>
          <w:szCs w:val="18"/>
        </w:rPr>
        <w:footnoteRef/>
      </w:r>
      <w:r w:rsidRPr="00FB0282">
        <w:rPr>
          <w:sz w:val="18"/>
          <w:szCs w:val="18"/>
        </w:rPr>
        <w:t xml:space="preserve"> Stakeholder consultations and survey results. PLP's academic partners interviewed considered PLP's research output as highly relevant to their work, and considered PLP to be reasonably effective in producing the relevant knowledge.</w:t>
      </w:r>
    </w:p>
  </w:footnote>
  <w:footnote w:id="71">
    <w:p w14:paraId="20308297" w14:textId="77777777" w:rsidR="002E0AD1" w:rsidRPr="001C3654" w:rsidRDefault="002E0AD1">
      <w:pPr>
        <w:pStyle w:val="FootnoteText"/>
        <w:rPr>
          <w:sz w:val="18"/>
          <w:szCs w:val="18"/>
        </w:rPr>
      </w:pPr>
      <w:r w:rsidRPr="001C3654">
        <w:rPr>
          <w:rStyle w:val="FootnoteReference"/>
          <w:sz w:val="18"/>
          <w:szCs w:val="18"/>
        </w:rPr>
        <w:footnoteRef/>
      </w:r>
      <w:r w:rsidRPr="001C3654">
        <w:rPr>
          <w:sz w:val="18"/>
          <w:szCs w:val="18"/>
        </w:rPr>
        <w:t xml:space="preserve"> </w:t>
      </w:r>
      <w:r w:rsidRPr="001C3654">
        <w:rPr>
          <w:sz w:val="18"/>
          <w:szCs w:val="18"/>
          <w:lang w:val="en-US"/>
        </w:rPr>
        <w:t>Women's leadership; private sector leadership; future developmental leadership; political-bureaucratic leadership interface; community leadership and Melanesian leadership.</w:t>
      </w:r>
    </w:p>
  </w:footnote>
  <w:footnote w:id="72">
    <w:p w14:paraId="000E8F4F" w14:textId="77777777" w:rsidR="002E0AD1" w:rsidRPr="001C3654" w:rsidRDefault="002E0AD1" w:rsidP="009961F6">
      <w:pPr>
        <w:pStyle w:val="FootnoteText"/>
        <w:rPr>
          <w:sz w:val="18"/>
          <w:szCs w:val="18"/>
        </w:rPr>
      </w:pPr>
      <w:r w:rsidRPr="001C3654">
        <w:rPr>
          <w:rStyle w:val="FootnoteReference"/>
          <w:sz w:val="18"/>
          <w:szCs w:val="18"/>
        </w:rPr>
        <w:footnoteRef/>
      </w:r>
      <w:r w:rsidRPr="001C3654">
        <w:rPr>
          <w:sz w:val="18"/>
          <w:szCs w:val="18"/>
        </w:rPr>
        <w:t xml:space="preserve"> Noting nine research pieces published in May 2017 and June 2017.</w:t>
      </w:r>
    </w:p>
  </w:footnote>
  <w:footnote w:id="73">
    <w:p w14:paraId="499C82DF" w14:textId="77777777" w:rsidR="002E0AD1" w:rsidRDefault="002E0AD1" w:rsidP="001C3654">
      <w:pPr>
        <w:spacing w:after="0"/>
        <w:ind w:right="-346"/>
      </w:pPr>
      <w:r w:rsidRPr="001C3654">
        <w:rPr>
          <w:rStyle w:val="FootnoteReference"/>
          <w:sz w:val="18"/>
          <w:szCs w:val="18"/>
        </w:rPr>
        <w:footnoteRef/>
      </w:r>
      <w:r w:rsidRPr="001C3654">
        <w:rPr>
          <w:sz w:val="18"/>
          <w:szCs w:val="18"/>
        </w:rPr>
        <w:t xml:space="preserve"> PLP3 Narrative Report, Key Achievements (July 2014 to M</w:t>
      </w:r>
      <w:r>
        <w:rPr>
          <w:sz w:val="18"/>
          <w:szCs w:val="18"/>
        </w:rPr>
        <w:t>ay</w:t>
      </w:r>
      <w:r w:rsidRPr="001C3654">
        <w:rPr>
          <w:sz w:val="18"/>
          <w:szCs w:val="18"/>
        </w:rPr>
        <w:t xml:space="preserve"> 2017), June 2017</w:t>
      </w:r>
    </w:p>
  </w:footnote>
  <w:footnote w:id="74">
    <w:p w14:paraId="14556F32" w14:textId="77777777" w:rsidR="002E0AD1" w:rsidRPr="001C3654" w:rsidRDefault="002E0AD1">
      <w:pPr>
        <w:pStyle w:val="FootnoteText"/>
        <w:rPr>
          <w:sz w:val="18"/>
          <w:szCs w:val="18"/>
        </w:rPr>
      </w:pPr>
      <w:r w:rsidRPr="001C3654">
        <w:rPr>
          <w:rStyle w:val="FootnoteReference"/>
          <w:sz w:val="18"/>
          <w:szCs w:val="18"/>
        </w:rPr>
        <w:footnoteRef/>
      </w:r>
      <w:r w:rsidRPr="001C3654">
        <w:rPr>
          <w:sz w:val="18"/>
          <w:szCs w:val="18"/>
        </w:rPr>
        <w:t xml:space="preserve"> Stakeholder consultations. Several stakeholders made comments such as "The advice of PLP staff builds our confidence to engage at the provincial level" and "PLP is more than a donor. A donor gives money, but PLP is also giving us knowledge on the ground and tools to work with".</w:t>
      </w:r>
    </w:p>
  </w:footnote>
  <w:footnote w:id="75">
    <w:p w14:paraId="2C978B89" w14:textId="77777777" w:rsidR="002E0AD1" w:rsidRPr="001C3654" w:rsidRDefault="002E0AD1">
      <w:pPr>
        <w:pStyle w:val="FootnoteText"/>
        <w:rPr>
          <w:sz w:val="18"/>
          <w:szCs w:val="18"/>
        </w:rPr>
      </w:pPr>
      <w:r w:rsidRPr="001C3654">
        <w:rPr>
          <w:rStyle w:val="FootnoteReference"/>
          <w:sz w:val="18"/>
          <w:szCs w:val="18"/>
        </w:rPr>
        <w:footnoteRef/>
      </w:r>
      <w:r w:rsidRPr="001C3654">
        <w:rPr>
          <w:sz w:val="18"/>
          <w:szCs w:val="18"/>
        </w:rPr>
        <w:t xml:space="preserve"> Stakeholder consultations. A number of stakeholders made comments along the lines of "In the beginning PLP provided capacity building, forums to sit with other PLP partners to share learning etc., nowadays its more of a traditional funding model with an increased emphasis on demonstrating results."</w:t>
      </w:r>
    </w:p>
  </w:footnote>
  <w:footnote w:id="76">
    <w:p w14:paraId="4CD0CD5A" w14:textId="77777777" w:rsidR="002E0AD1" w:rsidRPr="001C3654" w:rsidRDefault="002E0AD1">
      <w:pPr>
        <w:pStyle w:val="FootnoteText"/>
        <w:rPr>
          <w:sz w:val="18"/>
          <w:szCs w:val="18"/>
        </w:rPr>
      </w:pPr>
      <w:r w:rsidRPr="001C3654">
        <w:rPr>
          <w:rStyle w:val="FootnoteReference"/>
          <w:sz w:val="18"/>
          <w:szCs w:val="18"/>
        </w:rPr>
        <w:footnoteRef/>
      </w:r>
      <w:r w:rsidRPr="001C3654">
        <w:rPr>
          <w:sz w:val="18"/>
          <w:szCs w:val="18"/>
        </w:rPr>
        <w:t xml:space="preserve"> Stakeholder consultations and survey.</w:t>
      </w:r>
    </w:p>
  </w:footnote>
  <w:footnote w:id="77">
    <w:p w14:paraId="0162D396" w14:textId="77777777" w:rsidR="002E0AD1" w:rsidRPr="001C3654" w:rsidRDefault="002E0AD1">
      <w:pPr>
        <w:pStyle w:val="FootnoteText"/>
        <w:rPr>
          <w:sz w:val="18"/>
          <w:szCs w:val="18"/>
        </w:rPr>
      </w:pPr>
      <w:r w:rsidRPr="001C3654">
        <w:rPr>
          <w:rStyle w:val="FootnoteReference"/>
          <w:sz w:val="18"/>
          <w:szCs w:val="18"/>
        </w:rPr>
        <w:footnoteRef/>
      </w:r>
      <w:r w:rsidRPr="001C3654">
        <w:rPr>
          <w:sz w:val="18"/>
          <w:szCs w:val="18"/>
        </w:rPr>
        <w:t xml:space="preserve"> See</w:t>
      </w:r>
      <w:r w:rsidRPr="00CD7DB5">
        <w:rPr>
          <w:sz w:val="18"/>
          <w:szCs w:val="18"/>
        </w:rPr>
        <w:t xml:space="preserve"> Independent Progress Report, Pacific Leadership Program, June 2012, page 2.</w:t>
      </w:r>
    </w:p>
  </w:footnote>
  <w:footnote w:id="78">
    <w:p w14:paraId="475BC575" w14:textId="77777777" w:rsidR="002E0AD1" w:rsidRDefault="002E0AD1">
      <w:pPr>
        <w:pStyle w:val="FootnoteText"/>
      </w:pPr>
      <w:r w:rsidRPr="001C3654">
        <w:rPr>
          <w:rStyle w:val="FootnoteReference"/>
          <w:sz w:val="18"/>
          <w:szCs w:val="18"/>
        </w:rPr>
        <w:footnoteRef/>
      </w:r>
      <w:r w:rsidRPr="001C3654">
        <w:rPr>
          <w:sz w:val="18"/>
          <w:szCs w:val="18"/>
        </w:rPr>
        <w:t xml:space="preserve"> Stakeholder consultations. Several stakeholders reported that PLP</w:t>
      </w:r>
      <w:r>
        <w:rPr>
          <w:sz w:val="18"/>
          <w:szCs w:val="18"/>
        </w:rPr>
        <w:t>3</w:t>
      </w:r>
      <w:r w:rsidRPr="001C3654">
        <w:rPr>
          <w:sz w:val="18"/>
          <w:szCs w:val="18"/>
        </w:rPr>
        <w:t xml:space="preserve"> at times seemed more interested in recording details of outputs than discussing how to turn outputs into transformational impact.</w:t>
      </w:r>
    </w:p>
  </w:footnote>
  <w:footnote w:id="79">
    <w:p w14:paraId="26B2FA8A" w14:textId="77777777" w:rsidR="002E0AD1" w:rsidRPr="001C3654" w:rsidRDefault="002E0AD1">
      <w:pPr>
        <w:pStyle w:val="FootnoteText"/>
        <w:rPr>
          <w:sz w:val="18"/>
          <w:szCs w:val="18"/>
        </w:rPr>
      </w:pPr>
      <w:r w:rsidRPr="001C3654">
        <w:rPr>
          <w:rStyle w:val="FootnoteReference"/>
          <w:sz w:val="18"/>
          <w:szCs w:val="18"/>
        </w:rPr>
        <w:footnoteRef/>
      </w:r>
      <w:r w:rsidRPr="001C3654">
        <w:rPr>
          <w:sz w:val="18"/>
          <w:szCs w:val="18"/>
        </w:rPr>
        <w:t xml:space="preserve"> This distinction between 'broadcasting' and 'strategic insertion' is articulated in the PLP Knowledge Dissemination Strategy (T Newton Cain, July 2015).</w:t>
      </w:r>
    </w:p>
  </w:footnote>
  <w:footnote w:id="80">
    <w:p w14:paraId="3B4247B1" w14:textId="77777777" w:rsidR="002E0AD1" w:rsidRPr="001C3654" w:rsidRDefault="002E0AD1">
      <w:pPr>
        <w:pStyle w:val="FootnoteText"/>
        <w:rPr>
          <w:sz w:val="18"/>
          <w:szCs w:val="18"/>
        </w:rPr>
      </w:pPr>
      <w:r w:rsidRPr="001C3654">
        <w:rPr>
          <w:rStyle w:val="FootnoteReference"/>
          <w:sz w:val="18"/>
          <w:szCs w:val="18"/>
        </w:rPr>
        <w:footnoteRef/>
      </w:r>
      <w:r w:rsidRPr="001C3654">
        <w:rPr>
          <w:sz w:val="18"/>
          <w:szCs w:val="18"/>
        </w:rPr>
        <w:t xml:space="preserve"> See PLP3 Annual Plan Year 3, page 26 and 27.</w:t>
      </w:r>
    </w:p>
  </w:footnote>
  <w:footnote w:id="81">
    <w:p w14:paraId="78C516AE" w14:textId="77777777" w:rsidR="002E0AD1" w:rsidRDefault="002E0AD1">
      <w:pPr>
        <w:pStyle w:val="FootnoteText"/>
      </w:pPr>
      <w:r w:rsidRPr="001C3654">
        <w:rPr>
          <w:rStyle w:val="FootnoteReference"/>
          <w:sz w:val="18"/>
          <w:szCs w:val="18"/>
        </w:rPr>
        <w:footnoteRef/>
      </w:r>
      <w:r w:rsidRPr="001C3654">
        <w:rPr>
          <w:sz w:val="18"/>
          <w:szCs w:val="18"/>
        </w:rPr>
        <w:t xml:space="preserve"> </w:t>
      </w:r>
      <w:r w:rsidRPr="00E20B40">
        <w:rPr>
          <w:sz w:val="18"/>
          <w:szCs w:val="18"/>
        </w:rPr>
        <w:t>Independent Progress Report, Pacific Leadership Program, June 2012, page 2.</w:t>
      </w:r>
    </w:p>
  </w:footnote>
  <w:footnote w:id="82">
    <w:p w14:paraId="3C04190E" w14:textId="77777777" w:rsidR="002E0AD1" w:rsidRDefault="002E0AD1">
      <w:pPr>
        <w:pStyle w:val="FootnoteText"/>
      </w:pPr>
      <w:r w:rsidRPr="00FB0282">
        <w:rPr>
          <w:rStyle w:val="FootnoteReference"/>
        </w:rPr>
        <w:footnoteRef/>
      </w:r>
      <w:r w:rsidRPr="00FB0282">
        <w:rPr>
          <w:rStyle w:val="FootnoteReference"/>
        </w:rPr>
        <w:t xml:space="preserve"> </w:t>
      </w:r>
      <w:r w:rsidRPr="001C3654">
        <w:rPr>
          <w:sz w:val="18"/>
          <w:szCs w:val="18"/>
        </w:rPr>
        <w:t xml:space="preserve">For example, PLP3’s support for community level advocacy through RRRT’s Pacific People Affecting Change program </w:t>
      </w:r>
      <w:r>
        <w:rPr>
          <w:sz w:val="18"/>
          <w:szCs w:val="18"/>
        </w:rPr>
        <w:t xml:space="preserve">appears to </w:t>
      </w:r>
      <w:r w:rsidRPr="001C3654">
        <w:rPr>
          <w:sz w:val="18"/>
          <w:szCs w:val="18"/>
        </w:rPr>
        <w:t xml:space="preserve">align with PLP3’s </w:t>
      </w:r>
      <w:r>
        <w:rPr>
          <w:sz w:val="18"/>
          <w:szCs w:val="18"/>
        </w:rPr>
        <w:t xml:space="preserve">core </w:t>
      </w:r>
      <w:r w:rsidRPr="001C3654">
        <w:rPr>
          <w:sz w:val="18"/>
          <w:szCs w:val="18"/>
        </w:rPr>
        <w:t>objective to support collective action; whereas PLP3's funding for RRRT’s People With a Disability Solomon Islands (PWDSI) did not appear to bring PLP's unique value-add</w:t>
      </w:r>
      <w:r>
        <w:rPr>
          <w:sz w:val="18"/>
          <w:szCs w:val="18"/>
        </w:rPr>
        <w:t>.</w:t>
      </w:r>
    </w:p>
  </w:footnote>
  <w:footnote w:id="83">
    <w:p w14:paraId="04421411" w14:textId="7098E6F6" w:rsidR="002E0AD1" w:rsidRPr="001C3654" w:rsidRDefault="002E0AD1" w:rsidP="007A09AD">
      <w:pPr>
        <w:pStyle w:val="FootnoteText"/>
        <w:rPr>
          <w:sz w:val="18"/>
          <w:szCs w:val="18"/>
        </w:rPr>
      </w:pPr>
      <w:r w:rsidRPr="001C3654">
        <w:rPr>
          <w:rStyle w:val="FootnoteReference"/>
          <w:sz w:val="18"/>
          <w:szCs w:val="18"/>
        </w:rPr>
        <w:footnoteRef/>
      </w:r>
      <w:r w:rsidRPr="001C3654">
        <w:rPr>
          <w:sz w:val="18"/>
          <w:szCs w:val="18"/>
        </w:rPr>
        <w:t xml:space="preserve"> See PLP Coalitions and Network Mapping project (A. Craney, R. Davies, D. </w:t>
      </w:r>
      <w:r w:rsidR="00FF4EC0" w:rsidRPr="001C3654">
        <w:rPr>
          <w:sz w:val="18"/>
          <w:szCs w:val="18"/>
        </w:rPr>
        <w:t>Hudson</w:t>
      </w:r>
      <w:r w:rsidRPr="001C3654">
        <w:rPr>
          <w:sz w:val="18"/>
          <w:szCs w:val="18"/>
        </w:rPr>
        <w:t>), forthcoming.</w:t>
      </w:r>
    </w:p>
  </w:footnote>
  <w:footnote w:id="84">
    <w:p w14:paraId="76088BD1" w14:textId="77777777" w:rsidR="002E0AD1" w:rsidRPr="001C3654" w:rsidRDefault="002E0AD1">
      <w:pPr>
        <w:pStyle w:val="FootnoteText"/>
        <w:rPr>
          <w:sz w:val="18"/>
          <w:szCs w:val="18"/>
        </w:rPr>
      </w:pPr>
      <w:r w:rsidRPr="001C3654">
        <w:rPr>
          <w:rStyle w:val="FootnoteReference"/>
          <w:sz w:val="18"/>
          <w:szCs w:val="18"/>
        </w:rPr>
        <w:footnoteRef/>
      </w:r>
      <w:r w:rsidRPr="001C3654">
        <w:rPr>
          <w:sz w:val="18"/>
          <w:szCs w:val="18"/>
        </w:rPr>
        <w:t xml:space="preserve"> </w:t>
      </w:r>
      <w:r w:rsidRPr="001C3654">
        <w:rPr>
          <w:rFonts w:cs="Arial"/>
          <w:color w:val="000000"/>
          <w:spacing w:val="2"/>
          <w:sz w:val="18"/>
          <w:szCs w:val="18"/>
          <w:shd w:val="clear" w:color="auto" w:fill="FFFFFF"/>
        </w:rPr>
        <w:t>The Pacific Horticultural and Agricultural Market Access (PHAMA).</w:t>
      </w:r>
      <w:r w:rsidRPr="001C3654">
        <w:rPr>
          <w:rStyle w:val="apple-converted-space"/>
          <w:rFonts w:ascii="Arial" w:hAnsi="Arial" w:cs="Arial"/>
          <w:color w:val="000000"/>
          <w:spacing w:val="2"/>
          <w:sz w:val="18"/>
          <w:szCs w:val="18"/>
          <w:shd w:val="clear" w:color="auto" w:fill="FFFFFF"/>
        </w:rPr>
        <w:t> </w:t>
      </w:r>
    </w:p>
  </w:footnote>
  <w:footnote w:id="85">
    <w:p w14:paraId="40E8C13E" w14:textId="77777777" w:rsidR="002E0AD1" w:rsidRPr="001C3654" w:rsidRDefault="002E0AD1">
      <w:pPr>
        <w:pStyle w:val="FootnoteText"/>
        <w:rPr>
          <w:sz w:val="18"/>
          <w:szCs w:val="18"/>
        </w:rPr>
      </w:pPr>
      <w:r w:rsidRPr="001C3654">
        <w:rPr>
          <w:rStyle w:val="FootnoteReference"/>
          <w:sz w:val="18"/>
          <w:szCs w:val="18"/>
        </w:rPr>
        <w:footnoteRef/>
      </w:r>
      <w:r w:rsidRPr="001C3654">
        <w:rPr>
          <w:sz w:val="18"/>
          <w:szCs w:val="18"/>
        </w:rPr>
        <w:t xml:space="preserve"> Evidence supported by stakeholder interviews; </w:t>
      </w:r>
      <w:r>
        <w:rPr>
          <w:sz w:val="18"/>
          <w:szCs w:val="18"/>
        </w:rPr>
        <w:t xml:space="preserve">program documentation; </w:t>
      </w:r>
      <w:r w:rsidRPr="001C3654">
        <w:rPr>
          <w:sz w:val="18"/>
          <w:szCs w:val="18"/>
        </w:rPr>
        <w:t>and research findings, including action research for Green Growth Leaders’ Coalition (A Craney and D Hudson)</w:t>
      </w:r>
    </w:p>
  </w:footnote>
  <w:footnote w:id="86">
    <w:p w14:paraId="3C4A4C27" w14:textId="77777777" w:rsidR="002E0AD1" w:rsidRDefault="002E0AD1">
      <w:pPr>
        <w:pStyle w:val="FootnoteText"/>
      </w:pPr>
      <w:r w:rsidRPr="001C3654">
        <w:rPr>
          <w:rStyle w:val="FootnoteReference"/>
          <w:sz w:val="18"/>
          <w:szCs w:val="18"/>
        </w:rPr>
        <w:footnoteRef/>
      </w:r>
      <w:r>
        <w:rPr>
          <w:sz w:val="18"/>
          <w:szCs w:val="18"/>
        </w:rPr>
        <w:t xml:space="preserve"> Stakeholder consultations</w:t>
      </w:r>
    </w:p>
  </w:footnote>
  <w:footnote w:id="87">
    <w:p w14:paraId="09584BD6" w14:textId="77777777" w:rsidR="002E0AD1" w:rsidRPr="001C3654" w:rsidRDefault="002E0AD1" w:rsidP="0082592F">
      <w:pPr>
        <w:spacing w:after="0"/>
        <w:rPr>
          <w:sz w:val="18"/>
          <w:szCs w:val="18"/>
        </w:rPr>
      </w:pPr>
      <w:r w:rsidRPr="001C3654">
        <w:rPr>
          <w:rStyle w:val="FootnoteReference"/>
          <w:sz w:val="18"/>
          <w:szCs w:val="18"/>
        </w:rPr>
        <w:footnoteRef/>
      </w:r>
      <w:r w:rsidRPr="001C3654">
        <w:rPr>
          <w:sz w:val="18"/>
          <w:szCs w:val="18"/>
        </w:rPr>
        <w:t xml:space="preserve"> </w:t>
      </w:r>
      <w:r w:rsidRPr="001C3654">
        <w:rPr>
          <w:sz w:val="18"/>
          <w:szCs w:val="18"/>
          <w:lang w:val="en-US"/>
        </w:rPr>
        <w:t xml:space="preserve">Stakeholders considered reform at the regional level, in general, to be more challenging than at the national and sub-national level. </w:t>
      </w:r>
    </w:p>
  </w:footnote>
  <w:footnote w:id="88">
    <w:p w14:paraId="1B621827" w14:textId="2B35C407" w:rsidR="002E0AD1" w:rsidRPr="00450B25" w:rsidRDefault="002E0AD1" w:rsidP="006933FB">
      <w:pPr>
        <w:pStyle w:val="FootnoteText"/>
        <w:rPr>
          <w:sz w:val="18"/>
          <w:szCs w:val="18"/>
        </w:rPr>
      </w:pPr>
      <w:r w:rsidRPr="00450B25">
        <w:rPr>
          <w:rStyle w:val="FootnoteReference"/>
          <w:sz w:val="18"/>
          <w:szCs w:val="18"/>
        </w:rPr>
        <w:footnoteRef/>
      </w:r>
      <w:r w:rsidRPr="00450B25">
        <w:rPr>
          <w:sz w:val="18"/>
          <w:szCs w:val="18"/>
        </w:rPr>
        <w:t xml:space="preserve"> </w:t>
      </w:r>
      <w:r w:rsidR="00E0089D">
        <w:rPr>
          <w:sz w:val="18"/>
          <w:szCs w:val="18"/>
        </w:rPr>
        <w:t>Evidence from s</w:t>
      </w:r>
      <w:r>
        <w:rPr>
          <w:sz w:val="18"/>
          <w:szCs w:val="18"/>
        </w:rPr>
        <w:t xml:space="preserve">takeholder consultations. </w:t>
      </w:r>
      <w:r w:rsidR="00E0089D">
        <w:rPr>
          <w:sz w:val="18"/>
          <w:szCs w:val="18"/>
        </w:rPr>
        <w:t>Note: r</w:t>
      </w:r>
      <w:r w:rsidRPr="00450B25">
        <w:rPr>
          <w:sz w:val="18"/>
          <w:szCs w:val="18"/>
        </w:rPr>
        <w:t>esearch on measuring the attribution between outcomes and donor</w:t>
      </w:r>
      <w:r w:rsidRPr="00CE099E">
        <w:rPr>
          <w:sz w:val="18"/>
          <w:szCs w:val="18"/>
        </w:rPr>
        <w:t xml:space="preserve"> inputs</w:t>
      </w:r>
      <w:r w:rsidRPr="00450B25">
        <w:rPr>
          <w:sz w:val="18"/>
          <w:szCs w:val="18"/>
        </w:rPr>
        <w:t xml:space="preserve"> is complex (see Roche and Kelly, DLP background paper, 2012). The evaluation team acknowledges that PLP’s support is one, albeit a significant one, of the many contributory factors in these examples.</w:t>
      </w:r>
    </w:p>
  </w:footnote>
  <w:footnote w:id="89">
    <w:p w14:paraId="1D45479E" w14:textId="77777777" w:rsidR="002E0AD1" w:rsidRPr="001C3654" w:rsidRDefault="002E0AD1">
      <w:pPr>
        <w:pStyle w:val="FootnoteText"/>
        <w:rPr>
          <w:sz w:val="18"/>
          <w:szCs w:val="18"/>
        </w:rPr>
      </w:pPr>
      <w:r w:rsidRPr="001C3654">
        <w:rPr>
          <w:rStyle w:val="FootnoteReference"/>
          <w:sz w:val="18"/>
          <w:szCs w:val="18"/>
        </w:rPr>
        <w:footnoteRef/>
      </w:r>
      <w:r w:rsidRPr="001C3654">
        <w:rPr>
          <w:sz w:val="18"/>
          <w:szCs w:val="18"/>
        </w:rPr>
        <w:t xml:space="preserve"> Stakeholder consultations. The most frequently cited differences were flexibility, and the time and willingness to listen and to advise as part of a two-way dialogue.</w:t>
      </w:r>
    </w:p>
  </w:footnote>
  <w:footnote w:id="90">
    <w:p w14:paraId="05D93BC3" w14:textId="77777777" w:rsidR="002E0AD1" w:rsidRDefault="002E0AD1">
      <w:pPr>
        <w:pStyle w:val="FootnoteText"/>
      </w:pPr>
      <w:r w:rsidRPr="001C3654">
        <w:rPr>
          <w:rStyle w:val="FootnoteReference"/>
          <w:sz w:val="18"/>
          <w:szCs w:val="18"/>
        </w:rPr>
        <w:footnoteRef/>
      </w:r>
      <w:r w:rsidRPr="001C3654">
        <w:rPr>
          <w:sz w:val="18"/>
          <w:szCs w:val="18"/>
        </w:rPr>
        <w:t xml:space="preserve"> The WISDM Coalition is a good example of this.</w:t>
      </w:r>
      <w:r>
        <w:t xml:space="preserve"> </w:t>
      </w:r>
    </w:p>
  </w:footnote>
  <w:footnote w:id="91">
    <w:p w14:paraId="79D666A0" w14:textId="77777777" w:rsidR="002E0AD1" w:rsidRPr="001C3654" w:rsidRDefault="002E0AD1" w:rsidP="007A09AD">
      <w:pPr>
        <w:pStyle w:val="FootnoteText"/>
        <w:rPr>
          <w:sz w:val="18"/>
          <w:szCs w:val="18"/>
        </w:rPr>
      </w:pPr>
      <w:r w:rsidRPr="001C3654">
        <w:rPr>
          <w:rStyle w:val="FootnoteReference"/>
          <w:sz w:val="18"/>
          <w:szCs w:val="18"/>
        </w:rPr>
        <w:footnoteRef/>
      </w:r>
      <w:r w:rsidRPr="001C3654">
        <w:rPr>
          <w:sz w:val="18"/>
          <w:szCs w:val="18"/>
        </w:rPr>
        <w:t xml:space="preserve"> PLP3 Design Document, p.9</w:t>
      </w:r>
    </w:p>
  </w:footnote>
  <w:footnote w:id="92">
    <w:p w14:paraId="312C1092" w14:textId="107759E5" w:rsidR="002E0AD1" w:rsidRPr="001C3654" w:rsidRDefault="002E0AD1" w:rsidP="00C757C9">
      <w:pPr>
        <w:pStyle w:val="Default"/>
        <w:rPr>
          <w:rFonts w:asciiTheme="minorHAnsi" w:hAnsiTheme="minorHAnsi"/>
          <w:sz w:val="18"/>
          <w:szCs w:val="18"/>
        </w:rPr>
      </w:pPr>
      <w:r w:rsidRPr="001C3654">
        <w:rPr>
          <w:rStyle w:val="FootnoteReference"/>
          <w:rFonts w:asciiTheme="minorHAnsi" w:hAnsiTheme="minorHAnsi"/>
          <w:sz w:val="18"/>
          <w:szCs w:val="18"/>
        </w:rPr>
        <w:footnoteRef/>
      </w:r>
      <w:r w:rsidRPr="001C3654">
        <w:rPr>
          <w:rFonts w:asciiTheme="minorHAnsi" w:hAnsiTheme="minorHAnsi"/>
          <w:sz w:val="18"/>
          <w:szCs w:val="18"/>
        </w:rPr>
        <w:t xml:space="preserve"> </w:t>
      </w:r>
      <w:r w:rsidRPr="001C3654">
        <w:rPr>
          <w:rFonts w:asciiTheme="minorHAnsi" w:hAnsiTheme="minorHAnsi" w:cstheme="minorBidi"/>
          <w:color w:val="auto"/>
          <w:sz w:val="18"/>
          <w:szCs w:val="18"/>
          <w:lang w:val="en-AU"/>
        </w:rPr>
        <w:t>Interesting to note that ODI, as part of its review of the Vanuatu Governance for Growth program,</w:t>
      </w:r>
      <w:r w:rsidR="00E0089D">
        <w:rPr>
          <w:rFonts w:asciiTheme="minorHAnsi" w:hAnsiTheme="minorHAnsi" w:cstheme="minorBidi"/>
          <w:color w:val="auto"/>
          <w:sz w:val="18"/>
          <w:szCs w:val="18"/>
          <w:lang w:val="en-AU"/>
        </w:rPr>
        <w:t xml:space="preserve"> recommend that the new design</w:t>
      </w:r>
      <w:r w:rsidRPr="001C3654">
        <w:rPr>
          <w:rFonts w:asciiTheme="minorHAnsi" w:hAnsiTheme="minorHAnsi" w:cstheme="minorBidi"/>
          <w:color w:val="auto"/>
          <w:sz w:val="18"/>
          <w:szCs w:val="18"/>
        </w:rPr>
        <w:t xml:space="preserve"> clearly </w:t>
      </w:r>
      <w:r w:rsidR="00E0089D">
        <w:rPr>
          <w:rFonts w:asciiTheme="minorHAnsi" w:hAnsiTheme="minorHAnsi" w:cstheme="minorBidi"/>
          <w:color w:val="auto"/>
          <w:sz w:val="18"/>
          <w:szCs w:val="18"/>
        </w:rPr>
        <w:t xml:space="preserve">state </w:t>
      </w:r>
      <w:r w:rsidRPr="001C3654">
        <w:rPr>
          <w:rFonts w:asciiTheme="minorHAnsi" w:hAnsiTheme="minorHAnsi" w:cstheme="minorBidi"/>
          <w:color w:val="auto"/>
          <w:sz w:val="18"/>
          <w:szCs w:val="18"/>
        </w:rPr>
        <w:t>upfront that the program “is not expected to support more than two to three transformational reforms over the next five years.”</w:t>
      </w:r>
    </w:p>
  </w:footnote>
  <w:footnote w:id="93">
    <w:p w14:paraId="0284820A" w14:textId="77777777" w:rsidR="002E0AD1" w:rsidRPr="001C3654" w:rsidRDefault="002E0AD1">
      <w:pPr>
        <w:pStyle w:val="FootnoteText"/>
        <w:rPr>
          <w:sz w:val="18"/>
          <w:szCs w:val="18"/>
        </w:rPr>
      </w:pPr>
      <w:r w:rsidRPr="001C3654">
        <w:rPr>
          <w:rStyle w:val="FootnoteReference"/>
          <w:sz w:val="18"/>
          <w:szCs w:val="18"/>
        </w:rPr>
        <w:footnoteRef/>
      </w:r>
      <w:r w:rsidRPr="001C3654">
        <w:rPr>
          <w:sz w:val="18"/>
          <w:szCs w:val="18"/>
        </w:rPr>
        <w:t xml:space="preserve"> See for example: </w:t>
      </w:r>
      <w:r w:rsidRPr="001C3654">
        <w:rPr>
          <w:rFonts w:eastAsia="Calibri" w:cs="Times New Roman"/>
          <w:sz w:val="18"/>
          <w:szCs w:val="18"/>
        </w:rPr>
        <w:t>http://www.dlprog.org/research/gendered-thinking-and-working-politically.php</w:t>
      </w:r>
    </w:p>
  </w:footnote>
  <w:footnote w:id="94">
    <w:p w14:paraId="307D7AAC" w14:textId="77777777" w:rsidR="002E0AD1" w:rsidRPr="001C3654" w:rsidRDefault="002E0AD1">
      <w:pPr>
        <w:pStyle w:val="FootnoteText"/>
        <w:rPr>
          <w:sz w:val="18"/>
          <w:szCs w:val="18"/>
        </w:rPr>
      </w:pPr>
      <w:r w:rsidRPr="001C3654">
        <w:rPr>
          <w:rStyle w:val="FootnoteReference"/>
          <w:sz w:val="18"/>
          <w:szCs w:val="18"/>
        </w:rPr>
        <w:footnoteRef/>
      </w:r>
      <w:r w:rsidRPr="001C3654">
        <w:rPr>
          <w:sz w:val="18"/>
          <w:szCs w:val="18"/>
        </w:rPr>
        <w:t xml:space="preserve"> Stakeholder interviews and field observations</w:t>
      </w:r>
    </w:p>
  </w:footnote>
  <w:footnote w:id="95">
    <w:p w14:paraId="58D7E570" w14:textId="77777777" w:rsidR="002E0AD1" w:rsidRPr="001C3654" w:rsidRDefault="002E0AD1">
      <w:pPr>
        <w:pStyle w:val="FootnoteText"/>
        <w:rPr>
          <w:sz w:val="18"/>
          <w:szCs w:val="18"/>
        </w:rPr>
      </w:pPr>
      <w:r w:rsidRPr="001C3654">
        <w:rPr>
          <w:rStyle w:val="FootnoteReference"/>
          <w:sz w:val="18"/>
          <w:szCs w:val="18"/>
        </w:rPr>
        <w:footnoteRef/>
      </w:r>
      <w:r w:rsidRPr="001C3654">
        <w:rPr>
          <w:sz w:val="18"/>
          <w:szCs w:val="18"/>
        </w:rPr>
        <w:t xml:space="preserve"> See for example: PLP Annual Report Year 1 and Year 2.</w:t>
      </w:r>
    </w:p>
  </w:footnote>
  <w:footnote w:id="96">
    <w:p w14:paraId="6D89D912" w14:textId="77777777" w:rsidR="002E0AD1" w:rsidRPr="001C3654" w:rsidRDefault="002E0AD1" w:rsidP="009F56CE">
      <w:pPr>
        <w:spacing w:after="0"/>
        <w:rPr>
          <w:sz w:val="18"/>
          <w:szCs w:val="18"/>
        </w:rPr>
      </w:pPr>
      <w:r w:rsidRPr="001C3654">
        <w:rPr>
          <w:rStyle w:val="FootnoteReference"/>
          <w:sz w:val="18"/>
          <w:szCs w:val="18"/>
        </w:rPr>
        <w:footnoteRef/>
      </w:r>
      <w:r w:rsidRPr="001C3654">
        <w:rPr>
          <w:sz w:val="18"/>
          <w:szCs w:val="18"/>
        </w:rPr>
        <w:t xml:space="preserve"> </w:t>
      </w:r>
      <w:r w:rsidRPr="001C3654">
        <w:rPr>
          <w:rFonts w:cstheme="minorHAnsi"/>
          <w:color w:val="000000" w:themeColor="text1"/>
          <w:sz w:val="18"/>
          <w:szCs w:val="18"/>
        </w:rPr>
        <w:t>Pacific Regional Leadership Initiative, DRAFT Evaluation Report. March 2015 – May 2017, Laura Holbeck, June 2017</w:t>
      </w:r>
    </w:p>
  </w:footnote>
  <w:footnote w:id="97">
    <w:p w14:paraId="5C596A25" w14:textId="77777777" w:rsidR="002E0AD1" w:rsidRDefault="002E0AD1" w:rsidP="009F56CE">
      <w:pPr>
        <w:pStyle w:val="FootnoteText"/>
      </w:pPr>
      <w:r w:rsidRPr="001C3654">
        <w:rPr>
          <w:rStyle w:val="FootnoteReference"/>
          <w:sz w:val="18"/>
          <w:szCs w:val="18"/>
        </w:rPr>
        <w:footnoteRef/>
      </w:r>
      <w:r w:rsidRPr="001C3654">
        <w:rPr>
          <w:sz w:val="18"/>
          <w:szCs w:val="18"/>
        </w:rPr>
        <w:t xml:space="preserve"> Stakeholder interview and research pieces such as: Case Study Analysis of the Campaign to Introduce CEDAW in Tonga (O Ward and J Hudson / University College London); Action Research on ‘Simbo for Change’ Women’s Economic Empowerment Pilot Initiative – ongoing from Year 1 (L Hoatson / La Trobe); and Action Research on Vanuatu Women in Shared Decision Making – ongoing from Year 1 (B Rousseau / La Trobe).</w:t>
      </w:r>
    </w:p>
  </w:footnote>
  <w:footnote w:id="98">
    <w:p w14:paraId="6D49E8C7" w14:textId="77777777" w:rsidR="002E0AD1" w:rsidRPr="001C3654" w:rsidRDefault="002E0AD1" w:rsidP="00D3246B">
      <w:pPr>
        <w:pStyle w:val="FootnoteText"/>
        <w:rPr>
          <w:sz w:val="18"/>
          <w:szCs w:val="18"/>
        </w:rPr>
      </w:pPr>
      <w:r w:rsidRPr="001C3654">
        <w:rPr>
          <w:rStyle w:val="FootnoteReference"/>
          <w:sz w:val="18"/>
          <w:szCs w:val="18"/>
        </w:rPr>
        <w:footnoteRef/>
      </w:r>
      <w:r w:rsidRPr="001C3654">
        <w:rPr>
          <w:sz w:val="18"/>
          <w:szCs w:val="18"/>
        </w:rPr>
        <w:t xml:space="preserve"> This total amount is over three years. This funding came from the Vanuatu bilateral program as part of its funding for Pacific Women. </w:t>
      </w:r>
    </w:p>
  </w:footnote>
  <w:footnote w:id="99">
    <w:p w14:paraId="4774043E" w14:textId="77777777" w:rsidR="002E0AD1" w:rsidRDefault="002E0AD1" w:rsidP="00C55A16">
      <w:pPr>
        <w:pStyle w:val="FootnoteText"/>
      </w:pPr>
      <w:r w:rsidRPr="001C3654">
        <w:rPr>
          <w:rStyle w:val="FootnoteReference"/>
          <w:sz w:val="18"/>
          <w:szCs w:val="18"/>
        </w:rPr>
        <w:footnoteRef/>
      </w:r>
      <w:r w:rsidRPr="001C3654">
        <w:rPr>
          <w:sz w:val="18"/>
          <w:szCs w:val="18"/>
        </w:rPr>
        <w:t xml:space="preserve"> See annual reports, Total Expenditure by Budget Category.</w:t>
      </w:r>
    </w:p>
  </w:footnote>
  <w:footnote w:id="100">
    <w:p w14:paraId="388F8DE5" w14:textId="60B4A7A5" w:rsidR="001F349A" w:rsidRDefault="001F349A">
      <w:pPr>
        <w:pStyle w:val="FootnoteText"/>
      </w:pPr>
      <w:r>
        <w:rPr>
          <w:rStyle w:val="FootnoteReference"/>
        </w:rPr>
        <w:footnoteRef/>
      </w:r>
      <w:r>
        <w:t xml:space="preserve"> </w:t>
      </w:r>
      <w:r w:rsidRPr="001F349A">
        <w:rPr>
          <w:sz w:val="18"/>
          <w:szCs w:val="18"/>
        </w:rPr>
        <w:t>See</w:t>
      </w:r>
      <w:r>
        <w:t xml:space="preserve"> </w:t>
      </w:r>
      <w:r w:rsidRPr="001C3654">
        <w:rPr>
          <w:sz w:val="18"/>
          <w:szCs w:val="18"/>
        </w:rPr>
        <w:t>The Asia Foundation, Working Politically in Practice Series, Case Study Number 5, “</w:t>
      </w:r>
      <w:r w:rsidRPr="001C3654">
        <w:rPr>
          <w:i/>
          <w:sz w:val="18"/>
          <w:szCs w:val="18"/>
        </w:rPr>
        <w:t>Reflections on Implementing Politically Informed, Search</w:t>
      </w:r>
      <w:r>
        <w:rPr>
          <w:i/>
          <w:sz w:val="18"/>
          <w:szCs w:val="18"/>
        </w:rPr>
        <w:t>ing</w:t>
      </w:r>
      <w:r w:rsidRPr="001C3654">
        <w:rPr>
          <w:i/>
          <w:sz w:val="18"/>
          <w:szCs w:val="18"/>
        </w:rPr>
        <w:t xml:space="preserve"> programs: Lessons for Aid Practitioners and Policy Markers</w:t>
      </w:r>
      <w:r w:rsidRPr="001C3654">
        <w:rPr>
          <w:sz w:val="18"/>
          <w:szCs w:val="18"/>
        </w:rPr>
        <w:t>”</w:t>
      </w:r>
      <w:r>
        <w:rPr>
          <w:sz w:val="18"/>
          <w:szCs w:val="18"/>
        </w:rPr>
        <w:t>, page 18.</w:t>
      </w:r>
    </w:p>
  </w:footnote>
  <w:footnote w:id="101">
    <w:p w14:paraId="48D3925E" w14:textId="77777777" w:rsidR="002E0AD1" w:rsidRPr="001C3654" w:rsidRDefault="002E0AD1" w:rsidP="00C55A16">
      <w:pPr>
        <w:pStyle w:val="FootnoteText"/>
        <w:rPr>
          <w:sz w:val="18"/>
          <w:szCs w:val="18"/>
        </w:rPr>
      </w:pPr>
      <w:r w:rsidRPr="001C3654">
        <w:rPr>
          <w:rStyle w:val="FootnoteReference"/>
          <w:sz w:val="18"/>
          <w:szCs w:val="18"/>
        </w:rPr>
        <w:footnoteRef/>
      </w:r>
      <w:r w:rsidRPr="001C3654">
        <w:rPr>
          <w:sz w:val="18"/>
          <w:szCs w:val="18"/>
        </w:rPr>
        <w:t xml:space="preserve"> </w:t>
      </w:r>
      <w:hyperlink r:id="rId2" w:history="1">
        <w:r w:rsidRPr="001C3654">
          <w:rPr>
            <w:rStyle w:val="Hyperlink"/>
            <w:rFonts w:ascii="Calibri" w:hAnsi="Calibri" w:cs="SourceSansPro-Regular"/>
            <w:i/>
            <w:sz w:val="18"/>
            <w:szCs w:val="18"/>
            <w:lang w:val="en-US"/>
          </w:rPr>
          <w:t>http://dfat.gov.au/aid/who-we-work-with/value-for-money-principles/Pages/value-for-money-principles.aspx</w:t>
        </w:r>
      </w:hyperlink>
    </w:p>
  </w:footnote>
  <w:footnote w:id="102">
    <w:p w14:paraId="77A303CD" w14:textId="77777777" w:rsidR="002E0AD1" w:rsidRPr="001C3654" w:rsidRDefault="002E0AD1" w:rsidP="00C55A16">
      <w:pPr>
        <w:pStyle w:val="FootnoteText"/>
        <w:rPr>
          <w:sz w:val="18"/>
          <w:szCs w:val="18"/>
        </w:rPr>
      </w:pPr>
      <w:r w:rsidRPr="001C3654">
        <w:rPr>
          <w:rStyle w:val="FootnoteReference"/>
          <w:sz w:val="18"/>
          <w:szCs w:val="18"/>
        </w:rPr>
        <w:footnoteRef/>
      </w:r>
      <w:r w:rsidRPr="001C3654">
        <w:rPr>
          <w:sz w:val="18"/>
          <w:szCs w:val="18"/>
        </w:rPr>
        <w:t xml:space="preserve"> PLP 2015-16 Annual Report, p.44 and PLP 2014-15 Annual Report pp. 36-37.</w:t>
      </w:r>
    </w:p>
  </w:footnote>
  <w:footnote w:id="103">
    <w:p w14:paraId="43D5BFA4" w14:textId="77777777" w:rsidR="002E0AD1" w:rsidRPr="001C3654" w:rsidRDefault="002E0AD1">
      <w:pPr>
        <w:pStyle w:val="FootnoteText"/>
        <w:rPr>
          <w:sz w:val="18"/>
          <w:szCs w:val="18"/>
        </w:rPr>
      </w:pPr>
      <w:r w:rsidRPr="001C3654">
        <w:rPr>
          <w:rStyle w:val="FootnoteReference"/>
          <w:sz w:val="18"/>
          <w:szCs w:val="18"/>
        </w:rPr>
        <w:footnoteRef/>
      </w:r>
      <w:r w:rsidRPr="001C3654">
        <w:rPr>
          <w:sz w:val="18"/>
          <w:szCs w:val="18"/>
        </w:rPr>
        <w:t xml:space="preserve"> 2017 Annual Quality Check of the Pacific Leadership Program (Phase 3)</w:t>
      </w:r>
    </w:p>
  </w:footnote>
  <w:footnote w:id="104">
    <w:p w14:paraId="7A25CD44" w14:textId="77777777" w:rsidR="002E0AD1" w:rsidRDefault="002E0AD1">
      <w:pPr>
        <w:pStyle w:val="FootnoteText"/>
      </w:pPr>
      <w:r w:rsidRPr="001C3654">
        <w:rPr>
          <w:rStyle w:val="FootnoteReference"/>
          <w:sz w:val="18"/>
          <w:szCs w:val="18"/>
        </w:rPr>
        <w:footnoteRef/>
      </w:r>
      <w:r w:rsidRPr="001C3654">
        <w:rPr>
          <w:sz w:val="18"/>
          <w:szCs w:val="18"/>
        </w:rPr>
        <w:t xml:space="preserve"> Stakeholder consultations.</w:t>
      </w:r>
    </w:p>
  </w:footnote>
  <w:footnote w:id="105">
    <w:p w14:paraId="1740AFFA" w14:textId="77777777" w:rsidR="002E0AD1" w:rsidRPr="00FB0282" w:rsidRDefault="002E0AD1">
      <w:pPr>
        <w:pStyle w:val="FootnoteText"/>
        <w:rPr>
          <w:sz w:val="18"/>
          <w:szCs w:val="18"/>
        </w:rPr>
      </w:pPr>
      <w:r w:rsidRPr="00FB0282">
        <w:rPr>
          <w:rStyle w:val="FootnoteReference"/>
          <w:sz w:val="18"/>
          <w:szCs w:val="18"/>
        </w:rPr>
        <w:footnoteRef/>
      </w:r>
      <w:r w:rsidRPr="00FB0282">
        <w:rPr>
          <w:sz w:val="18"/>
          <w:szCs w:val="18"/>
        </w:rPr>
        <w:t xml:space="preserve"> </w:t>
      </w:r>
      <w:r w:rsidRPr="00FB0282">
        <w:rPr>
          <w:rFonts w:eastAsia="Calibri" w:cs="Times New Roman"/>
          <w:sz w:val="18"/>
          <w:szCs w:val="18"/>
        </w:rPr>
        <w:t>For further information see the box on PIPSO above, especially the funding graph</w:t>
      </w:r>
      <w:r>
        <w:rPr>
          <w:rFonts w:eastAsia="Calibri" w:cs="Times New Roman"/>
          <w:sz w:val="18"/>
          <w:szCs w:val="18"/>
        </w:rPr>
        <w:t>.</w:t>
      </w:r>
    </w:p>
  </w:footnote>
  <w:footnote w:id="106">
    <w:p w14:paraId="27ABD07B" w14:textId="1CBCA53C" w:rsidR="002E0AD1" w:rsidRDefault="002E0AD1">
      <w:pPr>
        <w:pStyle w:val="FootnoteText"/>
      </w:pPr>
      <w:r>
        <w:rPr>
          <w:rStyle w:val="FootnoteReference"/>
        </w:rPr>
        <w:footnoteRef/>
      </w:r>
      <w:r>
        <w:t xml:space="preserve"> </w:t>
      </w:r>
      <w:r w:rsidR="00FF4EC0" w:rsidRPr="009F4233">
        <w:rPr>
          <w:sz w:val="18"/>
          <w:szCs w:val="18"/>
        </w:rPr>
        <w:t>Helen Lee, TNLDF Completion Report 2017, May 2017</w:t>
      </w:r>
    </w:p>
  </w:footnote>
  <w:footnote w:id="107">
    <w:p w14:paraId="0569BD2D" w14:textId="77777777" w:rsidR="002E0AD1" w:rsidRPr="00746FE5" w:rsidRDefault="002E0AD1">
      <w:pPr>
        <w:pStyle w:val="FootnoteText"/>
        <w:rPr>
          <w:sz w:val="18"/>
          <w:szCs w:val="18"/>
        </w:rPr>
      </w:pPr>
      <w:r w:rsidRPr="00746FE5">
        <w:rPr>
          <w:rStyle w:val="FootnoteReference"/>
          <w:sz w:val="18"/>
          <w:szCs w:val="18"/>
        </w:rPr>
        <w:footnoteRef/>
      </w:r>
      <w:r w:rsidRPr="00746FE5">
        <w:rPr>
          <w:sz w:val="18"/>
          <w:szCs w:val="18"/>
        </w:rPr>
        <w:t xml:space="preserve"> Stakeholder consultations, including with the Provincial Government at the ministerial level.</w:t>
      </w:r>
    </w:p>
  </w:footnote>
  <w:footnote w:id="108">
    <w:p w14:paraId="448B2D8E" w14:textId="31859144" w:rsidR="002E0AD1" w:rsidRPr="001C3654" w:rsidRDefault="002E0AD1">
      <w:pPr>
        <w:pStyle w:val="FootnoteText"/>
        <w:rPr>
          <w:sz w:val="18"/>
          <w:szCs w:val="18"/>
        </w:rPr>
      </w:pPr>
      <w:r w:rsidRPr="001C3654">
        <w:rPr>
          <w:rStyle w:val="FootnoteReference"/>
          <w:sz w:val="18"/>
          <w:szCs w:val="18"/>
        </w:rPr>
        <w:footnoteRef/>
      </w:r>
      <w:r w:rsidRPr="001C3654">
        <w:rPr>
          <w:sz w:val="18"/>
          <w:szCs w:val="18"/>
        </w:rPr>
        <w:t xml:space="preserve"> </w:t>
      </w:r>
      <w:r>
        <w:rPr>
          <w:sz w:val="18"/>
          <w:szCs w:val="18"/>
        </w:rPr>
        <w:t>Stakeholder consultations. Note, a future t</w:t>
      </w:r>
      <w:r w:rsidR="00746FE5">
        <w:rPr>
          <w:sz w:val="18"/>
          <w:szCs w:val="18"/>
        </w:rPr>
        <w:t>racer study</w:t>
      </w:r>
      <w:r w:rsidRPr="001C3654">
        <w:rPr>
          <w:sz w:val="18"/>
          <w:szCs w:val="18"/>
        </w:rPr>
        <w:t xml:space="preserve"> could offer evidence of impact. </w:t>
      </w:r>
    </w:p>
  </w:footnote>
  <w:footnote w:id="109">
    <w:p w14:paraId="2A5F81FF" w14:textId="349E0CAC" w:rsidR="002E0AD1" w:rsidRPr="001C3654" w:rsidRDefault="002E0AD1" w:rsidP="00030FA4">
      <w:pPr>
        <w:spacing w:before="120"/>
        <w:rPr>
          <w:sz w:val="18"/>
          <w:szCs w:val="18"/>
        </w:rPr>
      </w:pPr>
      <w:r w:rsidRPr="001C3654">
        <w:rPr>
          <w:rStyle w:val="FootnoteReference"/>
          <w:sz w:val="18"/>
          <w:szCs w:val="18"/>
        </w:rPr>
        <w:footnoteRef/>
      </w:r>
      <w:r w:rsidRPr="001C3654">
        <w:rPr>
          <w:sz w:val="18"/>
          <w:szCs w:val="18"/>
        </w:rPr>
        <w:t xml:space="preserve"> The current contract for the delivery of PLP</w:t>
      </w:r>
      <w:r w:rsidR="00A9092C">
        <w:rPr>
          <w:sz w:val="18"/>
          <w:szCs w:val="18"/>
        </w:rPr>
        <w:t>3</w:t>
      </w:r>
      <w:r w:rsidRPr="001C3654">
        <w:rPr>
          <w:sz w:val="18"/>
          <w:szCs w:val="18"/>
        </w:rPr>
        <w:t xml:space="preserve"> has an option to extend it for two years. At the time of this review, DFAT has extended the contract for 6 months, until December 2017.</w:t>
      </w:r>
    </w:p>
    <w:p w14:paraId="2D0ACC36" w14:textId="77777777" w:rsidR="002E0AD1" w:rsidRDefault="002E0AD1">
      <w:pPr>
        <w:pStyle w:val="FootnoteText"/>
      </w:pPr>
    </w:p>
  </w:footnote>
  <w:footnote w:id="110">
    <w:p w14:paraId="1248EC6A" w14:textId="77777777" w:rsidR="002E0AD1" w:rsidRDefault="002E0AD1" w:rsidP="005844C8">
      <w:pPr>
        <w:pStyle w:val="FootnoteText"/>
      </w:pPr>
      <w:r>
        <w:rPr>
          <w:rStyle w:val="FootnoteReference"/>
        </w:rPr>
        <w:footnoteRef/>
      </w:r>
      <w:r>
        <w:t xml:space="preserve"> The evaluation team acknowledges the importance of other determinants including financial and human resources and any shift in the policy context.</w:t>
      </w:r>
    </w:p>
  </w:footnote>
  <w:footnote w:id="111">
    <w:p w14:paraId="12A26C36" w14:textId="77777777" w:rsidR="002E0AD1" w:rsidRPr="001C3654" w:rsidRDefault="002E0AD1" w:rsidP="00C757C9">
      <w:pPr>
        <w:pStyle w:val="FootnoteText"/>
        <w:rPr>
          <w:sz w:val="18"/>
          <w:szCs w:val="18"/>
        </w:rPr>
      </w:pPr>
      <w:r w:rsidRPr="001C3654">
        <w:rPr>
          <w:rStyle w:val="FootnoteReference"/>
          <w:sz w:val="18"/>
          <w:szCs w:val="18"/>
        </w:rPr>
        <w:footnoteRef/>
      </w:r>
      <w:r w:rsidRPr="001C3654">
        <w:rPr>
          <w:sz w:val="18"/>
          <w:szCs w:val="18"/>
        </w:rPr>
        <w:t xml:space="preserve"> PLP Coalitions and Network Mapping project (A. Craney, R. Davies, D. Husdon)</w:t>
      </w:r>
    </w:p>
  </w:footnote>
  <w:footnote w:id="112">
    <w:p w14:paraId="7C1E14F4" w14:textId="77777777" w:rsidR="002E0AD1" w:rsidRPr="001C3654" w:rsidRDefault="002E0AD1" w:rsidP="00C757C9">
      <w:pPr>
        <w:pStyle w:val="FootnoteText"/>
        <w:rPr>
          <w:sz w:val="18"/>
          <w:szCs w:val="18"/>
        </w:rPr>
      </w:pPr>
      <w:r w:rsidRPr="001C3654">
        <w:rPr>
          <w:rStyle w:val="FootnoteReference"/>
          <w:sz w:val="18"/>
          <w:szCs w:val="18"/>
        </w:rPr>
        <w:footnoteRef/>
      </w:r>
      <w:r w:rsidRPr="001C3654">
        <w:rPr>
          <w:sz w:val="18"/>
          <w:szCs w:val="18"/>
        </w:rPr>
        <w:t xml:space="preserve"> The Green Growth Leaders’ Coalition (GGLC) Interim/Baseline Report – will be tabled at 2017 GGLC Leaders’ retreat and then made publicly available (A Craney and D Hudson/ La Trobe DLP).</w:t>
      </w:r>
    </w:p>
  </w:footnote>
  <w:footnote w:id="113">
    <w:p w14:paraId="2916BD78" w14:textId="77777777" w:rsidR="002E0AD1" w:rsidRDefault="002E0AD1" w:rsidP="00C757C9">
      <w:pPr>
        <w:pStyle w:val="FootnoteText"/>
      </w:pPr>
      <w:r w:rsidRPr="001C3654">
        <w:rPr>
          <w:rStyle w:val="FootnoteReference"/>
          <w:sz w:val="18"/>
          <w:szCs w:val="18"/>
        </w:rPr>
        <w:footnoteRef/>
      </w:r>
      <w:r w:rsidRPr="001C3654">
        <w:rPr>
          <w:sz w:val="18"/>
          <w:szCs w:val="18"/>
        </w:rPr>
        <w:t xml:space="preserve"> </w:t>
      </w:r>
      <w:r w:rsidRPr="001C3654">
        <w:rPr>
          <w:i/>
          <w:sz w:val="18"/>
          <w:szCs w:val="18"/>
        </w:rPr>
        <w:t>Coalitions for Change in the Pacific: A comparative analysis of PLP’s action-research case studies</w:t>
      </w:r>
      <w:r w:rsidRPr="001C3654">
        <w:rPr>
          <w:sz w:val="18"/>
          <w:szCs w:val="18"/>
        </w:rPr>
        <w:t xml:space="preserve"> / Report and Policy Brief (L Denney and R McLaren); and </w:t>
      </w:r>
      <w:r w:rsidRPr="001C3654">
        <w:rPr>
          <w:i/>
          <w:sz w:val="18"/>
          <w:szCs w:val="18"/>
        </w:rPr>
        <w:t>The History of PLP in a Changing World</w:t>
      </w:r>
      <w:r w:rsidRPr="001C3654">
        <w:rPr>
          <w:sz w:val="18"/>
          <w:szCs w:val="18"/>
        </w:rPr>
        <w:t xml:space="preserve"> / report and Policy Brief (D Rhodes).</w:t>
      </w:r>
    </w:p>
  </w:footnote>
  <w:footnote w:id="114">
    <w:p w14:paraId="686F5C90" w14:textId="77777777" w:rsidR="002E0AD1" w:rsidRDefault="002E0AD1" w:rsidP="00CC3A01">
      <w:pPr>
        <w:pStyle w:val="FootnoteText"/>
      </w:pPr>
      <w:r>
        <w:rPr>
          <w:rStyle w:val="FootnoteReference"/>
        </w:rPr>
        <w:footnoteRef/>
      </w:r>
      <w:r>
        <w:t xml:space="preserve"> As per the DAC evaluation definition: “Sustainability is concerned with measuring whether the benefits of an activity are likely to continue after donor funding has been withdrawn.”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03AC8" w14:textId="77777777" w:rsidR="00566595" w:rsidRDefault="005665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402F3" w14:textId="77777777" w:rsidR="00566595" w:rsidRDefault="005665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9AF18" w14:textId="77777777" w:rsidR="00566595" w:rsidRDefault="00566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A5477"/>
    <w:multiLevelType w:val="hybridMultilevel"/>
    <w:tmpl w:val="5C5A43AA"/>
    <w:lvl w:ilvl="0" w:tplc="0C090001">
      <w:start w:val="1"/>
      <w:numFmt w:val="bullet"/>
      <w:lvlText w:val=""/>
      <w:lvlJc w:val="left"/>
      <w:pPr>
        <w:ind w:left="720" w:hanging="360"/>
      </w:pPr>
      <w:rPr>
        <w:rFonts w:ascii="Symbol" w:hAnsi="Symbol" w:hint="default"/>
        <w:color w:val="CF5D2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240F65"/>
    <w:multiLevelType w:val="hybridMultilevel"/>
    <w:tmpl w:val="9ACAB36E"/>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15:restartNumberingAfterBreak="0">
    <w:nsid w:val="0E2422A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74105E"/>
    <w:multiLevelType w:val="hybridMultilevel"/>
    <w:tmpl w:val="89ACF286"/>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40C4340"/>
    <w:multiLevelType w:val="hybridMultilevel"/>
    <w:tmpl w:val="62444966"/>
    <w:lvl w:ilvl="0" w:tplc="0C090001">
      <w:start w:val="1"/>
      <w:numFmt w:val="bullet"/>
      <w:lvlText w:val=""/>
      <w:lvlJc w:val="left"/>
      <w:pPr>
        <w:ind w:left="1080" w:hanging="360"/>
      </w:pPr>
      <w:rPr>
        <w:rFonts w:ascii="Symbol" w:hAnsi="Symbol" w:hint="default"/>
        <w:color w:val="CF5D27"/>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5CE2598"/>
    <w:multiLevelType w:val="hybridMultilevel"/>
    <w:tmpl w:val="CB4A4D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4A7A04"/>
    <w:multiLevelType w:val="hybridMultilevel"/>
    <w:tmpl w:val="F78A1C4A"/>
    <w:lvl w:ilvl="0" w:tplc="1A9E637C">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545BF0"/>
    <w:multiLevelType w:val="hybridMultilevel"/>
    <w:tmpl w:val="7B04E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4A51F6"/>
    <w:multiLevelType w:val="multilevel"/>
    <w:tmpl w:val="3B1638D0"/>
    <w:lvl w:ilvl="0">
      <w:start w:val="1"/>
      <w:numFmt w:val="bullet"/>
      <w:lvlText w:val=""/>
      <w:lvlJc w:val="left"/>
      <w:pPr>
        <w:ind w:left="0" w:firstLine="0"/>
      </w:pPr>
      <w:rPr>
        <w:rFonts w:ascii="Symbol" w:hAnsi="Symbol" w:hint="default"/>
        <w:color w:val="CF5D27"/>
      </w:rPr>
    </w:lvl>
    <w:lvl w:ilvl="1">
      <w:start w:val="1"/>
      <w:numFmt w:val="bullet"/>
      <w:lvlText w:val=""/>
      <w:lvlJc w:val="left"/>
      <w:pPr>
        <w:ind w:left="792" w:hanging="432"/>
      </w:pPr>
      <w:rPr>
        <w:rFonts w:ascii="Symbol" w:hAnsi="Symbol" w:hint="default"/>
        <w:color w:val="CF5D2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AE6311E"/>
    <w:multiLevelType w:val="hybridMultilevel"/>
    <w:tmpl w:val="BD78493A"/>
    <w:lvl w:ilvl="0" w:tplc="64B04A88">
      <w:start w:val="1"/>
      <w:numFmt w:val="decimal"/>
      <w:lvlText w:val="%1."/>
      <w:lvlJc w:val="left"/>
      <w:pPr>
        <w:ind w:left="360" w:hanging="360"/>
      </w:pPr>
      <w:rPr>
        <w:rFonts w:hint="default"/>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D586DA2"/>
    <w:multiLevelType w:val="hybridMultilevel"/>
    <w:tmpl w:val="EF6823AA"/>
    <w:lvl w:ilvl="0" w:tplc="00D8E126">
      <w:numFmt w:val="bullet"/>
      <w:lvlText w:val="-"/>
      <w:lvlJc w:val="left"/>
      <w:pPr>
        <w:ind w:left="410" w:hanging="360"/>
      </w:pPr>
      <w:rPr>
        <w:rFonts w:ascii="Calibri" w:eastAsiaTheme="minorHAnsi" w:hAnsi="Calibri" w:cs="Calibri"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11" w15:restartNumberingAfterBreak="0">
    <w:nsid w:val="1D851CCB"/>
    <w:multiLevelType w:val="hybridMultilevel"/>
    <w:tmpl w:val="36C6C3FA"/>
    <w:lvl w:ilvl="0" w:tplc="F9AA8370">
      <w:start w:val="1"/>
      <w:numFmt w:val="bullet"/>
      <w:pStyle w:val="PIFSbulletlis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0255349"/>
    <w:multiLevelType w:val="hybridMultilevel"/>
    <w:tmpl w:val="988CC47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37E4D17"/>
    <w:multiLevelType w:val="multilevel"/>
    <w:tmpl w:val="3FEE1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6B5D8A"/>
    <w:multiLevelType w:val="hybridMultilevel"/>
    <w:tmpl w:val="89ACF286"/>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255F6FBE"/>
    <w:multiLevelType w:val="hybridMultilevel"/>
    <w:tmpl w:val="BBB6D4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83F3B4D"/>
    <w:multiLevelType w:val="hybridMultilevel"/>
    <w:tmpl w:val="8F4011C8"/>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2BA058EF"/>
    <w:multiLevelType w:val="hybridMultilevel"/>
    <w:tmpl w:val="2EEC741A"/>
    <w:lvl w:ilvl="0" w:tplc="0C090001">
      <w:start w:val="1"/>
      <w:numFmt w:val="bullet"/>
      <w:lvlText w:val=""/>
      <w:lvlJc w:val="left"/>
      <w:pPr>
        <w:ind w:left="720" w:hanging="360"/>
      </w:pPr>
      <w:rPr>
        <w:rFonts w:ascii="Symbol" w:hAnsi="Symbol" w:hint="default"/>
        <w:color w:val="CF5D2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9B45B6"/>
    <w:multiLevelType w:val="multilevel"/>
    <w:tmpl w:val="F1FAC6C2"/>
    <w:lvl w:ilvl="0">
      <w:start w:val="1"/>
      <w:numFmt w:val="decimal"/>
      <w:pStyle w:val="Heading2"/>
      <w:lvlText w:val="%1."/>
      <w:lvlJc w:val="left"/>
      <w:pPr>
        <w:ind w:left="432" w:hanging="432"/>
      </w:pPr>
      <w:rPr>
        <w:rFonts w:hint="default"/>
      </w:rPr>
    </w:lvl>
    <w:lvl w:ilvl="1">
      <w:start w:val="1"/>
      <w:numFmt w:val="decimal"/>
      <w:pStyle w:val="STANumberedheading2"/>
      <w:lvlText w:val="%1.%2."/>
      <w:lvlJc w:val="left"/>
      <w:pPr>
        <w:ind w:left="426" w:firstLine="0"/>
      </w:pPr>
      <w:rPr>
        <w:rFonts w:hint="default"/>
        <w:b/>
      </w:rPr>
    </w:lvl>
    <w:lvl w:ilvl="2">
      <w:start w:val="1"/>
      <w:numFmt w:val="decimal"/>
      <w:pStyle w:val="SDANumbered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2DC811AF"/>
    <w:multiLevelType w:val="hybridMultilevel"/>
    <w:tmpl w:val="B046E00E"/>
    <w:lvl w:ilvl="0" w:tplc="0E86A314">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511B1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1373F11"/>
    <w:multiLevelType w:val="multilevel"/>
    <w:tmpl w:val="A384B056"/>
    <w:lvl w:ilvl="0">
      <w:start w:val="1"/>
      <w:numFmt w:val="decimal"/>
      <w:lvlText w:val="%1."/>
      <w:lvlJc w:val="left"/>
      <w:pPr>
        <w:ind w:left="0" w:firstLine="0"/>
      </w:pPr>
      <w:rPr>
        <w:rFonts w:hint="default"/>
      </w:rPr>
    </w:lvl>
    <w:lvl w:ilvl="1">
      <w:start w:val="1"/>
      <w:numFmt w:val="decimal"/>
      <w:lvlText w:val="%1.%2."/>
      <w:lvlJc w:val="left"/>
      <w:pPr>
        <w:ind w:left="357" w:firstLine="0"/>
      </w:pPr>
      <w:rPr>
        <w:rFonts w:hint="default"/>
      </w:rPr>
    </w:lvl>
    <w:lvl w:ilvl="2">
      <w:start w:val="1"/>
      <w:numFmt w:val="decimal"/>
      <w:lvlText w:val="%1.%2.%3."/>
      <w:lvlJc w:val="left"/>
      <w:pPr>
        <w:ind w:left="714" w:firstLine="0"/>
      </w:pPr>
      <w:rPr>
        <w:rFonts w:hint="default"/>
      </w:rPr>
    </w:lvl>
    <w:lvl w:ilvl="3">
      <w:start w:val="1"/>
      <w:numFmt w:val="decimal"/>
      <w:lvlText w:val="%1.%2.%3.%4."/>
      <w:lvlJc w:val="left"/>
      <w:pPr>
        <w:ind w:left="1071" w:firstLine="0"/>
      </w:pPr>
      <w:rPr>
        <w:rFonts w:hint="default"/>
      </w:rPr>
    </w:lvl>
    <w:lvl w:ilvl="4">
      <w:start w:val="1"/>
      <w:numFmt w:val="decimal"/>
      <w:lvlText w:val="%1.%2.%3.%4.%5."/>
      <w:lvlJc w:val="left"/>
      <w:pPr>
        <w:ind w:left="1428" w:firstLine="0"/>
      </w:pPr>
      <w:rPr>
        <w:rFonts w:hint="default"/>
      </w:rPr>
    </w:lvl>
    <w:lvl w:ilvl="5">
      <w:start w:val="1"/>
      <w:numFmt w:val="decimal"/>
      <w:lvlText w:val="%1.%2.%3.%4.%5.%6."/>
      <w:lvlJc w:val="left"/>
      <w:pPr>
        <w:ind w:left="1785" w:firstLine="0"/>
      </w:pPr>
      <w:rPr>
        <w:rFonts w:hint="default"/>
      </w:rPr>
    </w:lvl>
    <w:lvl w:ilvl="6">
      <w:start w:val="1"/>
      <w:numFmt w:val="decimal"/>
      <w:lvlText w:val="%1.%2.%3.%4.%5.%6.%7."/>
      <w:lvlJc w:val="left"/>
      <w:pPr>
        <w:ind w:left="2142" w:firstLine="0"/>
      </w:pPr>
      <w:rPr>
        <w:rFonts w:hint="default"/>
      </w:rPr>
    </w:lvl>
    <w:lvl w:ilvl="7">
      <w:start w:val="1"/>
      <w:numFmt w:val="decimal"/>
      <w:lvlText w:val="%1.%2.%3.%4.%5.%6.%7.%8."/>
      <w:lvlJc w:val="left"/>
      <w:pPr>
        <w:ind w:left="2499" w:firstLine="0"/>
      </w:pPr>
      <w:rPr>
        <w:rFonts w:hint="default"/>
      </w:rPr>
    </w:lvl>
    <w:lvl w:ilvl="8">
      <w:start w:val="1"/>
      <w:numFmt w:val="decimal"/>
      <w:lvlText w:val="%1.%2.%3.%4.%5.%6.%7.%8.%9."/>
      <w:lvlJc w:val="left"/>
      <w:pPr>
        <w:ind w:left="2856" w:firstLine="0"/>
      </w:pPr>
      <w:rPr>
        <w:rFonts w:hint="default"/>
      </w:rPr>
    </w:lvl>
  </w:abstractNum>
  <w:abstractNum w:abstractNumId="22" w15:restartNumberingAfterBreak="0">
    <w:nsid w:val="31B53177"/>
    <w:multiLevelType w:val="hybridMultilevel"/>
    <w:tmpl w:val="C778CE36"/>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b w:val="0"/>
        <w:color w:val="CF5D27"/>
      </w:rPr>
    </w:lvl>
    <w:lvl w:ilvl="2" w:tplc="0A76A360">
      <w:start w:val="1"/>
      <w:numFmt w:val="bullet"/>
      <w:lvlText w:val="-"/>
      <w:lvlJc w:val="left"/>
      <w:pPr>
        <w:ind w:left="1980" w:hanging="360"/>
      </w:pPr>
      <w:rPr>
        <w:rFonts w:ascii="Calibri" w:eastAsia="Calibri" w:hAnsi="Calibri" w:cs="Calibri"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57B0066"/>
    <w:multiLevelType w:val="multilevel"/>
    <w:tmpl w:val="343A1C3A"/>
    <w:lvl w:ilvl="0">
      <w:start w:val="1"/>
      <w:numFmt w:val="decimal"/>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66E6554"/>
    <w:multiLevelType w:val="multilevel"/>
    <w:tmpl w:val="0EE6F302"/>
    <w:lvl w:ilvl="0">
      <w:start w:val="1"/>
      <w:numFmt w:val="decimal"/>
      <w:lvlText w:val="%1."/>
      <w:lvlJc w:val="left"/>
      <w:pPr>
        <w:ind w:left="720" w:firstLine="0"/>
      </w:pPr>
      <w:rPr>
        <w:rFonts w:hint="default"/>
      </w:rPr>
    </w:lvl>
    <w:lvl w:ilvl="1">
      <w:start w:val="1"/>
      <w:numFmt w:val="bullet"/>
      <w:lvlText w:val=""/>
      <w:lvlJc w:val="left"/>
      <w:pPr>
        <w:ind w:left="1512" w:hanging="432"/>
      </w:pPr>
      <w:rPr>
        <w:rFonts w:ascii="Symbol" w:hAnsi="Symbol" w:hint="default"/>
        <w:color w:val="CF5D27"/>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5" w15:restartNumberingAfterBreak="0">
    <w:nsid w:val="37C24012"/>
    <w:multiLevelType w:val="hybridMultilevel"/>
    <w:tmpl w:val="839A4F84"/>
    <w:lvl w:ilvl="0" w:tplc="0C090001">
      <w:start w:val="1"/>
      <w:numFmt w:val="bullet"/>
      <w:lvlText w:val=""/>
      <w:lvlJc w:val="left"/>
      <w:pPr>
        <w:ind w:left="786" w:hanging="360"/>
      </w:pPr>
      <w:rPr>
        <w:rFonts w:ascii="Symbol" w:hAnsi="Symbol" w:hint="default"/>
        <w:color w:val="CF5D27"/>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6" w15:restartNumberingAfterBreak="0">
    <w:nsid w:val="3B52786F"/>
    <w:multiLevelType w:val="hybridMultilevel"/>
    <w:tmpl w:val="3C5E6220"/>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3E90590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F0C709C"/>
    <w:multiLevelType w:val="hybridMultilevel"/>
    <w:tmpl w:val="9FA294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400244C5"/>
    <w:multiLevelType w:val="hybridMultilevel"/>
    <w:tmpl w:val="DDD60AFE"/>
    <w:lvl w:ilvl="0" w:tplc="0C090001">
      <w:start w:val="1"/>
      <w:numFmt w:val="bullet"/>
      <w:lvlText w:val=""/>
      <w:lvlJc w:val="left"/>
      <w:pPr>
        <w:ind w:left="720" w:hanging="360"/>
      </w:pPr>
      <w:rPr>
        <w:rFonts w:ascii="Symbol" w:hAnsi="Symbol" w:hint="default"/>
        <w:color w:val="CF5D2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4A831F0"/>
    <w:multiLevelType w:val="hybridMultilevel"/>
    <w:tmpl w:val="AB3CA228"/>
    <w:lvl w:ilvl="0" w:tplc="8EB8D58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B6474ED"/>
    <w:multiLevelType w:val="hybridMultilevel"/>
    <w:tmpl w:val="89ACF286"/>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4CB463F6"/>
    <w:multiLevelType w:val="hybridMultilevel"/>
    <w:tmpl w:val="40F683AA"/>
    <w:lvl w:ilvl="0" w:tplc="0C090001">
      <w:start w:val="1"/>
      <w:numFmt w:val="bullet"/>
      <w:lvlText w:val=""/>
      <w:lvlJc w:val="left"/>
      <w:pPr>
        <w:ind w:left="1080" w:hanging="720"/>
      </w:pPr>
      <w:rPr>
        <w:rFonts w:ascii="Symbol" w:hAnsi="Symbol" w:hint="default"/>
        <w:color w:val="CF5D2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DBF5CE0"/>
    <w:multiLevelType w:val="hybridMultilevel"/>
    <w:tmpl w:val="AACCDDEA"/>
    <w:lvl w:ilvl="0" w:tplc="0C090001">
      <w:start w:val="1"/>
      <w:numFmt w:val="bullet"/>
      <w:lvlText w:val=""/>
      <w:lvlJc w:val="left"/>
      <w:pPr>
        <w:ind w:left="720" w:hanging="360"/>
      </w:pPr>
      <w:rPr>
        <w:rFonts w:ascii="Symbol" w:hAnsi="Symbol" w:hint="default"/>
        <w:color w:val="CF5D27"/>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F8972EF"/>
    <w:multiLevelType w:val="hybridMultilevel"/>
    <w:tmpl w:val="319EE11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52A70CCF"/>
    <w:multiLevelType w:val="hybridMultilevel"/>
    <w:tmpl w:val="4210F02C"/>
    <w:lvl w:ilvl="0" w:tplc="0C090001">
      <w:start w:val="1"/>
      <w:numFmt w:val="bullet"/>
      <w:lvlText w:val=""/>
      <w:lvlJc w:val="left"/>
      <w:pPr>
        <w:ind w:left="1080" w:hanging="360"/>
      </w:pPr>
      <w:rPr>
        <w:rFonts w:ascii="Symbol" w:hAnsi="Symbol" w:hint="default"/>
        <w:color w:val="CF5D27"/>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539537D8"/>
    <w:multiLevelType w:val="hybridMultilevel"/>
    <w:tmpl w:val="0FD6F368"/>
    <w:lvl w:ilvl="0" w:tplc="0C090001">
      <w:start w:val="1"/>
      <w:numFmt w:val="bullet"/>
      <w:lvlText w:val=""/>
      <w:lvlJc w:val="left"/>
      <w:pPr>
        <w:ind w:left="720" w:hanging="360"/>
      </w:pPr>
      <w:rPr>
        <w:rFonts w:ascii="Symbol" w:hAnsi="Symbol" w:hint="default"/>
        <w:color w:val="CF5D2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3D31F41"/>
    <w:multiLevelType w:val="hybridMultilevel"/>
    <w:tmpl w:val="A38EFFA0"/>
    <w:lvl w:ilvl="0" w:tplc="0C09000F">
      <w:start w:val="1"/>
      <w:numFmt w:val="decimal"/>
      <w:lvlText w:val="%1."/>
      <w:lvlJc w:val="left"/>
      <w:pPr>
        <w:ind w:left="360" w:hanging="360"/>
      </w:pPr>
      <w:rPr>
        <w:rFonts w:hint="default"/>
      </w:rPr>
    </w:lvl>
    <w:lvl w:ilvl="1" w:tplc="42587C28">
      <w:start w:val="1"/>
      <w:numFmt w:val="lowerLetter"/>
      <w:lvlText w:val="%2."/>
      <w:lvlJc w:val="left"/>
      <w:pPr>
        <w:ind w:left="1080" w:hanging="360"/>
      </w:pPr>
      <w:rPr>
        <w:b w:val="0"/>
      </w:rPr>
    </w:lvl>
    <w:lvl w:ilvl="2" w:tplc="0A76A360">
      <w:start w:val="1"/>
      <w:numFmt w:val="bullet"/>
      <w:lvlText w:val="-"/>
      <w:lvlJc w:val="left"/>
      <w:pPr>
        <w:ind w:left="1980" w:hanging="360"/>
      </w:pPr>
      <w:rPr>
        <w:rFonts w:ascii="Calibri" w:eastAsia="Calibri" w:hAnsi="Calibri" w:cs="Calibri"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553B0BEF"/>
    <w:multiLevelType w:val="hybridMultilevel"/>
    <w:tmpl w:val="BDC01040"/>
    <w:lvl w:ilvl="0" w:tplc="D158C132">
      <w:start w:val="1"/>
      <w:numFmt w:val="decimal"/>
      <w:pStyle w:val="PIFSheading1"/>
      <w:lvlText w:val="%1."/>
      <w:lvlJc w:val="left"/>
      <w:pPr>
        <w:tabs>
          <w:tab w:val="num" w:pos="720"/>
        </w:tabs>
        <w:ind w:left="720" w:hanging="360"/>
      </w:pPr>
      <w:rPr>
        <w:b/>
        <w:sz w:val="28"/>
        <w:szCs w:val="28"/>
      </w:rPr>
    </w:lvl>
    <w:lvl w:ilvl="1" w:tplc="6AB2B6FE">
      <w:start w:val="1"/>
      <w:numFmt w:val="bullet"/>
      <w:lvlText w:val="o"/>
      <w:lvlJc w:val="left"/>
      <w:pPr>
        <w:tabs>
          <w:tab w:val="num" w:pos="1440"/>
        </w:tabs>
        <w:ind w:left="1440" w:hanging="360"/>
      </w:pPr>
      <w:rPr>
        <w:rFonts w:ascii="Courier New" w:hAnsi="Courier New" w:cs="Courier New" w:hint="default"/>
        <w:b/>
        <w:sz w:val="22"/>
        <w:szCs w:val="22"/>
      </w:rPr>
    </w:lvl>
    <w:lvl w:ilvl="2" w:tplc="04090001">
      <w:start w:val="1"/>
      <w:numFmt w:val="bullet"/>
      <w:lvlText w:val=""/>
      <w:lvlJc w:val="left"/>
      <w:pPr>
        <w:tabs>
          <w:tab w:val="num" w:pos="1440"/>
        </w:tabs>
        <w:ind w:left="1440" w:hanging="360"/>
      </w:pPr>
      <w:rPr>
        <w:rFonts w:ascii="Symbol" w:hAnsi="Symbol" w:hint="default"/>
        <w:b/>
        <w:sz w:val="28"/>
        <w:szCs w:val="2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98D3095"/>
    <w:multiLevelType w:val="hybridMultilevel"/>
    <w:tmpl w:val="08C02270"/>
    <w:lvl w:ilvl="0" w:tplc="40B26C2A">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A18094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DC7709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E3A0F87"/>
    <w:multiLevelType w:val="singleLevel"/>
    <w:tmpl w:val="CFD227FE"/>
    <w:lvl w:ilvl="0">
      <w:start w:val="2"/>
      <w:numFmt w:val="decimal"/>
      <w:pStyle w:val="AfterFirstPara"/>
      <w:lvlText w:val="%1."/>
      <w:lvlJc w:val="left"/>
      <w:pPr>
        <w:tabs>
          <w:tab w:val="num" w:pos="567"/>
        </w:tabs>
        <w:ind w:left="0" w:firstLine="0"/>
      </w:pPr>
      <w:rPr>
        <w:rFonts w:hint="default"/>
      </w:rPr>
    </w:lvl>
  </w:abstractNum>
  <w:abstractNum w:abstractNumId="43" w15:restartNumberingAfterBreak="0">
    <w:nsid w:val="6016064D"/>
    <w:multiLevelType w:val="multilevel"/>
    <w:tmpl w:val="E5268C34"/>
    <w:lvl w:ilvl="0">
      <w:start w:val="1"/>
      <w:numFmt w:val="bullet"/>
      <w:pStyle w:val="ListBullet"/>
      <w:lvlText w:val="&gt;"/>
      <w:lvlJc w:val="left"/>
      <w:pPr>
        <w:tabs>
          <w:tab w:val="num" w:pos="426"/>
        </w:tabs>
        <w:ind w:left="426" w:hanging="284"/>
      </w:pPr>
      <w:rPr>
        <w:rFonts w:ascii="Helvetica" w:hAnsi="Helvetica" w:hint="default"/>
        <w:b w:val="0"/>
        <w:i w:val="0"/>
        <w:color w:val="auto"/>
        <w:sz w:val="20"/>
      </w:rPr>
    </w:lvl>
    <w:lvl w:ilvl="1">
      <w:start w:val="1"/>
      <w:numFmt w:val="bullet"/>
      <w:lvlText w:val="-"/>
      <w:lvlJc w:val="left"/>
      <w:pPr>
        <w:tabs>
          <w:tab w:val="num" w:pos="567"/>
        </w:tabs>
        <w:ind w:left="567" w:hanging="283"/>
      </w:pPr>
      <w:rPr>
        <w:rFonts w:ascii="Courier" w:hAnsi="Courier" w:hint="default"/>
        <w:color w:val="auto"/>
        <w:sz w:val="20"/>
      </w:rPr>
    </w:lvl>
    <w:lvl w:ilvl="2">
      <w:start w:val="1"/>
      <w:numFmt w:val="bullet"/>
      <w:lvlText w:val="&gt;"/>
      <w:lvlJc w:val="left"/>
      <w:pPr>
        <w:tabs>
          <w:tab w:val="num" w:pos="851"/>
        </w:tabs>
        <w:ind w:left="851" w:hanging="284"/>
      </w:pPr>
      <w:rPr>
        <w:rFonts w:ascii="Arial" w:hAnsi="Arial" w:hint="default"/>
        <w:color w:val="auto"/>
        <w:sz w:val="20"/>
      </w:rPr>
    </w:lvl>
    <w:lvl w:ilvl="3">
      <w:start w:val="1"/>
      <w:numFmt w:val="bullet"/>
      <w:lvlText w:val="-"/>
      <w:lvlJc w:val="left"/>
      <w:pPr>
        <w:tabs>
          <w:tab w:val="num" w:pos="1134"/>
        </w:tabs>
        <w:ind w:left="1134" w:hanging="283"/>
      </w:pPr>
      <w:rPr>
        <w:rFonts w:ascii="Courier" w:hAnsi="Courier" w:cs="Times New Roman" w:hint="default"/>
        <w:color w:val="auto"/>
        <w:sz w:val="20"/>
      </w:rPr>
    </w:lvl>
    <w:lvl w:ilvl="4">
      <w:start w:val="1"/>
      <w:numFmt w:val="none"/>
      <w:suff w:val="nothing"/>
      <w:lvlText w:val=""/>
      <w:lvlJc w:val="left"/>
      <w:pPr>
        <w:ind w:left="1418" w:hanging="1418"/>
      </w:pPr>
      <w:rPr>
        <w:rFonts w:cs="Times New Roman" w:hint="default"/>
        <w:color w:val="auto"/>
        <w:sz w:val="20"/>
      </w:rPr>
    </w:lvl>
    <w:lvl w:ilvl="5">
      <w:start w:val="1"/>
      <w:numFmt w:val="none"/>
      <w:suff w:val="nothing"/>
      <w:lvlText w:val=""/>
      <w:lvlJc w:val="left"/>
      <w:pPr>
        <w:ind w:left="0" w:firstLine="0"/>
      </w:pPr>
      <w:rPr>
        <w:rFonts w:cs="Times New Roman" w:hint="default"/>
        <w:color w:val="000000"/>
        <w:sz w:val="20"/>
      </w:rPr>
    </w:lvl>
    <w:lvl w:ilvl="6">
      <w:start w:val="1"/>
      <w:numFmt w:val="none"/>
      <w:suff w:val="nothing"/>
      <w:lvlText w:val=""/>
      <w:lvlJc w:val="left"/>
      <w:pPr>
        <w:ind w:left="0" w:firstLine="0"/>
      </w:pPr>
      <w:rPr>
        <w:rFonts w:cs="Times New Roman" w:hint="default"/>
        <w:color w:val="auto"/>
        <w:sz w:val="20"/>
      </w:rPr>
    </w:lvl>
    <w:lvl w:ilvl="7">
      <w:start w:val="1"/>
      <w:numFmt w:val="none"/>
      <w:suff w:val="nothing"/>
      <w:lvlText w:val=""/>
      <w:lvlJc w:val="left"/>
      <w:pPr>
        <w:ind w:left="0" w:firstLine="0"/>
      </w:pPr>
      <w:rPr>
        <w:rFonts w:cs="Times New Roman" w:hint="default"/>
        <w:color w:val="000000"/>
        <w:sz w:val="20"/>
      </w:rPr>
    </w:lvl>
    <w:lvl w:ilvl="8">
      <w:start w:val="1"/>
      <w:numFmt w:val="none"/>
      <w:suff w:val="nothing"/>
      <w:lvlText w:val="%9"/>
      <w:lvlJc w:val="left"/>
      <w:pPr>
        <w:ind w:left="0" w:firstLine="0"/>
      </w:pPr>
      <w:rPr>
        <w:rFonts w:cs="Times New Roman" w:hint="default"/>
      </w:rPr>
    </w:lvl>
  </w:abstractNum>
  <w:abstractNum w:abstractNumId="44" w15:restartNumberingAfterBreak="0">
    <w:nsid w:val="625514F2"/>
    <w:multiLevelType w:val="multilevel"/>
    <w:tmpl w:val="738EAF46"/>
    <w:lvl w:ilvl="0">
      <w:start w:val="1"/>
      <w:numFmt w:val="decimal"/>
      <w:lvlText w:val="%1."/>
      <w:lvlJc w:val="left"/>
      <w:pPr>
        <w:ind w:left="0" w:firstLine="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3841BE3"/>
    <w:multiLevelType w:val="hybridMultilevel"/>
    <w:tmpl w:val="89ACF286"/>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63C84137"/>
    <w:multiLevelType w:val="hybridMultilevel"/>
    <w:tmpl w:val="5D505E1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710135C"/>
    <w:multiLevelType w:val="hybridMultilevel"/>
    <w:tmpl w:val="AC549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900630F"/>
    <w:multiLevelType w:val="hybridMultilevel"/>
    <w:tmpl w:val="03FEA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9083393"/>
    <w:multiLevelType w:val="hybridMultilevel"/>
    <w:tmpl w:val="89ACF286"/>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15:restartNumberingAfterBreak="0">
    <w:nsid w:val="6B990FF8"/>
    <w:multiLevelType w:val="hybridMultilevel"/>
    <w:tmpl w:val="A91C0D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CA259E6"/>
    <w:multiLevelType w:val="hybridMultilevel"/>
    <w:tmpl w:val="E10C2B18"/>
    <w:lvl w:ilvl="0" w:tplc="C518D42A">
      <w:numFmt w:val="bullet"/>
      <w:lvlText w:val="-"/>
      <w:lvlJc w:val="left"/>
      <w:pPr>
        <w:ind w:left="410" w:hanging="360"/>
      </w:pPr>
      <w:rPr>
        <w:rFonts w:ascii="Calibri" w:eastAsiaTheme="minorHAnsi" w:hAnsi="Calibri" w:cs="Calibri"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52" w15:restartNumberingAfterBreak="0">
    <w:nsid w:val="6CF003DD"/>
    <w:multiLevelType w:val="hybridMultilevel"/>
    <w:tmpl w:val="CFAA5D02"/>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b w:val="0"/>
        <w:color w:val="CF5D27"/>
      </w:rPr>
    </w:lvl>
    <w:lvl w:ilvl="2" w:tplc="0A76A360">
      <w:start w:val="1"/>
      <w:numFmt w:val="bullet"/>
      <w:lvlText w:val="-"/>
      <w:lvlJc w:val="left"/>
      <w:pPr>
        <w:ind w:left="2340" w:hanging="360"/>
      </w:pPr>
      <w:rPr>
        <w:rFonts w:ascii="Calibri" w:eastAsia="Calibri" w:hAnsi="Calibri" w:cs="Calibri"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2086403"/>
    <w:multiLevelType w:val="hybridMultilevel"/>
    <w:tmpl w:val="F800CC6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15:restartNumberingAfterBreak="0">
    <w:nsid w:val="7715379F"/>
    <w:multiLevelType w:val="hybridMultilevel"/>
    <w:tmpl w:val="F800CC6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5" w15:restartNumberingAfterBreak="0">
    <w:nsid w:val="77973A7D"/>
    <w:multiLevelType w:val="hybridMultilevel"/>
    <w:tmpl w:val="E38CF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9BE4E9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7ADA4EA9"/>
    <w:multiLevelType w:val="hybridMultilevel"/>
    <w:tmpl w:val="B0AEADA8"/>
    <w:lvl w:ilvl="0" w:tplc="DE2A7B1C">
      <w:start w:val="1"/>
      <w:numFmt w:val="bullet"/>
      <w:pStyle w:val="SDAbulletpoints"/>
      <w:lvlText w:val=""/>
      <w:lvlJc w:val="left"/>
      <w:pPr>
        <w:ind w:left="720" w:hanging="360"/>
      </w:pPr>
      <w:rPr>
        <w:rFonts w:ascii="Symbol" w:hAnsi="Symbol" w:hint="default"/>
        <w:color w:val="CF5D27"/>
      </w:rPr>
    </w:lvl>
    <w:lvl w:ilvl="1" w:tplc="0C090003">
      <w:start w:val="1"/>
      <w:numFmt w:val="bullet"/>
      <w:lvlText w:val="o"/>
      <w:lvlJc w:val="left"/>
      <w:pPr>
        <w:ind w:left="1233" w:hanging="360"/>
      </w:pPr>
      <w:rPr>
        <w:rFonts w:ascii="Courier New" w:hAnsi="Courier New" w:cs="Courier New" w:hint="default"/>
      </w:rPr>
    </w:lvl>
    <w:lvl w:ilvl="2" w:tplc="0C090005">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58" w15:restartNumberingAfterBreak="0">
    <w:nsid w:val="7D53207C"/>
    <w:multiLevelType w:val="hybridMultilevel"/>
    <w:tmpl w:val="6A9A33F6"/>
    <w:lvl w:ilvl="0" w:tplc="AF2CD8A2">
      <w:start w:val="1"/>
      <w:numFmt w:val="decimal"/>
      <w:pStyle w:val="SDAnumberedlist"/>
      <w:lvlText w:val="%1"/>
      <w:lvlJc w:val="left"/>
      <w:pPr>
        <w:ind w:left="1080" w:hanging="360"/>
      </w:pPr>
      <w:rPr>
        <w:rFonts w:hint="default"/>
        <w:b/>
        <w:color w:val="CF5D27"/>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38"/>
  </w:num>
  <w:num w:numId="2">
    <w:abstractNumId w:val="11"/>
  </w:num>
  <w:num w:numId="3">
    <w:abstractNumId w:val="18"/>
  </w:num>
  <w:num w:numId="4">
    <w:abstractNumId w:val="57"/>
  </w:num>
  <w:num w:numId="5">
    <w:abstractNumId w:val="58"/>
  </w:num>
  <w:num w:numId="6">
    <w:abstractNumId w:val="42"/>
  </w:num>
  <w:num w:numId="7">
    <w:abstractNumId w:val="39"/>
  </w:num>
  <w:num w:numId="8">
    <w:abstractNumId w:val="33"/>
  </w:num>
  <w:num w:numId="9">
    <w:abstractNumId w:val="17"/>
  </w:num>
  <w:num w:numId="10">
    <w:abstractNumId w:val="0"/>
  </w:num>
  <w:num w:numId="11">
    <w:abstractNumId w:val="32"/>
  </w:num>
  <w:num w:numId="12">
    <w:abstractNumId w:val="9"/>
  </w:num>
  <w:num w:numId="13">
    <w:abstractNumId w:val="51"/>
  </w:num>
  <w:num w:numId="14">
    <w:abstractNumId w:val="50"/>
  </w:num>
  <w:num w:numId="15">
    <w:abstractNumId w:val="43"/>
  </w:num>
  <w:num w:numId="16">
    <w:abstractNumId w:val="12"/>
  </w:num>
  <w:num w:numId="17">
    <w:abstractNumId w:val="36"/>
  </w:num>
  <w:num w:numId="18">
    <w:abstractNumId w:val="10"/>
  </w:num>
  <w:num w:numId="19">
    <w:abstractNumId w:val="37"/>
  </w:num>
  <w:num w:numId="20">
    <w:abstractNumId w:val="13"/>
  </w:num>
  <w:num w:numId="21">
    <w:abstractNumId w:val="28"/>
  </w:num>
  <w:num w:numId="22">
    <w:abstractNumId w:val="47"/>
  </w:num>
  <w:num w:numId="23">
    <w:abstractNumId w:val="18"/>
  </w:num>
  <w:num w:numId="24">
    <w:abstractNumId w:val="18"/>
  </w:num>
  <w:num w:numId="25">
    <w:abstractNumId w:val="6"/>
  </w:num>
  <w:num w:numId="26">
    <w:abstractNumId w:val="46"/>
  </w:num>
  <w:num w:numId="27">
    <w:abstractNumId w:val="25"/>
  </w:num>
  <w:num w:numId="28">
    <w:abstractNumId w:val="22"/>
  </w:num>
  <w:num w:numId="29">
    <w:abstractNumId w:val="29"/>
  </w:num>
  <w:num w:numId="30">
    <w:abstractNumId w:val="19"/>
  </w:num>
  <w:num w:numId="31">
    <w:abstractNumId w:val="5"/>
  </w:num>
  <w:num w:numId="32">
    <w:abstractNumId w:val="34"/>
  </w:num>
  <w:num w:numId="33">
    <w:abstractNumId w:val="7"/>
  </w:num>
  <w:num w:numId="34">
    <w:abstractNumId w:val="18"/>
  </w:num>
  <w:num w:numId="35">
    <w:abstractNumId w:val="18"/>
  </w:num>
  <w:num w:numId="36">
    <w:abstractNumId w:val="18"/>
  </w:num>
  <w:num w:numId="37">
    <w:abstractNumId w:val="18"/>
  </w:num>
  <w:num w:numId="38">
    <w:abstractNumId w:val="15"/>
  </w:num>
  <w:num w:numId="39">
    <w:abstractNumId w:val="35"/>
  </w:num>
  <w:num w:numId="40">
    <w:abstractNumId w:val="52"/>
  </w:num>
  <w:num w:numId="41">
    <w:abstractNumId w:val="54"/>
  </w:num>
  <w:num w:numId="42">
    <w:abstractNumId w:val="53"/>
  </w:num>
  <w:num w:numId="43">
    <w:abstractNumId w:val="14"/>
  </w:num>
  <w:num w:numId="44">
    <w:abstractNumId w:val="1"/>
  </w:num>
  <w:num w:numId="45">
    <w:abstractNumId w:val="26"/>
  </w:num>
  <w:num w:numId="46">
    <w:abstractNumId w:val="3"/>
  </w:num>
  <w:num w:numId="47">
    <w:abstractNumId w:val="49"/>
  </w:num>
  <w:num w:numId="48">
    <w:abstractNumId w:val="31"/>
  </w:num>
  <w:num w:numId="49">
    <w:abstractNumId w:val="45"/>
  </w:num>
  <w:num w:numId="50">
    <w:abstractNumId w:val="48"/>
  </w:num>
  <w:num w:numId="51">
    <w:abstractNumId w:val="18"/>
  </w:num>
  <w:num w:numId="52">
    <w:abstractNumId w:val="30"/>
  </w:num>
  <w:num w:numId="53">
    <w:abstractNumId w:val="56"/>
  </w:num>
  <w:num w:numId="54">
    <w:abstractNumId w:val="2"/>
  </w:num>
  <w:num w:numId="55">
    <w:abstractNumId w:val="27"/>
  </w:num>
  <w:num w:numId="56">
    <w:abstractNumId w:val="40"/>
  </w:num>
  <w:num w:numId="57">
    <w:abstractNumId w:val="41"/>
  </w:num>
  <w:num w:numId="58">
    <w:abstractNumId w:val="20"/>
  </w:num>
  <w:num w:numId="59">
    <w:abstractNumId w:val="23"/>
  </w:num>
  <w:num w:numId="60">
    <w:abstractNumId w:val="44"/>
  </w:num>
  <w:num w:numId="61">
    <w:abstractNumId w:val="24"/>
  </w:num>
  <w:num w:numId="62">
    <w:abstractNumId w:val="8"/>
  </w:num>
  <w:num w:numId="63">
    <w:abstractNumId w:val="57"/>
  </w:num>
  <w:num w:numId="64">
    <w:abstractNumId w:val="21"/>
  </w:num>
  <w:num w:numId="65">
    <w:abstractNumId w:val="57"/>
  </w:num>
  <w:num w:numId="66">
    <w:abstractNumId w:val="57"/>
  </w:num>
  <w:num w:numId="67">
    <w:abstractNumId w:val="57"/>
  </w:num>
  <w:num w:numId="68">
    <w:abstractNumId w:val="57"/>
  </w:num>
  <w:num w:numId="69">
    <w:abstractNumId w:val="57"/>
  </w:num>
  <w:num w:numId="70">
    <w:abstractNumId w:val="57"/>
  </w:num>
  <w:num w:numId="71">
    <w:abstractNumId w:val="57"/>
  </w:num>
  <w:num w:numId="72">
    <w:abstractNumId w:val="16"/>
  </w:num>
  <w:num w:numId="73">
    <w:abstractNumId w:val="4"/>
  </w:num>
  <w:num w:numId="74">
    <w:abstractNumId w:val="57"/>
  </w:num>
  <w:num w:numId="75">
    <w:abstractNumId w:val="55"/>
  </w:num>
  <w:num w:numId="76">
    <w:abstractNumId w:val="1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B6A"/>
    <w:rsid w:val="00000205"/>
    <w:rsid w:val="000019E4"/>
    <w:rsid w:val="00001AA8"/>
    <w:rsid w:val="0000589A"/>
    <w:rsid w:val="00010931"/>
    <w:rsid w:val="000131D6"/>
    <w:rsid w:val="00021004"/>
    <w:rsid w:val="00021AB5"/>
    <w:rsid w:val="000265C5"/>
    <w:rsid w:val="00030D16"/>
    <w:rsid w:val="00030FA4"/>
    <w:rsid w:val="00031C07"/>
    <w:rsid w:val="000331D4"/>
    <w:rsid w:val="00035C3F"/>
    <w:rsid w:val="0003703D"/>
    <w:rsid w:val="00037126"/>
    <w:rsid w:val="00040431"/>
    <w:rsid w:val="0004048A"/>
    <w:rsid w:val="00040ABF"/>
    <w:rsid w:val="00040D5A"/>
    <w:rsid w:val="00042BAC"/>
    <w:rsid w:val="00043D07"/>
    <w:rsid w:val="00044496"/>
    <w:rsid w:val="000445E9"/>
    <w:rsid w:val="00046EDC"/>
    <w:rsid w:val="00050AD2"/>
    <w:rsid w:val="00050D36"/>
    <w:rsid w:val="00051FF6"/>
    <w:rsid w:val="0005686E"/>
    <w:rsid w:val="00057E18"/>
    <w:rsid w:val="0006115D"/>
    <w:rsid w:val="000621A1"/>
    <w:rsid w:val="0006260F"/>
    <w:rsid w:val="00062901"/>
    <w:rsid w:val="00062B32"/>
    <w:rsid w:val="00064C42"/>
    <w:rsid w:val="00064F31"/>
    <w:rsid w:val="00066B6A"/>
    <w:rsid w:val="00067F5C"/>
    <w:rsid w:val="0007411F"/>
    <w:rsid w:val="0007577F"/>
    <w:rsid w:val="00075DC8"/>
    <w:rsid w:val="00081876"/>
    <w:rsid w:val="00082B7B"/>
    <w:rsid w:val="00084F54"/>
    <w:rsid w:val="000855DA"/>
    <w:rsid w:val="00085BB4"/>
    <w:rsid w:val="0009168F"/>
    <w:rsid w:val="00091923"/>
    <w:rsid w:val="00092D80"/>
    <w:rsid w:val="0009358F"/>
    <w:rsid w:val="0009416D"/>
    <w:rsid w:val="0009686C"/>
    <w:rsid w:val="000978BF"/>
    <w:rsid w:val="000A2326"/>
    <w:rsid w:val="000A257F"/>
    <w:rsid w:val="000A4D6B"/>
    <w:rsid w:val="000A5F44"/>
    <w:rsid w:val="000A7290"/>
    <w:rsid w:val="000A786C"/>
    <w:rsid w:val="000A7893"/>
    <w:rsid w:val="000B0D92"/>
    <w:rsid w:val="000B1322"/>
    <w:rsid w:val="000B19B6"/>
    <w:rsid w:val="000B4B75"/>
    <w:rsid w:val="000B5675"/>
    <w:rsid w:val="000B58F1"/>
    <w:rsid w:val="000C04C3"/>
    <w:rsid w:val="000C0E6F"/>
    <w:rsid w:val="000C362D"/>
    <w:rsid w:val="000C3FAA"/>
    <w:rsid w:val="000C7F08"/>
    <w:rsid w:val="000D2338"/>
    <w:rsid w:val="000D33C2"/>
    <w:rsid w:val="000D4B85"/>
    <w:rsid w:val="000D5419"/>
    <w:rsid w:val="000D783D"/>
    <w:rsid w:val="000D789F"/>
    <w:rsid w:val="000D7A9C"/>
    <w:rsid w:val="000E077C"/>
    <w:rsid w:val="000E0B3E"/>
    <w:rsid w:val="000E5B3C"/>
    <w:rsid w:val="000E65E7"/>
    <w:rsid w:val="000F0BCC"/>
    <w:rsid w:val="000F36C5"/>
    <w:rsid w:val="000F581C"/>
    <w:rsid w:val="000F5A73"/>
    <w:rsid w:val="00100152"/>
    <w:rsid w:val="001007C1"/>
    <w:rsid w:val="00101689"/>
    <w:rsid w:val="001018ED"/>
    <w:rsid w:val="0010322C"/>
    <w:rsid w:val="00105CAD"/>
    <w:rsid w:val="00112148"/>
    <w:rsid w:val="0011388D"/>
    <w:rsid w:val="0012048D"/>
    <w:rsid w:val="0012173D"/>
    <w:rsid w:val="00122F7E"/>
    <w:rsid w:val="00124239"/>
    <w:rsid w:val="0012491C"/>
    <w:rsid w:val="00127A8E"/>
    <w:rsid w:val="001309A9"/>
    <w:rsid w:val="00134A02"/>
    <w:rsid w:val="00144358"/>
    <w:rsid w:val="0014759E"/>
    <w:rsid w:val="0015039E"/>
    <w:rsid w:val="0015396C"/>
    <w:rsid w:val="00155132"/>
    <w:rsid w:val="001558C2"/>
    <w:rsid w:val="0016146D"/>
    <w:rsid w:val="00163EA8"/>
    <w:rsid w:val="00164EEB"/>
    <w:rsid w:val="001674DF"/>
    <w:rsid w:val="00170D31"/>
    <w:rsid w:val="00176A7E"/>
    <w:rsid w:val="00181AFA"/>
    <w:rsid w:val="0018262F"/>
    <w:rsid w:val="00184B32"/>
    <w:rsid w:val="001900E6"/>
    <w:rsid w:val="00191D21"/>
    <w:rsid w:val="001A1A54"/>
    <w:rsid w:val="001A206C"/>
    <w:rsid w:val="001A394B"/>
    <w:rsid w:val="001A5B5F"/>
    <w:rsid w:val="001B0840"/>
    <w:rsid w:val="001B100D"/>
    <w:rsid w:val="001B281E"/>
    <w:rsid w:val="001B3A72"/>
    <w:rsid w:val="001B3ECA"/>
    <w:rsid w:val="001B4999"/>
    <w:rsid w:val="001B5A89"/>
    <w:rsid w:val="001B7A0D"/>
    <w:rsid w:val="001C05DD"/>
    <w:rsid w:val="001C1C7A"/>
    <w:rsid w:val="001C3654"/>
    <w:rsid w:val="001C39E2"/>
    <w:rsid w:val="001C4A27"/>
    <w:rsid w:val="001C4E36"/>
    <w:rsid w:val="001C5337"/>
    <w:rsid w:val="001C712F"/>
    <w:rsid w:val="001D394E"/>
    <w:rsid w:val="001D614F"/>
    <w:rsid w:val="001D7CF9"/>
    <w:rsid w:val="001E3CB2"/>
    <w:rsid w:val="001E5451"/>
    <w:rsid w:val="001F1F70"/>
    <w:rsid w:val="001F32AF"/>
    <w:rsid w:val="001F349A"/>
    <w:rsid w:val="001F4152"/>
    <w:rsid w:val="001F623E"/>
    <w:rsid w:val="001F7836"/>
    <w:rsid w:val="00203B58"/>
    <w:rsid w:val="00203F31"/>
    <w:rsid w:val="002058B0"/>
    <w:rsid w:val="00205A63"/>
    <w:rsid w:val="002074A2"/>
    <w:rsid w:val="002108DE"/>
    <w:rsid w:val="00212EBE"/>
    <w:rsid w:val="00215929"/>
    <w:rsid w:val="00215EF2"/>
    <w:rsid w:val="00217C48"/>
    <w:rsid w:val="00217CF0"/>
    <w:rsid w:val="0022088D"/>
    <w:rsid w:val="00223668"/>
    <w:rsid w:val="00223FF3"/>
    <w:rsid w:val="002268F6"/>
    <w:rsid w:val="00226D10"/>
    <w:rsid w:val="002277AF"/>
    <w:rsid w:val="002277D0"/>
    <w:rsid w:val="00230779"/>
    <w:rsid w:val="00232301"/>
    <w:rsid w:val="00232F6E"/>
    <w:rsid w:val="002339E9"/>
    <w:rsid w:val="00233B5D"/>
    <w:rsid w:val="00236A66"/>
    <w:rsid w:val="002376EE"/>
    <w:rsid w:val="00241613"/>
    <w:rsid w:val="00242A34"/>
    <w:rsid w:val="00243602"/>
    <w:rsid w:val="00246076"/>
    <w:rsid w:val="00246556"/>
    <w:rsid w:val="00246648"/>
    <w:rsid w:val="00246F4E"/>
    <w:rsid w:val="002518FC"/>
    <w:rsid w:val="00253910"/>
    <w:rsid w:val="00253D30"/>
    <w:rsid w:val="00253FDC"/>
    <w:rsid w:val="00254563"/>
    <w:rsid w:val="0025572E"/>
    <w:rsid w:val="00255C32"/>
    <w:rsid w:val="0026080E"/>
    <w:rsid w:val="00261FD8"/>
    <w:rsid w:val="00263931"/>
    <w:rsid w:val="00263F04"/>
    <w:rsid w:val="00270826"/>
    <w:rsid w:val="00272047"/>
    <w:rsid w:val="002721D1"/>
    <w:rsid w:val="002722A3"/>
    <w:rsid w:val="00273EED"/>
    <w:rsid w:val="00274038"/>
    <w:rsid w:val="00275D22"/>
    <w:rsid w:val="002826F3"/>
    <w:rsid w:val="0028375C"/>
    <w:rsid w:val="002842A8"/>
    <w:rsid w:val="002858BF"/>
    <w:rsid w:val="00287D60"/>
    <w:rsid w:val="00290834"/>
    <w:rsid w:val="00290C91"/>
    <w:rsid w:val="00291303"/>
    <w:rsid w:val="0029306F"/>
    <w:rsid w:val="002934EB"/>
    <w:rsid w:val="00293752"/>
    <w:rsid w:val="0029543E"/>
    <w:rsid w:val="002A0971"/>
    <w:rsid w:val="002A0E65"/>
    <w:rsid w:val="002A33D8"/>
    <w:rsid w:val="002A45D5"/>
    <w:rsid w:val="002A638A"/>
    <w:rsid w:val="002A7AA6"/>
    <w:rsid w:val="002A7E7F"/>
    <w:rsid w:val="002B12A3"/>
    <w:rsid w:val="002B248C"/>
    <w:rsid w:val="002B263B"/>
    <w:rsid w:val="002B2C06"/>
    <w:rsid w:val="002B3A5F"/>
    <w:rsid w:val="002B4737"/>
    <w:rsid w:val="002B4A56"/>
    <w:rsid w:val="002B6383"/>
    <w:rsid w:val="002B7FE2"/>
    <w:rsid w:val="002C030E"/>
    <w:rsid w:val="002C0C87"/>
    <w:rsid w:val="002C1CCE"/>
    <w:rsid w:val="002C25EB"/>
    <w:rsid w:val="002C31E2"/>
    <w:rsid w:val="002C3AE2"/>
    <w:rsid w:val="002C3E19"/>
    <w:rsid w:val="002C46C9"/>
    <w:rsid w:val="002C4E94"/>
    <w:rsid w:val="002C50EC"/>
    <w:rsid w:val="002C5828"/>
    <w:rsid w:val="002D26C7"/>
    <w:rsid w:val="002D545D"/>
    <w:rsid w:val="002D56AA"/>
    <w:rsid w:val="002E0AD1"/>
    <w:rsid w:val="002E1836"/>
    <w:rsid w:val="002E2486"/>
    <w:rsid w:val="002E31CF"/>
    <w:rsid w:val="002E3904"/>
    <w:rsid w:val="002E5009"/>
    <w:rsid w:val="002E62DC"/>
    <w:rsid w:val="002E7068"/>
    <w:rsid w:val="002F4AFD"/>
    <w:rsid w:val="002F56D2"/>
    <w:rsid w:val="00301527"/>
    <w:rsid w:val="00302FFF"/>
    <w:rsid w:val="00303D7B"/>
    <w:rsid w:val="00305E41"/>
    <w:rsid w:val="003066B0"/>
    <w:rsid w:val="00307B78"/>
    <w:rsid w:val="003129AF"/>
    <w:rsid w:val="00313914"/>
    <w:rsid w:val="003153D7"/>
    <w:rsid w:val="0031540D"/>
    <w:rsid w:val="00317961"/>
    <w:rsid w:val="003179FA"/>
    <w:rsid w:val="00324B20"/>
    <w:rsid w:val="003256F1"/>
    <w:rsid w:val="00326690"/>
    <w:rsid w:val="00330F50"/>
    <w:rsid w:val="003336CE"/>
    <w:rsid w:val="0033508E"/>
    <w:rsid w:val="0033561C"/>
    <w:rsid w:val="00335A43"/>
    <w:rsid w:val="00335DCA"/>
    <w:rsid w:val="00337BEC"/>
    <w:rsid w:val="00337E1A"/>
    <w:rsid w:val="00342FA6"/>
    <w:rsid w:val="00343860"/>
    <w:rsid w:val="00347F33"/>
    <w:rsid w:val="00351BFE"/>
    <w:rsid w:val="0035303A"/>
    <w:rsid w:val="00355F8A"/>
    <w:rsid w:val="003561EC"/>
    <w:rsid w:val="00357B15"/>
    <w:rsid w:val="00357F5B"/>
    <w:rsid w:val="00360178"/>
    <w:rsid w:val="0036077A"/>
    <w:rsid w:val="003607E6"/>
    <w:rsid w:val="0036198F"/>
    <w:rsid w:val="00365B16"/>
    <w:rsid w:val="00366DCD"/>
    <w:rsid w:val="00367BA8"/>
    <w:rsid w:val="00367EFD"/>
    <w:rsid w:val="003700E6"/>
    <w:rsid w:val="003703DB"/>
    <w:rsid w:val="00370753"/>
    <w:rsid w:val="0037141F"/>
    <w:rsid w:val="003801F9"/>
    <w:rsid w:val="00380A99"/>
    <w:rsid w:val="00382F1B"/>
    <w:rsid w:val="00384109"/>
    <w:rsid w:val="003852D2"/>
    <w:rsid w:val="00387D91"/>
    <w:rsid w:val="00387FA5"/>
    <w:rsid w:val="003911FC"/>
    <w:rsid w:val="00392F22"/>
    <w:rsid w:val="003931CF"/>
    <w:rsid w:val="00394F13"/>
    <w:rsid w:val="00395524"/>
    <w:rsid w:val="00395B9E"/>
    <w:rsid w:val="00396838"/>
    <w:rsid w:val="00396C8C"/>
    <w:rsid w:val="00397EA0"/>
    <w:rsid w:val="003A5B51"/>
    <w:rsid w:val="003A6C55"/>
    <w:rsid w:val="003B037D"/>
    <w:rsid w:val="003B03A5"/>
    <w:rsid w:val="003B1998"/>
    <w:rsid w:val="003B2CB0"/>
    <w:rsid w:val="003B2E27"/>
    <w:rsid w:val="003B4967"/>
    <w:rsid w:val="003B5075"/>
    <w:rsid w:val="003B709C"/>
    <w:rsid w:val="003C338A"/>
    <w:rsid w:val="003C5F64"/>
    <w:rsid w:val="003D1D3F"/>
    <w:rsid w:val="003D298D"/>
    <w:rsid w:val="003D406F"/>
    <w:rsid w:val="003D5E3C"/>
    <w:rsid w:val="003D777D"/>
    <w:rsid w:val="003E0518"/>
    <w:rsid w:val="003E18A4"/>
    <w:rsid w:val="003E380B"/>
    <w:rsid w:val="003E4F88"/>
    <w:rsid w:val="003E6760"/>
    <w:rsid w:val="003F1D04"/>
    <w:rsid w:val="003F23AF"/>
    <w:rsid w:val="003F66BA"/>
    <w:rsid w:val="003F6C8C"/>
    <w:rsid w:val="003F74F0"/>
    <w:rsid w:val="00400965"/>
    <w:rsid w:val="00401749"/>
    <w:rsid w:val="00401A35"/>
    <w:rsid w:val="004030D8"/>
    <w:rsid w:val="0040322A"/>
    <w:rsid w:val="00405AC6"/>
    <w:rsid w:val="0040629D"/>
    <w:rsid w:val="00407C80"/>
    <w:rsid w:val="00407D78"/>
    <w:rsid w:val="004131CE"/>
    <w:rsid w:val="004131F3"/>
    <w:rsid w:val="0041586F"/>
    <w:rsid w:val="00420A85"/>
    <w:rsid w:val="004217AC"/>
    <w:rsid w:val="0042547F"/>
    <w:rsid w:val="00425E1C"/>
    <w:rsid w:val="0042696F"/>
    <w:rsid w:val="0042772C"/>
    <w:rsid w:val="00430216"/>
    <w:rsid w:val="00434963"/>
    <w:rsid w:val="00437CEC"/>
    <w:rsid w:val="00442FEE"/>
    <w:rsid w:val="00444F91"/>
    <w:rsid w:val="004456C8"/>
    <w:rsid w:val="0044760B"/>
    <w:rsid w:val="0045174C"/>
    <w:rsid w:val="00452082"/>
    <w:rsid w:val="004612E2"/>
    <w:rsid w:val="004625B0"/>
    <w:rsid w:val="00463CF1"/>
    <w:rsid w:val="004654C2"/>
    <w:rsid w:val="00465CF6"/>
    <w:rsid w:val="00465DCF"/>
    <w:rsid w:val="0046610C"/>
    <w:rsid w:val="00466652"/>
    <w:rsid w:val="00466653"/>
    <w:rsid w:val="004700E5"/>
    <w:rsid w:val="004708A9"/>
    <w:rsid w:val="00472119"/>
    <w:rsid w:val="00473CD4"/>
    <w:rsid w:val="00473DB9"/>
    <w:rsid w:val="004757A9"/>
    <w:rsid w:val="004770AF"/>
    <w:rsid w:val="00480EC7"/>
    <w:rsid w:val="00483A7C"/>
    <w:rsid w:val="004849AE"/>
    <w:rsid w:val="00484D46"/>
    <w:rsid w:val="00485229"/>
    <w:rsid w:val="004864A4"/>
    <w:rsid w:val="004869BA"/>
    <w:rsid w:val="00486A6C"/>
    <w:rsid w:val="00487DE1"/>
    <w:rsid w:val="0049562C"/>
    <w:rsid w:val="0049565F"/>
    <w:rsid w:val="004959C1"/>
    <w:rsid w:val="004A4071"/>
    <w:rsid w:val="004A4C9A"/>
    <w:rsid w:val="004A4D4F"/>
    <w:rsid w:val="004B032B"/>
    <w:rsid w:val="004B5402"/>
    <w:rsid w:val="004B544E"/>
    <w:rsid w:val="004B5CB1"/>
    <w:rsid w:val="004B5EA6"/>
    <w:rsid w:val="004B684F"/>
    <w:rsid w:val="004B7787"/>
    <w:rsid w:val="004B7D4C"/>
    <w:rsid w:val="004B7EE7"/>
    <w:rsid w:val="004C2A2D"/>
    <w:rsid w:val="004C2DC5"/>
    <w:rsid w:val="004C4EA6"/>
    <w:rsid w:val="004C6AA6"/>
    <w:rsid w:val="004C75E6"/>
    <w:rsid w:val="004C7C3D"/>
    <w:rsid w:val="004D2A21"/>
    <w:rsid w:val="004D33B5"/>
    <w:rsid w:val="004D5051"/>
    <w:rsid w:val="004D564B"/>
    <w:rsid w:val="004D6E50"/>
    <w:rsid w:val="004D7659"/>
    <w:rsid w:val="004E2BBB"/>
    <w:rsid w:val="004E5E2E"/>
    <w:rsid w:val="004F22DF"/>
    <w:rsid w:val="004F2862"/>
    <w:rsid w:val="004F45FA"/>
    <w:rsid w:val="004F4D42"/>
    <w:rsid w:val="004F5A44"/>
    <w:rsid w:val="00500F71"/>
    <w:rsid w:val="00507CDC"/>
    <w:rsid w:val="00514701"/>
    <w:rsid w:val="0051588C"/>
    <w:rsid w:val="005200FF"/>
    <w:rsid w:val="005206B6"/>
    <w:rsid w:val="005209BB"/>
    <w:rsid w:val="0052195D"/>
    <w:rsid w:val="005219B1"/>
    <w:rsid w:val="00522681"/>
    <w:rsid w:val="00523505"/>
    <w:rsid w:val="00523C02"/>
    <w:rsid w:val="0053013A"/>
    <w:rsid w:val="00535765"/>
    <w:rsid w:val="00535EA6"/>
    <w:rsid w:val="00540540"/>
    <w:rsid w:val="005470E5"/>
    <w:rsid w:val="00551150"/>
    <w:rsid w:val="0055156D"/>
    <w:rsid w:val="005530F6"/>
    <w:rsid w:val="0055410E"/>
    <w:rsid w:val="00555A08"/>
    <w:rsid w:val="005560E6"/>
    <w:rsid w:val="00556A22"/>
    <w:rsid w:val="00557964"/>
    <w:rsid w:val="0056211C"/>
    <w:rsid w:val="00564ACA"/>
    <w:rsid w:val="00565647"/>
    <w:rsid w:val="00565770"/>
    <w:rsid w:val="00566595"/>
    <w:rsid w:val="00566CE6"/>
    <w:rsid w:val="00566E21"/>
    <w:rsid w:val="00571751"/>
    <w:rsid w:val="005726D0"/>
    <w:rsid w:val="005741A4"/>
    <w:rsid w:val="00577243"/>
    <w:rsid w:val="00580D31"/>
    <w:rsid w:val="0058219D"/>
    <w:rsid w:val="005844C8"/>
    <w:rsid w:val="00586D4F"/>
    <w:rsid w:val="00590D1D"/>
    <w:rsid w:val="00591258"/>
    <w:rsid w:val="00594706"/>
    <w:rsid w:val="00595D1B"/>
    <w:rsid w:val="005A0FE4"/>
    <w:rsid w:val="005A26E4"/>
    <w:rsid w:val="005A3709"/>
    <w:rsid w:val="005A3BA2"/>
    <w:rsid w:val="005A7390"/>
    <w:rsid w:val="005B282F"/>
    <w:rsid w:val="005B35EF"/>
    <w:rsid w:val="005B3F9B"/>
    <w:rsid w:val="005B6D24"/>
    <w:rsid w:val="005B6F42"/>
    <w:rsid w:val="005C0163"/>
    <w:rsid w:val="005C0952"/>
    <w:rsid w:val="005C47D9"/>
    <w:rsid w:val="005C6C0E"/>
    <w:rsid w:val="005D1685"/>
    <w:rsid w:val="005D2375"/>
    <w:rsid w:val="005D23A9"/>
    <w:rsid w:val="005D35E4"/>
    <w:rsid w:val="005D4060"/>
    <w:rsid w:val="005D589C"/>
    <w:rsid w:val="005D64EB"/>
    <w:rsid w:val="005E09E9"/>
    <w:rsid w:val="005E3284"/>
    <w:rsid w:val="005E575D"/>
    <w:rsid w:val="005E770C"/>
    <w:rsid w:val="005F31B0"/>
    <w:rsid w:val="005F35D0"/>
    <w:rsid w:val="005F3A26"/>
    <w:rsid w:val="005F4273"/>
    <w:rsid w:val="005F49BC"/>
    <w:rsid w:val="005F6749"/>
    <w:rsid w:val="005F6EE8"/>
    <w:rsid w:val="005F7550"/>
    <w:rsid w:val="00601339"/>
    <w:rsid w:val="00601630"/>
    <w:rsid w:val="00603BA1"/>
    <w:rsid w:val="00611B9C"/>
    <w:rsid w:val="00615E40"/>
    <w:rsid w:val="006176DB"/>
    <w:rsid w:val="00620B7C"/>
    <w:rsid w:val="00621B29"/>
    <w:rsid w:val="00625E84"/>
    <w:rsid w:val="006274C8"/>
    <w:rsid w:val="0063040E"/>
    <w:rsid w:val="006317EB"/>
    <w:rsid w:val="0063249E"/>
    <w:rsid w:val="00633178"/>
    <w:rsid w:val="006335D3"/>
    <w:rsid w:val="006354BF"/>
    <w:rsid w:val="006418F5"/>
    <w:rsid w:val="006431E8"/>
    <w:rsid w:val="00644569"/>
    <w:rsid w:val="00644C05"/>
    <w:rsid w:val="00646D94"/>
    <w:rsid w:val="00650701"/>
    <w:rsid w:val="00651292"/>
    <w:rsid w:val="0065159E"/>
    <w:rsid w:val="00652064"/>
    <w:rsid w:val="006540E9"/>
    <w:rsid w:val="00654B59"/>
    <w:rsid w:val="00654FF7"/>
    <w:rsid w:val="006558A6"/>
    <w:rsid w:val="0066037F"/>
    <w:rsid w:val="00660996"/>
    <w:rsid w:val="00661731"/>
    <w:rsid w:val="0066258B"/>
    <w:rsid w:val="00662626"/>
    <w:rsid w:val="00663640"/>
    <w:rsid w:val="0066429C"/>
    <w:rsid w:val="00670C1D"/>
    <w:rsid w:val="00670D5E"/>
    <w:rsid w:val="006713AD"/>
    <w:rsid w:val="00672C4E"/>
    <w:rsid w:val="00673925"/>
    <w:rsid w:val="00674860"/>
    <w:rsid w:val="0067586C"/>
    <w:rsid w:val="00677475"/>
    <w:rsid w:val="006835BD"/>
    <w:rsid w:val="00686DCB"/>
    <w:rsid w:val="0068786C"/>
    <w:rsid w:val="0069046E"/>
    <w:rsid w:val="006933FB"/>
    <w:rsid w:val="006936C4"/>
    <w:rsid w:val="006972A8"/>
    <w:rsid w:val="006974D8"/>
    <w:rsid w:val="00697523"/>
    <w:rsid w:val="006A4A33"/>
    <w:rsid w:val="006A585B"/>
    <w:rsid w:val="006A604F"/>
    <w:rsid w:val="006A73EA"/>
    <w:rsid w:val="006B0BCA"/>
    <w:rsid w:val="006B20D0"/>
    <w:rsid w:val="006B60B6"/>
    <w:rsid w:val="006C24B0"/>
    <w:rsid w:val="006C3848"/>
    <w:rsid w:val="006C44EB"/>
    <w:rsid w:val="006C50DD"/>
    <w:rsid w:val="006C586F"/>
    <w:rsid w:val="006C6E5E"/>
    <w:rsid w:val="006D0B55"/>
    <w:rsid w:val="006D4C55"/>
    <w:rsid w:val="006D6169"/>
    <w:rsid w:val="006D6A3F"/>
    <w:rsid w:val="006D7030"/>
    <w:rsid w:val="006E254F"/>
    <w:rsid w:val="006E4490"/>
    <w:rsid w:val="006E4B3B"/>
    <w:rsid w:val="006E4D59"/>
    <w:rsid w:val="006E5B6A"/>
    <w:rsid w:val="006E6FA3"/>
    <w:rsid w:val="006E7476"/>
    <w:rsid w:val="006E767B"/>
    <w:rsid w:val="006E7ED9"/>
    <w:rsid w:val="006F263D"/>
    <w:rsid w:val="006F429C"/>
    <w:rsid w:val="006F4F0B"/>
    <w:rsid w:val="006F723E"/>
    <w:rsid w:val="007000D5"/>
    <w:rsid w:val="00702F90"/>
    <w:rsid w:val="00704570"/>
    <w:rsid w:val="007108DA"/>
    <w:rsid w:val="00713151"/>
    <w:rsid w:val="0071362A"/>
    <w:rsid w:val="00713B9C"/>
    <w:rsid w:val="0071594A"/>
    <w:rsid w:val="00717707"/>
    <w:rsid w:val="007177AB"/>
    <w:rsid w:val="007206D5"/>
    <w:rsid w:val="00721DB5"/>
    <w:rsid w:val="00725C90"/>
    <w:rsid w:val="00730581"/>
    <w:rsid w:val="007341F1"/>
    <w:rsid w:val="007343EE"/>
    <w:rsid w:val="0073458A"/>
    <w:rsid w:val="00735AA4"/>
    <w:rsid w:val="00735B88"/>
    <w:rsid w:val="00736A37"/>
    <w:rsid w:val="007400AE"/>
    <w:rsid w:val="007416F6"/>
    <w:rsid w:val="007428EC"/>
    <w:rsid w:val="00744FA6"/>
    <w:rsid w:val="00745496"/>
    <w:rsid w:val="00746B98"/>
    <w:rsid w:val="00746FE5"/>
    <w:rsid w:val="007503EA"/>
    <w:rsid w:val="0075112A"/>
    <w:rsid w:val="00752CAD"/>
    <w:rsid w:val="0075704D"/>
    <w:rsid w:val="00757F06"/>
    <w:rsid w:val="00763734"/>
    <w:rsid w:val="00764423"/>
    <w:rsid w:val="0076642D"/>
    <w:rsid w:val="00767BE5"/>
    <w:rsid w:val="00773E7D"/>
    <w:rsid w:val="00774A19"/>
    <w:rsid w:val="00774F5E"/>
    <w:rsid w:val="00776F74"/>
    <w:rsid w:val="007811A3"/>
    <w:rsid w:val="00781E29"/>
    <w:rsid w:val="0078207A"/>
    <w:rsid w:val="00782E53"/>
    <w:rsid w:val="007831A5"/>
    <w:rsid w:val="00784C06"/>
    <w:rsid w:val="00785965"/>
    <w:rsid w:val="00787A69"/>
    <w:rsid w:val="00787ABB"/>
    <w:rsid w:val="00790E48"/>
    <w:rsid w:val="007974CF"/>
    <w:rsid w:val="007A09AD"/>
    <w:rsid w:val="007A4D79"/>
    <w:rsid w:val="007A6B71"/>
    <w:rsid w:val="007A6DB3"/>
    <w:rsid w:val="007B036F"/>
    <w:rsid w:val="007B149D"/>
    <w:rsid w:val="007B3018"/>
    <w:rsid w:val="007B3BC3"/>
    <w:rsid w:val="007B4491"/>
    <w:rsid w:val="007B76E6"/>
    <w:rsid w:val="007C2666"/>
    <w:rsid w:val="007C3242"/>
    <w:rsid w:val="007C3949"/>
    <w:rsid w:val="007C5437"/>
    <w:rsid w:val="007C60DB"/>
    <w:rsid w:val="007C720B"/>
    <w:rsid w:val="007D00B6"/>
    <w:rsid w:val="007D0B9D"/>
    <w:rsid w:val="007D0C89"/>
    <w:rsid w:val="007D1603"/>
    <w:rsid w:val="007D1772"/>
    <w:rsid w:val="007D3BE9"/>
    <w:rsid w:val="007D4593"/>
    <w:rsid w:val="007D5DB9"/>
    <w:rsid w:val="007E07AC"/>
    <w:rsid w:val="007E0C92"/>
    <w:rsid w:val="007E5679"/>
    <w:rsid w:val="007E5705"/>
    <w:rsid w:val="007E5A3F"/>
    <w:rsid w:val="007E77EC"/>
    <w:rsid w:val="007E7869"/>
    <w:rsid w:val="007F23C4"/>
    <w:rsid w:val="007F270B"/>
    <w:rsid w:val="007F51B8"/>
    <w:rsid w:val="007F59BE"/>
    <w:rsid w:val="00802C93"/>
    <w:rsid w:val="00803AD0"/>
    <w:rsid w:val="0081019C"/>
    <w:rsid w:val="00810C95"/>
    <w:rsid w:val="008111CB"/>
    <w:rsid w:val="00812488"/>
    <w:rsid w:val="008136DE"/>
    <w:rsid w:val="00813C73"/>
    <w:rsid w:val="008156C6"/>
    <w:rsid w:val="008172FE"/>
    <w:rsid w:val="008210DF"/>
    <w:rsid w:val="0082153A"/>
    <w:rsid w:val="008223B4"/>
    <w:rsid w:val="00823322"/>
    <w:rsid w:val="008235C5"/>
    <w:rsid w:val="0082592F"/>
    <w:rsid w:val="00826984"/>
    <w:rsid w:val="00830024"/>
    <w:rsid w:val="008345FC"/>
    <w:rsid w:val="00834BFD"/>
    <w:rsid w:val="00834CB4"/>
    <w:rsid w:val="00834DA8"/>
    <w:rsid w:val="008409A2"/>
    <w:rsid w:val="00845C31"/>
    <w:rsid w:val="00845CA7"/>
    <w:rsid w:val="00847741"/>
    <w:rsid w:val="00852337"/>
    <w:rsid w:val="0085251C"/>
    <w:rsid w:val="008548CC"/>
    <w:rsid w:val="00856E8A"/>
    <w:rsid w:val="008574E4"/>
    <w:rsid w:val="00860048"/>
    <w:rsid w:val="0086692D"/>
    <w:rsid w:val="0087033A"/>
    <w:rsid w:val="0087239E"/>
    <w:rsid w:val="008728D3"/>
    <w:rsid w:val="00873A35"/>
    <w:rsid w:val="0087415C"/>
    <w:rsid w:val="008766B7"/>
    <w:rsid w:val="008768A9"/>
    <w:rsid w:val="00876C2E"/>
    <w:rsid w:val="008824C3"/>
    <w:rsid w:val="0088309F"/>
    <w:rsid w:val="008832DC"/>
    <w:rsid w:val="0089037D"/>
    <w:rsid w:val="00891921"/>
    <w:rsid w:val="0089212E"/>
    <w:rsid w:val="00893AD7"/>
    <w:rsid w:val="00894332"/>
    <w:rsid w:val="00895C9A"/>
    <w:rsid w:val="008969FA"/>
    <w:rsid w:val="00897205"/>
    <w:rsid w:val="008A0428"/>
    <w:rsid w:val="008A0D98"/>
    <w:rsid w:val="008A122C"/>
    <w:rsid w:val="008A444F"/>
    <w:rsid w:val="008A47DE"/>
    <w:rsid w:val="008A7572"/>
    <w:rsid w:val="008B0240"/>
    <w:rsid w:val="008B1551"/>
    <w:rsid w:val="008B2530"/>
    <w:rsid w:val="008B2BFB"/>
    <w:rsid w:val="008B5DC5"/>
    <w:rsid w:val="008B779E"/>
    <w:rsid w:val="008C12AA"/>
    <w:rsid w:val="008C1337"/>
    <w:rsid w:val="008C2715"/>
    <w:rsid w:val="008C2A90"/>
    <w:rsid w:val="008C2B30"/>
    <w:rsid w:val="008C35ED"/>
    <w:rsid w:val="008C4F1C"/>
    <w:rsid w:val="008C71F5"/>
    <w:rsid w:val="008C779E"/>
    <w:rsid w:val="008C793B"/>
    <w:rsid w:val="008C7B0E"/>
    <w:rsid w:val="008D1C91"/>
    <w:rsid w:val="008D243B"/>
    <w:rsid w:val="008D2B37"/>
    <w:rsid w:val="008D4B66"/>
    <w:rsid w:val="008D53C4"/>
    <w:rsid w:val="008D6A26"/>
    <w:rsid w:val="008D754B"/>
    <w:rsid w:val="008E2307"/>
    <w:rsid w:val="008E24C1"/>
    <w:rsid w:val="008E2991"/>
    <w:rsid w:val="008E3130"/>
    <w:rsid w:val="008E3D48"/>
    <w:rsid w:val="008E441C"/>
    <w:rsid w:val="008E4FCF"/>
    <w:rsid w:val="008E5B9E"/>
    <w:rsid w:val="008E6E03"/>
    <w:rsid w:val="008E7A69"/>
    <w:rsid w:val="008F0375"/>
    <w:rsid w:val="008F0E36"/>
    <w:rsid w:val="008F24E5"/>
    <w:rsid w:val="008F6B4D"/>
    <w:rsid w:val="0090047A"/>
    <w:rsid w:val="00901849"/>
    <w:rsid w:val="00901EF7"/>
    <w:rsid w:val="0090307E"/>
    <w:rsid w:val="009079E5"/>
    <w:rsid w:val="00910001"/>
    <w:rsid w:val="00914B6A"/>
    <w:rsid w:val="009152EC"/>
    <w:rsid w:val="009156F9"/>
    <w:rsid w:val="00916851"/>
    <w:rsid w:val="00916B70"/>
    <w:rsid w:val="009174A4"/>
    <w:rsid w:val="00917A3E"/>
    <w:rsid w:val="009207CB"/>
    <w:rsid w:val="00920B19"/>
    <w:rsid w:val="009216E9"/>
    <w:rsid w:val="0092185A"/>
    <w:rsid w:val="00921D7F"/>
    <w:rsid w:val="00922907"/>
    <w:rsid w:val="00922B01"/>
    <w:rsid w:val="00925CAA"/>
    <w:rsid w:val="00931067"/>
    <w:rsid w:val="009325FB"/>
    <w:rsid w:val="00934DE1"/>
    <w:rsid w:val="009350D6"/>
    <w:rsid w:val="009428FE"/>
    <w:rsid w:val="00945729"/>
    <w:rsid w:val="009503B6"/>
    <w:rsid w:val="0095200B"/>
    <w:rsid w:val="009532C8"/>
    <w:rsid w:val="00955278"/>
    <w:rsid w:val="00955786"/>
    <w:rsid w:val="009610EB"/>
    <w:rsid w:val="00962166"/>
    <w:rsid w:val="00962A81"/>
    <w:rsid w:val="0096420A"/>
    <w:rsid w:val="00964247"/>
    <w:rsid w:val="00964609"/>
    <w:rsid w:val="00964BDA"/>
    <w:rsid w:val="00964E34"/>
    <w:rsid w:val="009660FA"/>
    <w:rsid w:val="0096667E"/>
    <w:rsid w:val="009700CB"/>
    <w:rsid w:val="009735E1"/>
    <w:rsid w:val="00976912"/>
    <w:rsid w:val="00981C7E"/>
    <w:rsid w:val="0098356E"/>
    <w:rsid w:val="0098706D"/>
    <w:rsid w:val="00990771"/>
    <w:rsid w:val="00990A6E"/>
    <w:rsid w:val="0099325B"/>
    <w:rsid w:val="00993767"/>
    <w:rsid w:val="00995130"/>
    <w:rsid w:val="00995401"/>
    <w:rsid w:val="009961F6"/>
    <w:rsid w:val="00996EE2"/>
    <w:rsid w:val="00997223"/>
    <w:rsid w:val="0099733E"/>
    <w:rsid w:val="009A19D5"/>
    <w:rsid w:val="009A1A5D"/>
    <w:rsid w:val="009A2A33"/>
    <w:rsid w:val="009A45C5"/>
    <w:rsid w:val="009A7A1A"/>
    <w:rsid w:val="009B1D0F"/>
    <w:rsid w:val="009B5592"/>
    <w:rsid w:val="009B5D29"/>
    <w:rsid w:val="009C033C"/>
    <w:rsid w:val="009C4652"/>
    <w:rsid w:val="009C682F"/>
    <w:rsid w:val="009C6AD6"/>
    <w:rsid w:val="009C75BD"/>
    <w:rsid w:val="009C7A2C"/>
    <w:rsid w:val="009D0B33"/>
    <w:rsid w:val="009D179F"/>
    <w:rsid w:val="009D44E3"/>
    <w:rsid w:val="009D5069"/>
    <w:rsid w:val="009D6F93"/>
    <w:rsid w:val="009D7374"/>
    <w:rsid w:val="009D7AC8"/>
    <w:rsid w:val="009E2204"/>
    <w:rsid w:val="009E2556"/>
    <w:rsid w:val="009E32C0"/>
    <w:rsid w:val="009E4E51"/>
    <w:rsid w:val="009E54C7"/>
    <w:rsid w:val="009E7809"/>
    <w:rsid w:val="009F14FC"/>
    <w:rsid w:val="009F1DC2"/>
    <w:rsid w:val="009F2021"/>
    <w:rsid w:val="009F56CE"/>
    <w:rsid w:val="00A01FEA"/>
    <w:rsid w:val="00A0262A"/>
    <w:rsid w:val="00A03FCB"/>
    <w:rsid w:val="00A069DC"/>
    <w:rsid w:val="00A06A48"/>
    <w:rsid w:val="00A07FA1"/>
    <w:rsid w:val="00A10338"/>
    <w:rsid w:val="00A1037D"/>
    <w:rsid w:val="00A146D9"/>
    <w:rsid w:val="00A15602"/>
    <w:rsid w:val="00A15694"/>
    <w:rsid w:val="00A16353"/>
    <w:rsid w:val="00A17022"/>
    <w:rsid w:val="00A214BF"/>
    <w:rsid w:val="00A24243"/>
    <w:rsid w:val="00A24EB0"/>
    <w:rsid w:val="00A2697C"/>
    <w:rsid w:val="00A27DC4"/>
    <w:rsid w:val="00A27E01"/>
    <w:rsid w:val="00A3345C"/>
    <w:rsid w:val="00A340B2"/>
    <w:rsid w:val="00A345EC"/>
    <w:rsid w:val="00A34D4A"/>
    <w:rsid w:val="00A359E1"/>
    <w:rsid w:val="00A35BF6"/>
    <w:rsid w:val="00A405BF"/>
    <w:rsid w:val="00A40CF2"/>
    <w:rsid w:val="00A439DC"/>
    <w:rsid w:val="00A447EB"/>
    <w:rsid w:val="00A46C87"/>
    <w:rsid w:val="00A56DB2"/>
    <w:rsid w:val="00A57A4A"/>
    <w:rsid w:val="00A57B70"/>
    <w:rsid w:val="00A63407"/>
    <w:rsid w:val="00A64C2E"/>
    <w:rsid w:val="00A66045"/>
    <w:rsid w:val="00A66421"/>
    <w:rsid w:val="00A71FFF"/>
    <w:rsid w:val="00A726FD"/>
    <w:rsid w:val="00A72A3D"/>
    <w:rsid w:val="00A73C3E"/>
    <w:rsid w:val="00A741A6"/>
    <w:rsid w:val="00A74C34"/>
    <w:rsid w:val="00A801E2"/>
    <w:rsid w:val="00A802B9"/>
    <w:rsid w:val="00A83A2F"/>
    <w:rsid w:val="00A86164"/>
    <w:rsid w:val="00A864C7"/>
    <w:rsid w:val="00A9092C"/>
    <w:rsid w:val="00A90ADD"/>
    <w:rsid w:val="00A9128C"/>
    <w:rsid w:val="00A91F18"/>
    <w:rsid w:val="00A94657"/>
    <w:rsid w:val="00A94735"/>
    <w:rsid w:val="00A96483"/>
    <w:rsid w:val="00A96C9C"/>
    <w:rsid w:val="00AA0AE7"/>
    <w:rsid w:val="00AA0F42"/>
    <w:rsid w:val="00AA2EDC"/>
    <w:rsid w:val="00AA3F32"/>
    <w:rsid w:val="00AA4D72"/>
    <w:rsid w:val="00AA5158"/>
    <w:rsid w:val="00AA7208"/>
    <w:rsid w:val="00AB0684"/>
    <w:rsid w:val="00AB0D5D"/>
    <w:rsid w:val="00AB1E68"/>
    <w:rsid w:val="00AB3A96"/>
    <w:rsid w:val="00AB3F41"/>
    <w:rsid w:val="00AB4034"/>
    <w:rsid w:val="00AB4C51"/>
    <w:rsid w:val="00AB7394"/>
    <w:rsid w:val="00AC4286"/>
    <w:rsid w:val="00AC4F82"/>
    <w:rsid w:val="00AC51F7"/>
    <w:rsid w:val="00AC613D"/>
    <w:rsid w:val="00AC6C26"/>
    <w:rsid w:val="00AC77B7"/>
    <w:rsid w:val="00AD0780"/>
    <w:rsid w:val="00AD1BCA"/>
    <w:rsid w:val="00AD2064"/>
    <w:rsid w:val="00AD460F"/>
    <w:rsid w:val="00AD475E"/>
    <w:rsid w:val="00AD635D"/>
    <w:rsid w:val="00AD6974"/>
    <w:rsid w:val="00AE116C"/>
    <w:rsid w:val="00AE37FD"/>
    <w:rsid w:val="00AE46FF"/>
    <w:rsid w:val="00AE4CA0"/>
    <w:rsid w:val="00AE64DF"/>
    <w:rsid w:val="00AE70AD"/>
    <w:rsid w:val="00AF414B"/>
    <w:rsid w:val="00AF415C"/>
    <w:rsid w:val="00AF48D4"/>
    <w:rsid w:val="00AF51A7"/>
    <w:rsid w:val="00AF62E0"/>
    <w:rsid w:val="00AF6320"/>
    <w:rsid w:val="00B05DE2"/>
    <w:rsid w:val="00B13D94"/>
    <w:rsid w:val="00B17685"/>
    <w:rsid w:val="00B22C02"/>
    <w:rsid w:val="00B242ED"/>
    <w:rsid w:val="00B3097E"/>
    <w:rsid w:val="00B33495"/>
    <w:rsid w:val="00B37227"/>
    <w:rsid w:val="00B37302"/>
    <w:rsid w:val="00B40DD8"/>
    <w:rsid w:val="00B43C9E"/>
    <w:rsid w:val="00B47617"/>
    <w:rsid w:val="00B4765D"/>
    <w:rsid w:val="00B50AE4"/>
    <w:rsid w:val="00B511A7"/>
    <w:rsid w:val="00B52B5B"/>
    <w:rsid w:val="00B55374"/>
    <w:rsid w:val="00B574C9"/>
    <w:rsid w:val="00B57607"/>
    <w:rsid w:val="00B57CF7"/>
    <w:rsid w:val="00B60CA1"/>
    <w:rsid w:val="00B61217"/>
    <w:rsid w:val="00B65E47"/>
    <w:rsid w:val="00B67A17"/>
    <w:rsid w:val="00B70D2C"/>
    <w:rsid w:val="00B71973"/>
    <w:rsid w:val="00B72DCD"/>
    <w:rsid w:val="00B731A2"/>
    <w:rsid w:val="00B7394D"/>
    <w:rsid w:val="00B7489A"/>
    <w:rsid w:val="00B7636B"/>
    <w:rsid w:val="00B825BE"/>
    <w:rsid w:val="00B83960"/>
    <w:rsid w:val="00B84392"/>
    <w:rsid w:val="00B86298"/>
    <w:rsid w:val="00B90BE3"/>
    <w:rsid w:val="00B94EB8"/>
    <w:rsid w:val="00B97EDC"/>
    <w:rsid w:val="00BA1F5C"/>
    <w:rsid w:val="00BA6B24"/>
    <w:rsid w:val="00BB17E5"/>
    <w:rsid w:val="00BB4F8C"/>
    <w:rsid w:val="00BB5B56"/>
    <w:rsid w:val="00BB642A"/>
    <w:rsid w:val="00BB6CE2"/>
    <w:rsid w:val="00BB7EA0"/>
    <w:rsid w:val="00BC051C"/>
    <w:rsid w:val="00BC5387"/>
    <w:rsid w:val="00BC6853"/>
    <w:rsid w:val="00BD01A9"/>
    <w:rsid w:val="00BD199C"/>
    <w:rsid w:val="00BD24BB"/>
    <w:rsid w:val="00BD3DE7"/>
    <w:rsid w:val="00BD5A1E"/>
    <w:rsid w:val="00BE0F38"/>
    <w:rsid w:val="00BE154D"/>
    <w:rsid w:val="00BE2AED"/>
    <w:rsid w:val="00BE55EF"/>
    <w:rsid w:val="00BE7E2A"/>
    <w:rsid w:val="00BF63AA"/>
    <w:rsid w:val="00BF7E2D"/>
    <w:rsid w:val="00C0131E"/>
    <w:rsid w:val="00C02011"/>
    <w:rsid w:val="00C04917"/>
    <w:rsid w:val="00C065CD"/>
    <w:rsid w:val="00C10989"/>
    <w:rsid w:val="00C1142B"/>
    <w:rsid w:val="00C11C13"/>
    <w:rsid w:val="00C11C5E"/>
    <w:rsid w:val="00C127D6"/>
    <w:rsid w:val="00C128D9"/>
    <w:rsid w:val="00C15833"/>
    <w:rsid w:val="00C23647"/>
    <w:rsid w:val="00C24D39"/>
    <w:rsid w:val="00C250A0"/>
    <w:rsid w:val="00C25AB3"/>
    <w:rsid w:val="00C276B3"/>
    <w:rsid w:val="00C30D9C"/>
    <w:rsid w:val="00C31AFF"/>
    <w:rsid w:val="00C32C09"/>
    <w:rsid w:val="00C33328"/>
    <w:rsid w:val="00C33AFE"/>
    <w:rsid w:val="00C34A49"/>
    <w:rsid w:val="00C34CE4"/>
    <w:rsid w:val="00C35FD6"/>
    <w:rsid w:val="00C37479"/>
    <w:rsid w:val="00C3770E"/>
    <w:rsid w:val="00C40812"/>
    <w:rsid w:val="00C410EA"/>
    <w:rsid w:val="00C4200F"/>
    <w:rsid w:val="00C43B80"/>
    <w:rsid w:val="00C45638"/>
    <w:rsid w:val="00C45C19"/>
    <w:rsid w:val="00C46667"/>
    <w:rsid w:val="00C468B3"/>
    <w:rsid w:val="00C4786A"/>
    <w:rsid w:val="00C479D8"/>
    <w:rsid w:val="00C518AC"/>
    <w:rsid w:val="00C55A16"/>
    <w:rsid w:val="00C564B7"/>
    <w:rsid w:val="00C610F7"/>
    <w:rsid w:val="00C627D9"/>
    <w:rsid w:val="00C62814"/>
    <w:rsid w:val="00C628A0"/>
    <w:rsid w:val="00C651EB"/>
    <w:rsid w:val="00C6531B"/>
    <w:rsid w:val="00C65521"/>
    <w:rsid w:val="00C65F45"/>
    <w:rsid w:val="00C66434"/>
    <w:rsid w:val="00C66AA3"/>
    <w:rsid w:val="00C70287"/>
    <w:rsid w:val="00C72FAF"/>
    <w:rsid w:val="00C7435D"/>
    <w:rsid w:val="00C757C9"/>
    <w:rsid w:val="00C774F8"/>
    <w:rsid w:val="00C81CB1"/>
    <w:rsid w:val="00C866A0"/>
    <w:rsid w:val="00C87F6F"/>
    <w:rsid w:val="00C94D78"/>
    <w:rsid w:val="00C94DB9"/>
    <w:rsid w:val="00CA0F56"/>
    <w:rsid w:val="00CA1DBC"/>
    <w:rsid w:val="00CA39CB"/>
    <w:rsid w:val="00CA3D4A"/>
    <w:rsid w:val="00CA41AD"/>
    <w:rsid w:val="00CA5C0E"/>
    <w:rsid w:val="00CA6362"/>
    <w:rsid w:val="00CA63CD"/>
    <w:rsid w:val="00CA7FD6"/>
    <w:rsid w:val="00CB107B"/>
    <w:rsid w:val="00CB18D8"/>
    <w:rsid w:val="00CB6B3D"/>
    <w:rsid w:val="00CB6C43"/>
    <w:rsid w:val="00CB78C7"/>
    <w:rsid w:val="00CC0B68"/>
    <w:rsid w:val="00CC1FAC"/>
    <w:rsid w:val="00CC32D2"/>
    <w:rsid w:val="00CC3A01"/>
    <w:rsid w:val="00CC4191"/>
    <w:rsid w:val="00CC4A83"/>
    <w:rsid w:val="00CD0020"/>
    <w:rsid w:val="00CD08C8"/>
    <w:rsid w:val="00CD08F5"/>
    <w:rsid w:val="00CD2283"/>
    <w:rsid w:val="00CD5ECE"/>
    <w:rsid w:val="00CD69D4"/>
    <w:rsid w:val="00CD7569"/>
    <w:rsid w:val="00CD7DB5"/>
    <w:rsid w:val="00CE099E"/>
    <w:rsid w:val="00CE171A"/>
    <w:rsid w:val="00CE45C9"/>
    <w:rsid w:val="00CE6904"/>
    <w:rsid w:val="00CF00F6"/>
    <w:rsid w:val="00CF383C"/>
    <w:rsid w:val="00CF400F"/>
    <w:rsid w:val="00CF749F"/>
    <w:rsid w:val="00CF7670"/>
    <w:rsid w:val="00D00827"/>
    <w:rsid w:val="00D02170"/>
    <w:rsid w:val="00D02A5F"/>
    <w:rsid w:val="00D04523"/>
    <w:rsid w:val="00D053D5"/>
    <w:rsid w:val="00D11FB6"/>
    <w:rsid w:val="00D130AF"/>
    <w:rsid w:val="00D13468"/>
    <w:rsid w:val="00D20AAF"/>
    <w:rsid w:val="00D218A2"/>
    <w:rsid w:val="00D22F22"/>
    <w:rsid w:val="00D2380E"/>
    <w:rsid w:val="00D261D6"/>
    <w:rsid w:val="00D26D05"/>
    <w:rsid w:val="00D272DC"/>
    <w:rsid w:val="00D31BCE"/>
    <w:rsid w:val="00D3246B"/>
    <w:rsid w:val="00D32DEC"/>
    <w:rsid w:val="00D36438"/>
    <w:rsid w:val="00D36748"/>
    <w:rsid w:val="00D379DA"/>
    <w:rsid w:val="00D441DF"/>
    <w:rsid w:val="00D445F3"/>
    <w:rsid w:val="00D44924"/>
    <w:rsid w:val="00D4532F"/>
    <w:rsid w:val="00D472F4"/>
    <w:rsid w:val="00D50158"/>
    <w:rsid w:val="00D54D71"/>
    <w:rsid w:val="00D553B1"/>
    <w:rsid w:val="00D561CA"/>
    <w:rsid w:val="00D57F91"/>
    <w:rsid w:val="00D6021F"/>
    <w:rsid w:val="00D607C8"/>
    <w:rsid w:val="00D6234A"/>
    <w:rsid w:val="00D639BE"/>
    <w:rsid w:val="00D66A05"/>
    <w:rsid w:val="00D67173"/>
    <w:rsid w:val="00D67E75"/>
    <w:rsid w:val="00D71C7A"/>
    <w:rsid w:val="00D71ED2"/>
    <w:rsid w:val="00D74931"/>
    <w:rsid w:val="00D7739C"/>
    <w:rsid w:val="00D80848"/>
    <w:rsid w:val="00D80E08"/>
    <w:rsid w:val="00D81050"/>
    <w:rsid w:val="00D84A26"/>
    <w:rsid w:val="00D84A98"/>
    <w:rsid w:val="00D86397"/>
    <w:rsid w:val="00D900D8"/>
    <w:rsid w:val="00D90908"/>
    <w:rsid w:val="00D915AD"/>
    <w:rsid w:val="00D9207E"/>
    <w:rsid w:val="00D92861"/>
    <w:rsid w:val="00D93F02"/>
    <w:rsid w:val="00D96AF0"/>
    <w:rsid w:val="00DA18DA"/>
    <w:rsid w:val="00DA1E5B"/>
    <w:rsid w:val="00DA4411"/>
    <w:rsid w:val="00DA6961"/>
    <w:rsid w:val="00DB191B"/>
    <w:rsid w:val="00DB3744"/>
    <w:rsid w:val="00DB75D5"/>
    <w:rsid w:val="00DC1CF7"/>
    <w:rsid w:val="00DC1FCE"/>
    <w:rsid w:val="00DC2FBE"/>
    <w:rsid w:val="00DC33BA"/>
    <w:rsid w:val="00DC53A9"/>
    <w:rsid w:val="00DD0594"/>
    <w:rsid w:val="00DD33F1"/>
    <w:rsid w:val="00DD5624"/>
    <w:rsid w:val="00DE128A"/>
    <w:rsid w:val="00DE1594"/>
    <w:rsid w:val="00DE184E"/>
    <w:rsid w:val="00DE4473"/>
    <w:rsid w:val="00DE45B8"/>
    <w:rsid w:val="00DE4642"/>
    <w:rsid w:val="00DE4AA8"/>
    <w:rsid w:val="00DE5BB2"/>
    <w:rsid w:val="00DE7872"/>
    <w:rsid w:val="00DF1493"/>
    <w:rsid w:val="00DF2128"/>
    <w:rsid w:val="00DF264E"/>
    <w:rsid w:val="00DF34B4"/>
    <w:rsid w:val="00DF4762"/>
    <w:rsid w:val="00DF4B81"/>
    <w:rsid w:val="00DF6859"/>
    <w:rsid w:val="00DF69DF"/>
    <w:rsid w:val="00DF71E0"/>
    <w:rsid w:val="00E0089D"/>
    <w:rsid w:val="00E03109"/>
    <w:rsid w:val="00E03EF4"/>
    <w:rsid w:val="00E12088"/>
    <w:rsid w:val="00E126D9"/>
    <w:rsid w:val="00E13466"/>
    <w:rsid w:val="00E16B0D"/>
    <w:rsid w:val="00E17485"/>
    <w:rsid w:val="00E20B40"/>
    <w:rsid w:val="00E2268A"/>
    <w:rsid w:val="00E23655"/>
    <w:rsid w:val="00E238F6"/>
    <w:rsid w:val="00E23B96"/>
    <w:rsid w:val="00E25ABF"/>
    <w:rsid w:val="00E25BC2"/>
    <w:rsid w:val="00E26CF6"/>
    <w:rsid w:val="00E26D15"/>
    <w:rsid w:val="00E27244"/>
    <w:rsid w:val="00E32B09"/>
    <w:rsid w:val="00E33063"/>
    <w:rsid w:val="00E40F69"/>
    <w:rsid w:val="00E42683"/>
    <w:rsid w:val="00E47417"/>
    <w:rsid w:val="00E5120C"/>
    <w:rsid w:val="00E52611"/>
    <w:rsid w:val="00E56E25"/>
    <w:rsid w:val="00E57903"/>
    <w:rsid w:val="00E64B40"/>
    <w:rsid w:val="00E6524F"/>
    <w:rsid w:val="00E65517"/>
    <w:rsid w:val="00E659BA"/>
    <w:rsid w:val="00E665AE"/>
    <w:rsid w:val="00E70F84"/>
    <w:rsid w:val="00E7145A"/>
    <w:rsid w:val="00E720EB"/>
    <w:rsid w:val="00E72904"/>
    <w:rsid w:val="00E74495"/>
    <w:rsid w:val="00E7511A"/>
    <w:rsid w:val="00E753ED"/>
    <w:rsid w:val="00E75BA4"/>
    <w:rsid w:val="00E80C37"/>
    <w:rsid w:val="00E811EB"/>
    <w:rsid w:val="00E82E69"/>
    <w:rsid w:val="00E87965"/>
    <w:rsid w:val="00E91451"/>
    <w:rsid w:val="00E91EAB"/>
    <w:rsid w:val="00E93B03"/>
    <w:rsid w:val="00E9614C"/>
    <w:rsid w:val="00E96E53"/>
    <w:rsid w:val="00E97EA6"/>
    <w:rsid w:val="00EA0CEC"/>
    <w:rsid w:val="00EA1749"/>
    <w:rsid w:val="00EA4551"/>
    <w:rsid w:val="00EA4EFB"/>
    <w:rsid w:val="00EA5FB8"/>
    <w:rsid w:val="00EA70A4"/>
    <w:rsid w:val="00EB2E86"/>
    <w:rsid w:val="00EB69DA"/>
    <w:rsid w:val="00EB761E"/>
    <w:rsid w:val="00EB7AB1"/>
    <w:rsid w:val="00EB7C54"/>
    <w:rsid w:val="00EC0F7E"/>
    <w:rsid w:val="00EC4FCE"/>
    <w:rsid w:val="00EC657A"/>
    <w:rsid w:val="00EC6B62"/>
    <w:rsid w:val="00EC78E0"/>
    <w:rsid w:val="00ED017F"/>
    <w:rsid w:val="00ED23F2"/>
    <w:rsid w:val="00ED2434"/>
    <w:rsid w:val="00ED3071"/>
    <w:rsid w:val="00ED4B00"/>
    <w:rsid w:val="00ED622C"/>
    <w:rsid w:val="00EE2664"/>
    <w:rsid w:val="00EE4557"/>
    <w:rsid w:val="00EE5623"/>
    <w:rsid w:val="00EF17DB"/>
    <w:rsid w:val="00EF1802"/>
    <w:rsid w:val="00EF4D2B"/>
    <w:rsid w:val="00EF52BF"/>
    <w:rsid w:val="00EF59F4"/>
    <w:rsid w:val="00F0281B"/>
    <w:rsid w:val="00F02E75"/>
    <w:rsid w:val="00F041D6"/>
    <w:rsid w:val="00F043D1"/>
    <w:rsid w:val="00F04F65"/>
    <w:rsid w:val="00F06D63"/>
    <w:rsid w:val="00F07DD1"/>
    <w:rsid w:val="00F12B4C"/>
    <w:rsid w:val="00F13244"/>
    <w:rsid w:val="00F14E5C"/>
    <w:rsid w:val="00F15668"/>
    <w:rsid w:val="00F16528"/>
    <w:rsid w:val="00F17D2F"/>
    <w:rsid w:val="00F20237"/>
    <w:rsid w:val="00F24DAB"/>
    <w:rsid w:val="00F24FB0"/>
    <w:rsid w:val="00F2646D"/>
    <w:rsid w:val="00F27BFA"/>
    <w:rsid w:val="00F300FB"/>
    <w:rsid w:val="00F32117"/>
    <w:rsid w:val="00F343B3"/>
    <w:rsid w:val="00F35952"/>
    <w:rsid w:val="00F3671A"/>
    <w:rsid w:val="00F37277"/>
    <w:rsid w:val="00F409CC"/>
    <w:rsid w:val="00F4270B"/>
    <w:rsid w:val="00F468DC"/>
    <w:rsid w:val="00F56E15"/>
    <w:rsid w:val="00F572B7"/>
    <w:rsid w:val="00F5796D"/>
    <w:rsid w:val="00F60D3D"/>
    <w:rsid w:val="00F62177"/>
    <w:rsid w:val="00F64989"/>
    <w:rsid w:val="00F6643B"/>
    <w:rsid w:val="00F6733F"/>
    <w:rsid w:val="00F708C6"/>
    <w:rsid w:val="00F71987"/>
    <w:rsid w:val="00F71D08"/>
    <w:rsid w:val="00F72043"/>
    <w:rsid w:val="00F73832"/>
    <w:rsid w:val="00F76271"/>
    <w:rsid w:val="00F77615"/>
    <w:rsid w:val="00F80D9F"/>
    <w:rsid w:val="00F81F18"/>
    <w:rsid w:val="00F826E5"/>
    <w:rsid w:val="00F858B2"/>
    <w:rsid w:val="00F85C39"/>
    <w:rsid w:val="00F85CE0"/>
    <w:rsid w:val="00F874BD"/>
    <w:rsid w:val="00F90909"/>
    <w:rsid w:val="00F917D1"/>
    <w:rsid w:val="00F92F30"/>
    <w:rsid w:val="00F932A9"/>
    <w:rsid w:val="00F93FE5"/>
    <w:rsid w:val="00F94E5D"/>
    <w:rsid w:val="00F960BB"/>
    <w:rsid w:val="00FA067E"/>
    <w:rsid w:val="00FA06CD"/>
    <w:rsid w:val="00FA6C87"/>
    <w:rsid w:val="00FA6DDF"/>
    <w:rsid w:val="00FB0167"/>
    <w:rsid w:val="00FB0282"/>
    <w:rsid w:val="00FB2A72"/>
    <w:rsid w:val="00FB46D6"/>
    <w:rsid w:val="00FB4A53"/>
    <w:rsid w:val="00FB6F0F"/>
    <w:rsid w:val="00FC0324"/>
    <w:rsid w:val="00FC091E"/>
    <w:rsid w:val="00FC0ED4"/>
    <w:rsid w:val="00FC2D87"/>
    <w:rsid w:val="00FC3309"/>
    <w:rsid w:val="00FC4BD0"/>
    <w:rsid w:val="00FC6762"/>
    <w:rsid w:val="00FC7F99"/>
    <w:rsid w:val="00FD1BD7"/>
    <w:rsid w:val="00FD28CD"/>
    <w:rsid w:val="00FD5E69"/>
    <w:rsid w:val="00FD7550"/>
    <w:rsid w:val="00FE2F5D"/>
    <w:rsid w:val="00FE41C5"/>
    <w:rsid w:val="00FE4894"/>
    <w:rsid w:val="00FE52F5"/>
    <w:rsid w:val="00FE5F6D"/>
    <w:rsid w:val="00FE77FE"/>
    <w:rsid w:val="00FE7CBE"/>
    <w:rsid w:val="00FF2418"/>
    <w:rsid w:val="00FF311C"/>
    <w:rsid w:val="00FF387B"/>
    <w:rsid w:val="00FF4839"/>
    <w:rsid w:val="00FF4EC0"/>
    <w:rsid w:val="00FF5511"/>
    <w:rsid w:val="00FF6BA7"/>
    <w:rsid w:val="00FF6C69"/>
    <w:rsid w:val="00FF747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A5DB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91E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SDA Numbered heading 1"/>
    <w:basedOn w:val="Normal"/>
    <w:next w:val="Normal"/>
    <w:link w:val="Heading2Char"/>
    <w:uiPriority w:val="9"/>
    <w:unhideWhenUsed/>
    <w:qFormat/>
    <w:rsid w:val="001007C1"/>
    <w:pPr>
      <w:numPr>
        <w:numId w:val="3"/>
      </w:numPr>
      <w:pBdr>
        <w:bottom w:val="single" w:sz="4" w:space="10" w:color="CF5D27"/>
      </w:pBdr>
      <w:spacing w:before="800" w:after="280"/>
      <w:outlineLvl w:val="1"/>
    </w:pPr>
    <w:rPr>
      <w:rFonts w:ascii="Calibri" w:eastAsiaTheme="majorEastAsia" w:hAnsi="Calibri" w:cstheme="majorBidi"/>
      <w:b/>
      <w:bCs/>
      <w:color w:val="757575"/>
      <w:sz w:val="50"/>
      <w:szCs w:val="26"/>
    </w:rPr>
  </w:style>
  <w:style w:type="paragraph" w:styleId="Heading3">
    <w:name w:val="heading 3"/>
    <w:basedOn w:val="Normal"/>
    <w:next w:val="Normal"/>
    <w:link w:val="Heading3Char"/>
    <w:uiPriority w:val="9"/>
    <w:unhideWhenUsed/>
    <w:qFormat/>
    <w:rsid w:val="00914B6A"/>
    <w:pPr>
      <w:keepNext/>
      <w:keepLines/>
      <w:spacing w:before="200" w:after="0"/>
      <w:ind w:left="720" w:hanging="720"/>
      <w:outlineLvl w:val="2"/>
    </w:pPr>
    <w:rPr>
      <w:rFonts w:asciiTheme="majorHAnsi" w:eastAsiaTheme="majorEastAsia" w:hAnsiTheme="majorHAnsi" w:cstheme="majorBidi"/>
      <w:b/>
      <w:bCs/>
      <w:color w:val="4F81BD" w:themeColor="accent1"/>
      <w:sz w:val="24"/>
    </w:rPr>
  </w:style>
  <w:style w:type="paragraph" w:styleId="Heading4">
    <w:name w:val="heading 4"/>
    <w:basedOn w:val="Normal"/>
    <w:next w:val="Normal"/>
    <w:link w:val="Heading4Char"/>
    <w:uiPriority w:val="9"/>
    <w:unhideWhenUsed/>
    <w:qFormat/>
    <w:rsid w:val="00914B6A"/>
    <w:pPr>
      <w:keepNext/>
      <w:keepLines/>
      <w:numPr>
        <w:ilvl w:val="3"/>
        <w:numId w:val="3"/>
      </w:numPr>
      <w:spacing w:before="200" w:after="0"/>
      <w:outlineLvl w:val="3"/>
    </w:pPr>
    <w:rPr>
      <w:rFonts w:asciiTheme="majorHAnsi" w:eastAsiaTheme="majorEastAsia" w:hAnsiTheme="majorHAnsi" w:cstheme="majorBidi"/>
      <w:b/>
      <w:bCs/>
      <w:i/>
      <w:iCs/>
      <w:color w:val="4F81BD" w:themeColor="accent1"/>
      <w:sz w:val="24"/>
    </w:rPr>
  </w:style>
  <w:style w:type="paragraph" w:styleId="Heading5">
    <w:name w:val="heading 5"/>
    <w:basedOn w:val="Normal"/>
    <w:next w:val="Normal"/>
    <w:link w:val="Heading5Char"/>
    <w:uiPriority w:val="9"/>
    <w:unhideWhenUsed/>
    <w:qFormat/>
    <w:rsid w:val="00914B6A"/>
    <w:pPr>
      <w:keepNext/>
      <w:keepLines/>
      <w:numPr>
        <w:ilvl w:val="4"/>
        <w:numId w:val="3"/>
      </w:numPr>
      <w:spacing w:before="200" w:after="0"/>
      <w:outlineLvl w:val="4"/>
    </w:pPr>
    <w:rPr>
      <w:rFonts w:asciiTheme="majorHAnsi" w:eastAsiaTheme="majorEastAsia" w:hAnsiTheme="majorHAnsi" w:cstheme="majorBidi"/>
      <w:color w:val="243F60" w:themeColor="accent1" w:themeShade="7F"/>
      <w:sz w:val="24"/>
    </w:rPr>
  </w:style>
  <w:style w:type="paragraph" w:styleId="Heading6">
    <w:name w:val="heading 6"/>
    <w:basedOn w:val="Normal"/>
    <w:next w:val="Normal"/>
    <w:link w:val="Heading6Char"/>
    <w:uiPriority w:val="9"/>
    <w:unhideWhenUsed/>
    <w:qFormat/>
    <w:rsid w:val="00914B6A"/>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sz w:val="24"/>
    </w:rPr>
  </w:style>
  <w:style w:type="paragraph" w:styleId="Heading7">
    <w:name w:val="heading 7"/>
    <w:basedOn w:val="Normal"/>
    <w:next w:val="Normal"/>
    <w:link w:val="Heading7Char"/>
    <w:uiPriority w:val="9"/>
    <w:semiHidden/>
    <w:unhideWhenUsed/>
    <w:qFormat/>
    <w:rsid w:val="00914B6A"/>
    <w:pPr>
      <w:keepNext/>
      <w:keepLines/>
      <w:numPr>
        <w:ilvl w:val="6"/>
        <w:numId w:val="3"/>
      </w:numPr>
      <w:spacing w:before="200" w:after="0"/>
      <w:outlineLvl w:val="6"/>
    </w:pPr>
    <w:rPr>
      <w:rFonts w:asciiTheme="majorHAnsi" w:eastAsiaTheme="majorEastAsia" w:hAnsiTheme="majorHAnsi" w:cstheme="majorBidi"/>
      <w:i/>
      <w:iCs/>
      <w:color w:val="404040" w:themeColor="text1" w:themeTint="BF"/>
      <w:sz w:val="24"/>
    </w:rPr>
  </w:style>
  <w:style w:type="paragraph" w:styleId="Heading8">
    <w:name w:val="heading 8"/>
    <w:basedOn w:val="Normal"/>
    <w:next w:val="Normal"/>
    <w:link w:val="Heading8Char"/>
    <w:uiPriority w:val="9"/>
    <w:semiHidden/>
    <w:unhideWhenUsed/>
    <w:qFormat/>
    <w:rsid w:val="00914B6A"/>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14B6A"/>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FSbodytext">
    <w:name w:val="PIFS body text"/>
    <w:basedOn w:val="Normal"/>
    <w:link w:val="PIFSbodytextChar"/>
    <w:rsid w:val="00E91EAB"/>
    <w:pPr>
      <w:spacing w:before="160" w:after="160"/>
    </w:pPr>
    <w:rPr>
      <w:rFonts w:ascii="Arial" w:eastAsia="Arial" w:hAnsi="Arial" w:cs="Arial"/>
      <w:color w:val="000000"/>
      <w:lang w:val="en-US"/>
    </w:rPr>
  </w:style>
  <w:style w:type="character" w:customStyle="1" w:styleId="PIFSbodytextChar">
    <w:name w:val="PIFS body text Char"/>
    <w:basedOn w:val="DefaultParagraphFont"/>
    <w:link w:val="PIFSbodytext"/>
    <w:rsid w:val="00E91EAB"/>
    <w:rPr>
      <w:rFonts w:ascii="Arial" w:eastAsia="Arial" w:hAnsi="Arial" w:cs="Arial"/>
      <w:color w:val="000000"/>
      <w:lang w:val="en-US"/>
    </w:rPr>
  </w:style>
  <w:style w:type="paragraph" w:customStyle="1" w:styleId="PIFSbulletlist">
    <w:name w:val="PIFS bullet list"/>
    <w:basedOn w:val="ListParagraph"/>
    <w:link w:val="PIFSbulletlistChar"/>
    <w:rsid w:val="00E91EAB"/>
    <w:pPr>
      <w:numPr>
        <w:numId w:val="2"/>
      </w:numPr>
      <w:tabs>
        <w:tab w:val="num" w:pos="360"/>
      </w:tabs>
      <w:spacing w:after="0"/>
      <w:ind w:left="720" w:firstLine="0"/>
    </w:pPr>
    <w:rPr>
      <w:rFonts w:ascii="Arial" w:eastAsia="Arial" w:hAnsi="Arial" w:cs="Arial"/>
      <w:color w:val="000000"/>
      <w:lang w:val="en-US"/>
    </w:rPr>
  </w:style>
  <w:style w:type="character" w:customStyle="1" w:styleId="PIFSbulletlistChar">
    <w:name w:val="PIFS bullet list Char"/>
    <w:basedOn w:val="DefaultParagraphFont"/>
    <w:link w:val="PIFSbulletlist"/>
    <w:rsid w:val="00E91EAB"/>
    <w:rPr>
      <w:rFonts w:ascii="Arial" w:eastAsia="Arial" w:hAnsi="Arial" w:cs="Arial"/>
      <w:color w:val="000000"/>
      <w:lang w:val="en-US"/>
    </w:rPr>
  </w:style>
  <w:style w:type="paragraph" w:styleId="ListParagraph">
    <w:name w:val="List Paragraph"/>
    <w:aliases w:val="1st level - Bullet List Paragraph,Paragrafo elenco,List Paragraph1,List Paragraph - Dani,List Paragraph 1 - Dani"/>
    <w:basedOn w:val="Normal"/>
    <w:link w:val="ListParagraphChar"/>
    <w:uiPriority w:val="34"/>
    <w:qFormat/>
    <w:rsid w:val="00E91EAB"/>
    <w:pPr>
      <w:ind w:left="720"/>
      <w:contextualSpacing/>
    </w:pPr>
  </w:style>
  <w:style w:type="paragraph" w:customStyle="1" w:styleId="PIFSheading1">
    <w:name w:val="PIFS heading 1"/>
    <w:basedOn w:val="Heading1"/>
    <w:link w:val="PIFSheading1Char"/>
    <w:rsid w:val="00E91EAB"/>
    <w:pPr>
      <w:keepLines w:val="0"/>
      <w:numPr>
        <w:numId w:val="1"/>
      </w:numPr>
      <w:spacing w:before="400" w:after="200"/>
    </w:pPr>
    <w:rPr>
      <w:rFonts w:ascii="Arial" w:eastAsia="Arial Black" w:hAnsi="Arial" w:cs="Arial Black"/>
      <w:bCs w:val="0"/>
      <w:color w:val="000000"/>
      <w:lang w:val="en-US"/>
    </w:rPr>
  </w:style>
  <w:style w:type="character" w:customStyle="1" w:styleId="PIFSheading1Char">
    <w:name w:val="PIFS heading 1 Char"/>
    <w:basedOn w:val="Heading1Char"/>
    <w:link w:val="PIFSheading1"/>
    <w:rsid w:val="00E91EAB"/>
    <w:rPr>
      <w:rFonts w:ascii="Arial" w:eastAsia="Arial Black" w:hAnsi="Arial" w:cs="Arial Black"/>
      <w:b/>
      <w:bCs w:val="0"/>
      <w:color w:val="000000"/>
      <w:sz w:val="28"/>
      <w:szCs w:val="28"/>
      <w:lang w:val="en-US"/>
    </w:rPr>
  </w:style>
  <w:style w:type="character" w:customStyle="1" w:styleId="Heading1Char">
    <w:name w:val="Heading 1 Char"/>
    <w:basedOn w:val="DefaultParagraphFont"/>
    <w:link w:val="Heading1"/>
    <w:uiPriority w:val="9"/>
    <w:rsid w:val="00E91EAB"/>
    <w:rPr>
      <w:rFonts w:asciiTheme="majorHAnsi" w:eastAsiaTheme="majorEastAsia" w:hAnsiTheme="majorHAnsi" w:cstheme="majorBidi"/>
      <w:b/>
      <w:bCs/>
      <w:color w:val="365F91" w:themeColor="accent1" w:themeShade="BF"/>
      <w:sz w:val="28"/>
      <w:szCs w:val="28"/>
    </w:rPr>
  </w:style>
  <w:style w:type="paragraph" w:customStyle="1" w:styleId="PIFSheading2">
    <w:name w:val="PIFS heading 2"/>
    <w:basedOn w:val="Normal"/>
    <w:link w:val="PIFSheading2Char"/>
    <w:rsid w:val="00E91EAB"/>
    <w:pPr>
      <w:spacing w:before="300"/>
      <w:ind w:left="1843" w:hanging="1843"/>
    </w:pPr>
    <w:rPr>
      <w:rFonts w:ascii="Arial" w:eastAsia="Arial" w:hAnsi="Arial" w:cs="Arial"/>
      <w:b/>
      <w:color w:val="000000"/>
      <w:lang w:val="en-US"/>
    </w:rPr>
  </w:style>
  <w:style w:type="character" w:customStyle="1" w:styleId="PIFSheading2Char">
    <w:name w:val="PIFS heading 2 Char"/>
    <w:basedOn w:val="DefaultParagraphFont"/>
    <w:link w:val="PIFSheading2"/>
    <w:rsid w:val="00E91EAB"/>
    <w:rPr>
      <w:rFonts w:ascii="Arial" w:eastAsia="Arial" w:hAnsi="Arial" w:cs="Arial"/>
      <w:b/>
      <w:color w:val="000000"/>
      <w:lang w:val="en-US"/>
    </w:rPr>
  </w:style>
  <w:style w:type="paragraph" w:customStyle="1" w:styleId="PIFSheading3">
    <w:name w:val="PIFS heading 3"/>
    <w:basedOn w:val="Normal"/>
    <w:link w:val="PIFSheading3Char"/>
    <w:rsid w:val="00E91EAB"/>
    <w:pPr>
      <w:spacing w:before="300"/>
      <w:ind w:left="1843" w:hanging="1843"/>
    </w:pPr>
    <w:rPr>
      <w:rFonts w:ascii="Arial" w:eastAsia="Arial" w:hAnsi="Arial" w:cs="Arial"/>
      <w:b/>
      <w:color w:val="000000"/>
      <w:lang w:val="en-US"/>
    </w:rPr>
  </w:style>
  <w:style w:type="character" w:customStyle="1" w:styleId="PIFSheading3Char">
    <w:name w:val="PIFS heading 3 Char"/>
    <w:basedOn w:val="DefaultParagraphFont"/>
    <w:link w:val="PIFSheading3"/>
    <w:rsid w:val="00E91EAB"/>
    <w:rPr>
      <w:rFonts w:ascii="Arial" w:eastAsia="Arial" w:hAnsi="Arial" w:cs="Arial"/>
      <w:b/>
      <w:color w:val="000000"/>
      <w:lang w:val="en-US"/>
    </w:rPr>
  </w:style>
  <w:style w:type="paragraph" w:customStyle="1" w:styleId="PIFSquotation">
    <w:name w:val="PIFS quotation"/>
    <w:basedOn w:val="Normal"/>
    <w:link w:val="PIFSquotationChar"/>
    <w:rsid w:val="00E91EAB"/>
    <w:pPr>
      <w:ind w:left="1559" w:right="1933"/>
    </w:pPr>
    <w:rPr>
      <w:rFonts w:ascii="Arial" w:eastAsia="Arial" w:hAnsi="Arial" w:cs="Arial"/>
      <w:color w:val="000000"/>
      <w:lang w:val="en-US"/>
    </w:rPr>
  </w:style>
  <w:style w:type="character" w:customStyle="1" w:styleId="PIFSquotationChar">
    <w:name w:val="PIFS quotation Char"/>
    <w:basedOn w:val="DefaultParagraphFont"/>
    <w:link w:val="PIFSquotation"/>
    <w:rsid w:val="00E91EAB"/>
    <w:rPr>
      <w:rFonts w:ascii="Arial" w:eastAsia="Arial" w:hAnsi="Arial" w:cs="Arial"/>
      <w:color w:val="000000"/>
      <w:lang w:val="en-US"/>
    </w:rPr>
  </w:style>
  <w:style w:type="paragraph" w:customStyle="1" w:styleId="PIFStablebullets">
    <w:name w:val="PIFS table bullets"/>
    <w:basedOn w:val="PIFSbulletlist"/>
    <w:link w:val="PIFStablebulletsChar"/>
    <w:rsid w:val="00E91EAB"/>
    <w:pPr>
      <w:numPr>
        <w:numId w:val="0"/>
      </w:numPr>
      <w:spacing w:before="60" w:after="60"/>
      <w:contextualSpacing w:val="0"/>
    </w:pPr>
    <w:rPr>
      <w:sz w:val="18"/>
      <w:szCs w:val="18"/>
    </w:rPr>
  </w:style>
  <w:style w:type="character" w:customStyle="1" w:styleId="PIFStablebulletsChar">
    <w:name w:val="PIFS table bullets Char"/>
    <w:basedOn w:val="PIFSbulletlistChar"/>
    <w:link w:val="PIFStablebullets"/>
    <w:rsid w:val="00E91EAB"/>
    <w:rPr>
      <w:rFonts w:ascii="Arial" w:eastAsia="Arial" w:hAnsi="Arial" w:cs="Arial"/>
      <w:color w:val="000000"/>
      <w:sz w:val="18"/>
      <w:szCs w:val="18"/>
      <w:lang w:val="en-US"/>
    </w:rPr>
  </w:style>
  <w:style w:type="paragraph" w:customStyle="1" w:styleId="PIFStableheading">
    <w:name w:val="PIFS table heading"/>
    <w:basedOn w:val="PIFSheading3"/>
    <w:link w:val="PIFStableheadingChar"/>
    <w:rsid w:val="00E91EAB"/>
    <w:pPr>
      <w:spacing w:before="60" w:after="60"/>
      <w:jc w:val="center"/>
    </w:pPr>
    <w:rPr>
      <w:sz w:val="20"/>
      <w:szCs w:val="20"/>
    </w:rPr>
  </w:style>
  <w:style w:type="character" w:customStyle="1" w:styleId="PIFStableheadingChar">
    <w:name w:val="PIFS table heading Char"/>
    <w:basedOn w:val="PIFSheading3Char"/>
    <w:link w:val="PIFStableheading"/>
    <w:rsid w:val="00E91EAB"/>
    <w:rPr>
      <w:rFonts w:ascii="Arial" w:eastAsia="Arial" w:hAnsi="Arial" w:cs="Arial"/>
      <w:b/>
      <w:color w:val="000000"/>
      <w:sz w:val="20"/>
      <w:szCs w:val="20"/>
      <w:lang w:val="en-US"/>
    </w:rPr>
  </w:style>
  <w:style w:type="paragraph" w:customStyle="1" w:styleId="PIFStabletext">
    <w:name w:val="PIFS table text"/>
    <w:basedOn w:val="PIFStableheading"/>
    <w:link w:val="PIFStabletextChar"/>
    <w:rsid w:val="00E91EAB"/>
    <w:pPr>
      <w:jc w:val="left"/>
    </w:pPr>
    <w:rPr>
      <w:b w:val="0"/>
      <w:sz w:val="18"/>
    </w:rPr>
  </w:style>
  <w:style w:type="character" w:customStyle="1" w:styleId="PIFStabletextChar">
    <w:name w:val="PIFS table text Char"/>
    <w:basedOn w:val="PIFStableheadingChar"/>
    <w:link w:val="PIFStabletext"/>
    <w:rsid w:val="00E91EAB"/>
    <w:rPr>
      <w:rFonts w:ascii="Arial" w:eastAsia="Arial" w:hAnsi="Arial" w:cs="Arial"/>
      <w:b w:val="0"/>
      <w:color w:val="000000"/>
      <w:sz w:val="18"/>
      <w:szCs w:val="20"/>
      <w:lang w:val="en-US"/>
    </w:rPr>
  </w:style>
  <w:style w:type="paragraph" w:customStyle="1" w:styleId="PIFStitlepage">
    <w:name w:val="PIFS title page"/>
    <w:basedOn w:val="Normal"/>
    <w:link w:val="PIFStitlepageChar"/>
    <w:rsid w:val="00E91EAB"/>
    <w:pPr>
      <w:tabs>
        <w:tab w:val="center" w:pos="4320"/>
        <w:tab w:val="right" w:pos="8640"/>
      </w:tabs>
      <w:jc w:val="center"/>
    </w:pPr>
    <w:rPr>
      <w:rFonts w:ascii="Arial" w:eastAsia="Arial" w:hAnsi="Arial" w:cs="Arial"/>
      <w:b/>
      <w:color w:val="000000"/>
      <w:sz w:val="40"/>
      <w:lang w:val="en-US"/>
    </w:rPr>
  </w:style>
  <w:style w:type="character" w:customStyle="1" w:styleId="PIFStitlepageChar">
    <w:name w:val="PIFS title page Char"/>
    <w:basedOn w:val="DefaultParagraphFont"/>
    <w:link w:val="PIFStitlepage"/>
    <w:rsid w:val="00E91EAB"/>
    <w:rPr>
      <w:rFonts w:ascii="Arial" w:eastAsia="Arial" w:hAnsi="Arial" w:cs="Arial"/>
      <w:b/>
      <w:color w:val="000000"/>
      <w:sz w:val="40"/>
      <w:lang w:val="en-US"/>
    </w:rPr>
  </w:style>
  <w:style w:type="character" w:customStyle="1" w:styleId="Heading3Char">
    <w:name w:val="Heading 3 Char"/>
    <w:basedOn w:val="DefaultParagraphFont"/>
    <w:link w:val="Heading3"/>
    <w:uiPriority w:val="9"/>
    <w:rsid w:val="00914B6A"/>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rsid w:val="00914B6A"/>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rsid w:val="00914B6A"/>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rsid w:val="00914B6A"/>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914B6A"/>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914B6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14B6A"/>
    <w:rPr>
      <w:rFonts w:asciiTheme="majorHAnsi" w:eastAsiaTheme="majorEastAsia" w:hAnsiTheme="majorHAnsi" w:cstheme="majorBidi"/>
      <w:i/>
      <w:iCs/>
      <w:color w:val="404040" w:themeColor="text1" w:themeTint="BF"/>
      <w:sz w:val="20"/>
      <w:szCs w:val="20"/>
    </w:rPr>
  </w:style>
  <w:style w:type="paragraph" w:customStyle="1" w:styleId="NumberedParas1cmindent">
    <w:name w:val="Numbered Paras 1cm indent"/>
    <w:basedOn w:val="Heading1"/>
    <w:next w:val="Normal"/>
    <w:rsid w:val="00914B6A"/>
    <w:pPr>
      <w:keepNext w:val="0"/>
      <w:keepLines w:val="0"/>
      <w:spacing w:before="0" w:after="160"/>
      <w:ind w:left="432" w:hanging="432"/>
    </w:pPr>
    <w:rPr>
      <w:rFonts w:asciiTheme="minorHAnsi" w:eastAsia="Calibri" w:hAnsiTheme="minorHAnsi" w:cstheme="minorHAnsi"/>
      <w:b w:val="0"/>
      <w:bCs w:val="0"/>
      <w:color w:val="auto"/>
      <w:sz w:val="24"/>
      <w:szCs w:val="24"/>
    </w:rPr>
  </w:style>
  <w:style w:type="paragraph" w:customStyle="1" w:styleId="11Style">
    <w:name w:val="1.1 Style"/>
    <w:basedOn w:val="Heading2"/>
    <w:link w:val="11StyleChar"/>
    <w:qFormat/>
    <w:rsid w:val="00914B6A"/>
    <w:pPr>
      <w:numPr>
        <w:numId w:val="0"/>
      </w:numPr>
      <w:spacing w:after="160"/>
      <w:ind w:left="1418" w:hanging="851"/>
    </w:pPr>
    <w:rPr>
      <w:rFonts w:eastAsia="Calibri" w:cstheme="minorHAnsi"/>
      <w:b w:val="0"/>
      <w:bCs w:val="0"/>
      <w:noProof/>
      <w:sz w:val="24"/>
      <w:szCs w:val="24"/>
      <w:lang w:eastAsia="en-AU"/>
    </w:rPr>
  </w:style>
  <w:style w:type="character" w:customStyle="1" w:styleId="11StyleChar">
    <w:name w:val="1.1 Style Char"/>
    <w:basedOn w:val="Heading2Char"/>
    <w:link w:val="11Style"/>
    <w:rsid w:val="00914B6A"/>
    <w:rPr>
      <w:rFonts w:ascii="Calibri" w:eastAsia="Calibri" w:hAnsi="Calibri" w:cstheme="minorHAnsi"/>
      <w:b w:val="0"/>
      <w:bCs w:val="0"/>
      <w:noProof/>
      <w:color w:val="757575"/>
      <w:sz w:val="24"/>
      <w:szCs w:val="24"/>
      <w:lang w:eastAsia="en-AU"/>
    </w:rPr>
  </w:style>
  <w:style w:type="character" w:customStyle="1" w:styleId="Heading2Char">
    <w:name w:val="Heading 2 Char"/>
    <w:aliases w:val="SDA Numbered heading 1 Char"/>
    <w:basedOn w:val="DefaultParagraphFont"/>
    <w:link w:val="Heading2"/>
    <w:uiPriority w:val="9"/>
    <w:rsid w:val="001007C1"/>
    <w:rPr>
      <w:rFonts w:ascii="Calibri" w:eastAsiaTheme="majorEastAsia" w:hAnsi="Calibri" w:cstheme="majorBidi"/>
      <w:b/>
      <w:bCs/>
      <w:color w:val="757575"/>
      <w:sz w:val="50"/>
      <w:szCs w:val="26"/>
    </w:rPr>
  </w:style>
  <w:style w:type="paragraph" w:customStyle="1" w:styleId="Proutbodytext">
    <w:name w:val="Prout body text"/>
    <w:basedOn w:val="Normal"/>
    <w:link w:val="ProutbodytextChar"/>
    <w:rsid w:val="00914B6A"/>
    <w:pPr>
      <w:autoSpaceDE w:val="0"/>
      <w:autoSpaceDN w:val="0"/>
      <w:adjustRightInd w:val="0"/>
    </w:pPr>
    <w:rPr>
      <w:rFonts w:ascii="Calibri" w:eastAsia="Calibri" w:hAnsi="Calibri" w:cs="Arial"/>
      <w:sz w:val="18"/>
      <w:szCs w:val="20"/>
    </w:rPr>
  </w:style>
  <w:style w:type="character" w:customStyle="1" w:styleId="ProutbodytextChar">
    <w:name w:val="Prout body text Char"/>
    <w:basedOn w:val="DefaultParagraphFont"/>
    <w:link w:val="Proutbodytext"/>
    <w:rsid w:val="00914B6A"/>
    <w:rPr>
      <w:rFonts w:ascii="Calibri" w:eastAsia="Calibri" w:hAnsi="Calibri" w:cs="Arial"/>
      <w:sz w:val="18"/>
      <w:szCs w:val="20"/>
    </w:rPr>
  </w:style>
  <w:style w:type="paragraph" w:customStyle="1" w:styleId="Proutnumberedheading2ndlevel">
    <w:name w:val="Prout numbered heading 2nd level"/>
    <w:basedOn w:val="Normal"/>
    <w:link w:val="Proutnumberedheading2ndlevelChar"/>
    <w:rsid w:val="00914B6A"/>
    <w:pPr>
      <w:spacing w:after="160"/>
      <w:ind w:left="709" w:hanging="709"/>
      <w:outlineLvl w:val="1"/>
    </w:pPr>
    <w:rPr>
      <w:rFonts w:eastAsia="Calibri" w:cstheme="minorHAnsi"/>
      <w:b/>
      <w:noProof/>
      <w:sz w:val="20"/>
      <w:szCs w:val="20"/>
      <w:lang w:eastAsia="en-AU"/>
    </w:rPr>
  </w:style>
  <w:style w:type="character" w:customStyle="1" w:styleId="Proutnumberedheading2ndlevelChar">
    <w:name w:val="Prout numbered heading 2nd level Char"/>
    <w:basedOn w:val="DefaultParagraphFont"/>
    <w:link w:val="Proutnumberedheading2ndlevel"/>
    <w:rsid w:val="00914B6A"/>
    <w:rPr>
      <w:rFonts w:eastAsia="Calibri" w:cstheme="minorHAnsi"/>
      <w:b/>
      <w:noProof/>
      <w:sz w:val="20"/>
      <w:szCs w:val="20"/>
      <w:lang w:eastAsia="en-AU"/>
    </w:rPr>
  </w:style>
  <w:style w:type="paragraph" w:customStyle="1" w:styleId="Proutnumberredheadinglevel3">
    <w:name w:val="Prout numberred heading level 3"/>
    <w:basedOn w:val="Proutnumberedheading2ndlevel"/>
    <w:link w:val="Proutnumberredheadinglevel3Char"/>
    <w:rsid w:val="00914B6A"/>
    <w:pPr>
      <w:ind w:left="720" w:hanging="720"/>
    </w:pPr>
  </w:style>
  <w:style w:type="character" w:customStyle="1" w:styleId="Proutnumberredheadinglevel3Char">
    <w:name w:val="Prout numberred heading level 3 Char"/>
    <w:basedOn w:val="Proutnumberedheading2ndlevelChar"/>
    <w:link w:val="Proutnumberredheadinglevel3"/>
    <w:rsid w:val="00914B6A"/>
    <w:rPr>
      <w:rFonts w:eastAsia="Calibri" w:cstheme="minorHAnsi"/>
      <w:b/>
      <w:noProof/>
      <w:sz w:val="20"/>
      <w:szCs w:val="20"/>
      <w:lang w:eastAsia="en-AU"/>
    </w:rPr>
  </w:style>
  <w:style w:type="paragraph" w:styleId="Header">
    <w:name w:val="header"/>
    <w:basedOn w:val="Normal"/>
    <w:link w:val="HeaderChar"/>
    <w:uiPriority w:val="99"/>
    <w:unhideWhenUsed/>
    <w:rsid w:val="00D6021F"/>
    <w:pPr>
      <w:tabs>
        <w:tab w:val="center" w:pos="4513"/>
        <w:tab w:val="right" w:pos="9026"/>
      </w:tabs>
      <w:spacing w:after="0"/>
    </w:pPr>
  </w:style>
  <w:style w:type="character" w:customStyle="1" w:styleId="HeaderChar">
    <w:name w:val="Header Char"/>
    <w:basedOn w:val="DefaultParagraphFont"/>
    <w:link w:val="Header"/>
    <w:uiPriority w:val="99"/>
    <w:rsid w:val="00D6021F"/>
  </w:style>
  <w:style w:type="paragraph" w:styleId="Footer">
    <w:name w:val="footer"/>
    <w:basedOn w:val="Normal"/>
    <w:link w:val="FooterChar"/>
    <w:uiPriority w:val="99"/>
    <w:unhideWhenUsed/>
    <w:qFormat/>
    <w:rsid w:val="00D6021F"/>
    <w:pPr>
      <w:tabs>
        <w:tab w:val="center" w:pos="4513"/>
        <w:tab w:val="right" w:pos="9026"/>
      </w:tabs>
      <w:spacing w:after="0"/>
    </w:pPr>
  </w:style>
  <w:style w:type="character" w:customStyle="1" w:styleId="FooterChar">
    <w:name w:val="Footer Char"/>
    <w:basedOn w:val="DefaultParagraphFont"/>
    <w:link w:val="Footer"/>
    <w:uiPriority w:val="99"/>
    <w:rsid w:val="00D6021F"/>
  </w:style>
  <w:style w:type="paragraph" w:styleId="NoSpacing">
    <w:name w:val="No Spacing"/>
    <w:link w:val="NoSpacingChar"/>
    <w:uiPriority w:val="1"/>
    <w:unhideWhenUsed/>
    <w:qFormat/>
    <w:rsid w:val="00773E7D"/>
    <w:pPr>
      <w:spacing w:after="0"/>
    </w:pPr>
    <w:rPr>
      <w:color w:val="404040" w:themeColor="text1" w:themeTint="BF"/>
      <w:sz w:val="20"/>
      <w:szCs w:val="20"/>
      <w:lang w:val="en-US" w:eastAsia="ja-JP"/>
    </w:rPr>
  </w:style>
  <w:style w:type="character" w:customStyle="1" w:styleId="NoSpacingChar">
    <w:name w:val="No Spacing Char"/>
    <w:basedOn w:val="DefaultParagraphFont"/>
    <w:link w:val="NoSpacing"/>
    <w:uiPriority w:val="1"/>
    <w:rsid w:val="00773E7D"/>
    <w:rPr>
      <w:color w:val="404040" w:themeColor="text1" w:themeTint="BF"/>
      <w:sz w:val="20"/>
      <w:szCs w:val="20"/>
      <w:lang w:val="en-US" w:eastAsia="ja-JP"/>
    </w:rPr>
  </w:style>
  <w:style w:type="paragraph" w:customStyle="1" w:styleId="Organization">
    <w:name w:val="Organization"/>
    <w:basedOn w:val="Normal"/>
    <w:uiPriority w:val="2"/>
    <w:qFormat/>
    <w:rsid w:val="00773E7D"/>
    <w:pPr>
      <w:spacing w:after="60"/>
      <w:ind w:left="29" w:right="29"/>
    </w:pPr>
    <w:rPr>
      <w:b/>
      <w:bCs/>
      <w:color w:val="4F81BD" w:themeColor="accent1"/>
      <w:sz w:val="36"/>
      <w:szCs w:val="20"/>
      <w:lang w:val="en-US" w:eastAsia="ja-JP"/>
    </w:rPr>
  </w:style>
  <w:style w:type="paragraph" w:styleId="BalloonText">
    <w:name w:val="Balloon Text"/>
    <w:basedOn w:val="Normal"/>
    <w:link w:val="BalloonTextChar"/>
    <w:uiPriority w:val="99"/>
    <w:semiHidden/>
    <w:unhideWhenUsed/>
    <w:rsid w:val="00773E7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E7D"/>
    <w:rPr>
      <w:rFonts w:ascii="Tahoma" w:hAnsi="Tahoma" w:cs="Tahoma"/>
      <w:sz w:val="16"/>
      <w:szCs w:val="16"/>
    </w:rPr>
  </w:style>
  <w:style w:type="character" w:styleId="Strong">
    <w:name w:val="Strong"/>
    <w:basedOn w:val="DefaultParagraphFont"/>
    <w:uiPriority w:val="22"/>
    <w:qFormat/>
    <w:rsid w:val="007E07AC"/>
    <w:rPr>
      <w:b/>
      <w:bCs/>
    </w:rPr>
  </w:style>
  <w:style w:type="paragraph" w:customStyle="1" w:styleId="SDAHeading1">
    <w:name w:val="SDA Heading 1"/>
    <w:basedOn w:val="Normal"/>
    <w:link w:val="SDAHeading1Char"/>
    <w:qFormat/>
    <w:rsid w:val="001B3ECA"/>
    <w:pPr>
      <w:pageBreakBefore/>
      <w:pBdr>
        <w:bottom w:val="single" w:sz="4" w:space="10" w:color="C9916C"/>
      </w:pBdr>
      <w:spacing w:before="1200"/>
    </w:pPr>
    <w:rPr>
      <w:b/>
      <w:smallCaps/>
      <w:color w:val="CF5D27"/>
      <w:sz w:val="60"/>
      <w:szCs w:val="60"/>
    </w:rPr>
  </w:style>
  <w:style w:type="paragraph" w:customStyle="1" w:styleId="SDAbodytext">
    <w:name w:val="SDA body text"/>
    <w:basedOn w:val="Normal"/>
    <w:link w:val="SDAbodytextChar"/>
    <w:qFormat/>
    <w:rsid w:val="001007C1"/>
    <w:pPr>
      <w:spacing w:before="120"/>
    </w:pPr>
  </w:style>
  <w:style w:type="character" w:customStyle="1" w:styleId="SDAHeading1Char">
    <w:name w:val="SDA Heading 1 Char"/>
    <w:basedOn w:val="DefaultParagraphFont"/>
    <w:link w:val="SDAHeading1"/>
    <w:rsid w:val="001B3ECA"/>
    <w:rPr>
      <w:b/>
      <w:smallCaps/>
      <w:color w:val="CF5D27"/>
      <w:sz w:val="60"/>
      <w:szCs w:val="60"/>
    </w:rPr>
  </w:style>
  <w:style w:type="paragraph" w:customStyle="1" w:styleId="STANumberedheading2">
    <w:name w:val="STA Numbered heading 2"/>
    <w:basedOn w:val="Proutnumberedheading2ndlevel"/>
    <w:link w:val="STANumberedheading2Char"/>
    <w:rsid w:val="00084F54"/>
    <w:pPr>
      <w:numPr>
        <w:ilvl w:val="1"/>
        <w:numId w:val="3"/>
      </w:numPr>
      <w:ind w:left="567"/>
    </w:pPr>
    <w:rPr>
      <w:color w:val="757575"/>
      <w:sz w:val="30"/>
      <w:szCs w:val="30"/>
    </w:rPr>
  </w:style>
  <w:style w:type="character" w:customStyle="1" w:styleId="SDAbodytextChar">
    <w:name w:val="SDA body text Char"/>
    <w:basedOn w:val="DefaultParagraphFont"/>
    <w:link w:val="SDAbodytext"/>
    <w:rsid w:val="001007C1"/>
  </w:style>
  <w:style w:type="paragraph" w:customStyle="1" w:styleId="SDANumberedheading3">
    <w:name w:val="SDA Numbered heading 3"/>
    <w:basedOn w:val="Proutnumberredheadinglevel3"/>
    <w:link w:val="SDANumberedheading3Char"/>
    <w:qFormat/>
    <w:rsid w:val="00B60CA1"/>
    <w:pPr>
      <w:numPr>
        <w:ilvl w:val="2"/>
        <w:numId w:val="3"/>
      </w:numPr>
    </w:pPr>
    <w:rPr>
      <w:color w:val="757575"/>
      <w:sz w:val="22"/>
      <w:szCs w:val="22"/>
    </w:rPr>
  </w:style>
  <w:style w:type="character" w:customStyle="1" w:styleId="STANumberedheading2Char">
    <w:name w:val="STA Numbered heading 2 Char"/>
    <w:basedOn w:val="Proutnumberedheading2ndlevelChar"/>
    <w:link w:val="STANumberedheading2"/>
    <w:rsid w:val="00084F54"/>
    <w:rPr>
      <w:rFonts w:eastAsia="Calibri" w:cstheme="minorHAnsi"/>
      <w:b/>
      <w:noProof/>
      <w:color w:val="757575"/>
      <w:sz w:val="30"/>
      <w:szCs w:val="30"/>
      <w:lang w:eastAsia="en-AU"/>
    </w:rPr>
  </w:style>
  <w:style w:type="paragraph" w:customStyle="1" w:styleId="SDAAnnexheading">
    <w:name w:val="SDA Annex heading"/>
    <w:basedOn w:val="SDAHeading1"/>
    <w:link w:val="SDAAnnexheadingChar"/>
    <w:rsid w:val="007C2666"/>
    <w:pPr>
      <w:pBdr>
        <w:bottom w:val="none" w:sz="0" w:space="0" w:color="auto"/>
      </w:pBdr>
    </w:pPr>
    <w:rPr>
      <w:b w:val="0"/>
      <w:lang w:val="en-US"/>
    </w:rPr>
  </w:style>
  <w:style w:type="character" w:customStyle="1" w:styleId="SDANumberedheading3Char">
    <w:name w:val="SDA Numbered heading 3 Char"/>
    <w:basedOn w:val="Proutnumberredheadinglevel3Char"/>
    <w:link w:val="SDANumberedheading3"/>
    <w:rsid w:val="00B60CA1"/>
    <w:rPr>
      <w:rFonts w:eastAsia="Calibri" w:cstheme="minorHAnsi"/>
      <w:b/>
      <w:noProof/>
      <w:color w:val="757575"/>
      <w:sz w:val="20"/>
      <w:szCs w:val="20"/>
      <w:lang w:eastAsia="en-AU"/>
    </w:rPr>
  </w:style>
  <w:style w:type="paragraph" w:customStyle="1" w:styleId="SDANumberedheading2">
    <w:name w:val="SDA Numbered heading 2"/>
    <w:basedOn w:val="STANumberedheading2"/>
    <w:link w:val="SDANumberedheading2Char"/>
    <w:qFormat/>
    <w:rsid w:val="009216E9"/>
    <w:pPr>
      <w:ind w:left="426"/>
    </w:pPr>
  </w:style>
  <w:style w:type="character" w:customStyle="1" w:styleId="SDAAnnexheadingChar">
    <w:name w:val="SDA Annex heading Char"/>
    <w:basedOn w:val="SDAHeading1Char"/>
    <w:link w:val="SDAAnnexheading"/>
    <w:rsid w:val="007C2666"/>
    <w:rPr>
      <w:b w:val="0"/>
      <w:smallCaps/>
      <w:color w:val="CF5D27"/>
      <w:sz w:val="60"/>
      <w:szCs w:val="60"/>
      <w:lang w:val="en-US"/>
    </w:rPr>
  </w:style>
  <w:style w:type="paragraph" w:styleId="TOC1">
    <w:name w:val="toc 1"/>
    <w:basedOn w:val="Normal"/>
    <w:next w:val="Normal"/>
    <w:autoRedefine/>
    <w:uiPriority w:val="39"/>
    <w:unhideWhenUsed/>
    <w:rsid w:val="00826984"/>
    <w:pPr>
      <w:tabs>
        <w:tab w:val="right" w:pos="9016"/>
      </w:tabs>
      <w:spacing w:before="120" w:after="0"/>
    </w:pPr>
    <w:rPr>
      <w:rFonts w:ascii="Calibri" w:hAnsi="Calibri"/>
      <w:b/>
      <w:bCs/>
      <w:sz w:val="30"/>
      <w:szCs w:val="24"/>
    </w:rPr>
  </w:style>
  <w:style w:type="paragraph" w:styleId="TOC2">
    <w:name w:val="toc 2"/>
    <w:basedOn w:val="Normal"/>
    <w:next w:val="Normal"/>
    <w:autoRedefine/>
    <w:uiPriority w:val="39"/>
    <w:unhideWhenUsed/>
    <w:rsid w:val="001B3ECA"/>
    <w:pPr>
      <w:spacing w:before="240" w:after="0"/>
    </w:pPr>
    <w:rPr>
      <w:b/>
      <w:bCs/>
      <w:sz w:val="24"/>
      <w:szCs w:val="20"/>
    </w:rPr>
  </w:style>
  <w:style w:type="character" w:customStyle="1" w:styleId="SDANumberedheading2Char">
    <w:name w:val="SDA Numbered heading 2 Char"/>
    <w:basedOn w:val="STANumberedheading2Char"/>
    <w:link w:val="SDANumberedheading2"/>
    <w:rsid w:val="009216E9"/>
    <w:rPr>
      <w:rFonts w:eastAsia="Calibri" w:cstheme="minorHAnsi"/>
      <w:b/>
      <w:noProof/>
      <w:color w:val="757575"/>
      <w:sz w:val="30"/>
      <w:szCs w:val="30"/>
      <w:lang w:eastAsia="en-AU"/>
    </w:rPr>
  </w:style>
  <w:style w:type="paragraph" w:styleId="TOC4">
    <w:name w:val="toc 4"/>
    <w:basedOn w:val="Normal"/>
    <w:next w:val="Normal"/>
    <w:autoRedefine/>
    <w:uiPriority w:val="39"/>
    <w:unhideWhenUsed/>
    <w:rsid w:val="001B3ECA"/>
    <w:pPr>
      <w:spacing w:after="0"/>
    </w:pPr>
    <w:rPr>
      <w:sz w:val="24"/>
      <w:szCs w:val="20"/>
    </w:rPr>
  </w:style>
  <w:style w:type="paragraph" w:styleId="TOC3">
    <w:name w:val="toc 3"/>
    <w:basedOn w:val="Normal"/>
    <w:next w:val="Normal"/>
    <w:autoRedefine/>
    <w:uiPriority w:val="39"/>
    <w:unhideWhenUsed/>
    <w:rsid w:val="001B3ECA"/>
    <w:pPr>
      <w:spacing w:after="0"/>
    </w:pPr>
    <w:rPr>
      <w:sz w:val="24"/>
      <w:szCs w:val="20"/>
    </w:rPr>
  </w:style>
  <w:style w:type="character" w:styleId="Hyperlink">
    <w:name w:val="Hyperlink"/>
    <w:basedOn w:val="DefaultParagraphFont"/>
    <w:uiPriority w:val="99"/>
    <w:unhideWhenUsed/>
    <w:rsid w:val="009216E9"/>
    <w:rPr>
      <w:color w:val="0000FF" w:themeColor="hyperlink"/>
      <w:u w:val="single"/>
    </w:rPr>
  </w:style>
  <w:style w:type="paragraph" w:styleId="TOC5">
    <w:name w:val="toc 5"/>
    <w:basedOn w:val="Normal"/>
    <w:next w:val="Normal"/>
    <w:autoRedefine/>
    <w:uiPriority w:val="39"/>
    <w:unhideWhenUsed/>
    <w:rsid w:val="001B3ECA"/>
    <w:pPr>
      <w:spacing w:after="0"/>
      <w:ind w:left="660"/>
    </w:pPr>
    <w:rPr>
      <w:sz w:val="20"/>
      <w:szCs w:val="20"/>
    </w:rPr>
  </w:style>
  <w:style w:type="paragraph" w:styleId="TOC6">
    <w:name w:val="toc 6"/>
    <w:basedOn w:val="Normal"/>
    <w:next w:val="Normal"/>
    <w:autoRedefine/>
    <w:uiPriority w:val="39"/>
    <w:unhideWhenUsed/>
    <w:rsid w:val="001B3ECA"/>
    <w:pPr>
      <w:spacing w:after="0"/>
      <w:ind w:left="880"/>
    </w:pPr>
    <w:rPr>
      <w:sz w:val="20"/>
      <w:szCs w:val="20"/>
    </w:rPr>
  </w:style>
  <w:style w:type="paragraph" w:styleId="TOC7">
    <w:name w:val="toc 7"/>
    <w:basedOn w:val="Normal"/>
    <w:next w:val="Normal"/>
    <w:autoRedefine/>
    <w:uiPriority w:val="39"/>
    <w:unhideWhenUsed/>
    <w:rsid w:val="001B3ECA"/>
    <w:pPr>
      <w:spacing w:after="0"/>
      <w:ind w:left="1100"/>
    </w:pPr>
    <w:rPr>
      <w:sz w:val="20"/>
      <w:szCs w:val="20"/>
    </w:rPr>
  </w:style>
  <w:style w:type="paragraph" w:styleId="TOC8">
    <w:name w:val="toc 8"/>
    <w:basedOn w:val="Normal"/>
    <w:next w:val="Normal"/>
    <w:autoRedefine/>
    <w:uiPriority w:val="39"/>
    <w:unhideWhenUsed/>
    <w:rsid w:val="001B3ECA"/>
    <w:pPr>
      <w:spacing w:after="0"/>
      <w:ind w:left="1320"/>
    </w:pPr>
    <w:rPr>
      <w:sz w:val="20"/>
      <w:szCs w:val="20"/>
    </w:rPr>
  </w:style>
  <w:style w:type="paragraph" w:styleId="TOC9">
    <w:name w:val="toc 9"/>
    <w:basedOn w:val="Normal"/>
    <w:next w:val="Normal"/>
    <w:autoRedefine/>
    <w:uiPriority w:val="39"/>
    <w:unhideWhenUsed/>
    <w:rsid w:val="001B3ECA"/>
    <w:pPr>
      <w:spacing w:after="0"/>
      <w:ind w:left="1540"/>
    </w:pPr>
    <w:rPr>
      <w:sz w:val="20"/>
      <w:szCs w:val="20"/>
    </w:rPr>
  </w:style>
  <w:style w:type="paragraph" w:customStyle="1" w:styleId="SDAbulletpoints">
    <w:name w:val="SDA bullet points"/>
    <w:basedOn w:val="SDAbodytext"/>
    <w:link w:val="SDAbulletpointsChar"/>
    <w:qFormat/>
    <w:rsid w:val="001007C1"/>
    <w:pPr>
      <w:numPr>
        <w:numId w:val="4"/>
      </w:numPr>
    </w:pPr>
  </w:style>
  <w:style w:type="paragraph" w:customStyle="1" w:styleId="SDAnumberedlist">
    <w:name w:val="SDA numbered list"/>
    <w:basedOn w:val="SDAbulletpoints"/>
    <w:link w:val="SDAnumberedlistChar"/>
    <w:qFormat/>
    <w:rsid w:val="001007C1"/>
    <w:pPr>
      <w:numPr>
        <w:numId w:val="5"/>
      </w:numPr>
    </w:pPr>
  </w:style>
  <w:style w:type="character" w:customStyle="1" w:styleId="SDAbulletpointsChar">
    <w:name w:val="SDA bullet points Char"/>
    <w:basedOn w:val="SDAbodytextChar"/>
    <w:link w:val="SDAbulletpoints"/>
    <w:rsid w:val="001007C1"/>
  </w:style>
  <w:style w:type="table" w:styleId="TableGrid">
    <w:name w:val="Table Grid"/>
    <w:aliases w:val="Plain Table"/>
    <w:basedOn w:val="TableNormal"/>
    <w:uiPriority w:val="59"/>
    <w:rsid w:val="00F71D0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DAnumberedlistChar">
    <w:name w:val="SDA numbered list Char"/>
    <w:basedOn w:val="SDAbulletpointsChar"/>
    <w:link w:val="SDAnumberedlist"/>
    <w:rsid w:val="001007C1"/>
  </w:style>
  <w:style w:type="table" w:styleId="LightShading-Accent6">
    <w:name w:val="Light Shading Accent 6"/>
    <w:basedOn w:val="TableNormal"/>
    <w:uiPriority w:val="60"/>
    <w:rsid w:val="00F71D08"/>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6">
    <w:name w:val="Light List Accent 6"/>
    <w:basedOn w:val="TableNormal"/>
    <w:uiPriority w:val="61"/>
    <w:rsid w:val="00F71D08"/>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olorfulGrid-Accent6">
    <w:name w:val="Colorful Grid Accent 6"/>
    <w:basedOn w:val="TableNormal"/>
    <w:uiPriority w:val="73"/>
    <w:rsid w:val="004B7EE7"/>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Accent6">
    <w:name w:val="Medium List 2 Accent 6"/>
    <w:basedOn w:val="TableNormal"/>
    <w:uiPriority w:val="66"/>
    <w:rsid w:val="004B7EE7"/>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SDAtableheading">
    <w:name w:val="SDA table heading"/>
    <w:basedOn w:val="SDAbodytext"/>
    <w:link w:val="SDAtableheadingChar"/>
    <w:qFormat/>
    <w:rsid w:val="00C37479"/>
    <w:rPr>
      <w:rFonts w:ascii="Arial Narrow" w:hAnsi="Arial Narrow"/>
      <w:b/>
      <w:color w:val="757575"/>
    </w:rPr>
  </w:style>
  <w:style w:type="paragraph" w:customStyle="1" w:styleId="SDAtablestyle">
    <w:name w:val="SDA table style"/>
    <w:basedOn w:val="SDAbodytext"/>
    <w:link w:val="SDAtablestyleChar"/>
    <w:qFormat/>
    <w:rsid w:val="00C37479"/>
    <w:rPr>
      <w:rFonts w:ascii="Arial Narrow" w:hAnsi="Arial Narrow"/>
    </w:rPr>
  </w:style>
  <w:style w:type="character" w:customStyle="1" w:styleId="SDAtableheadingChar">
    <w:name w:val="SDA table heading Char"/>
    <w:basedOn w:val="SDAbodytextChar"/>
    <w:link w:val="SDAtableheading"/>
    <w:rsid w:val="00C37479"/>
    <w:rPr>
      <w:rFonts w:ascii="Arial Narrow" w:hAnsi="Arial Narrow"/>
      <w:b/>
      <w:color w:val="757575"/>
    </w:rPr>
  </w:style>
  <w:style w:type="character" w:customStyle="1" w:styleId="SDAtablestyleChar">
    <w:name w:val="SDA table style Char"/>
    <w:basedOn w:val="SDAbodytextChar"/>
    <w:link w:val="SDAtablestyle"/>
    <w:rsid w:val="00C37479"/>
    <w:rPr>
      <w:rFonts w:ascii="Arial Narrow" w:hAnsi="Arial Narrow"/>
    </w:rPr>
  </w:style>
  <w:style w:type="paragraph" w:customStyle="1" w:styleId="Default">
    <w:name w:val="Default"/>
    <w:rsid w:val="00E40F69"/>
    <w:pPr>
      <w:autoSpaceDE w:val="0"/>
      <w:autoSpaceDN w:val="0"/>
      <w:adjustRightInd w:val="0"/>
      <w:spacing w:after="0"/>
    </w:pPr>
    <w:rPr>
      <w:rFonts w:ascii="Times New Roman" w:hAnsi="Times New Roman" w:cs="Times New Roman"/>
      <w:color w:val="000000"/>
      <w:sz w:val="24"/>
      <w:szCs w:val="24"/>
      <w:lang w:val="en-US"/>
    </w:rPr>
  </w:style>
  <w:style w:type="paragraph" w:customStyle="1" w:styleId="xmsonormal">
    <w:name w:val="x_msonormal"/>
    <w:basedOn w:val="Normal"/>
    <w:rsid w:val="00E40F69"/>
    <w:pPr>
      <w:spacing w:before="100" w:beforeAutospacing="1" w:after="100" w:afterAutospacing="1"/>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E27244"/>
    <w:pPr>
      <w:spacing w:before="189" w:after="100" w:afterAutospacing="1"/>
    </w:pPr>
    <w:rPr>
      <w:rFonts w:ascii="Times New Roman" w:hAnsi="Times New Roman" w:cs="Times New Roman"/>
      <w:sz w:val="24"/>
      <w:szCs w:val="24"/>
      <w:lang w:val="en-US"/>
    </w:rPr>
  </w:style>
  <w:style w:type="character" w:styleId="CommentReference">
    <w:name w:val="annotation reference"/>
    <w:basedOn w:val="DefaultParagraphFont"/>
    <w:uiPriority w:val="99"/>
    <w:semiHidden/>
    <w:unhideWhenUsed/>
    <w:rsid w:val="00D96AF0"/>
    <w:rPr>
      <w:sz w:val="16"/>
      <w:szCs w:val="16"/>
    </w:rPr>
  </w:style>
  <w:style w:type="paragraph" w:styleId="CommentText">
    <w:name w:val="annotation text"/>
    <w:basedOn w:val="Normal"/>
    <w:link w:val="CommentTextChar"/>
    <w:uiPriority w:val="99"/>
    <w:semiHidden/>
    <w:unhideWhenUsed/>
    <w:rsid w:val="00D96AF0"/>
    <w:rPr>
      <w:sz w:val="20"/>
      <w:szCs w:val="20"/>
    </w:rPr>
  </w:style>
  <w:style w:type="character" w:customStyle="1" w:styleId="CommentTextChar">
    <w:name w:val="Comment Text Char"/>
    <w:basedOn w:val="DefaultParagraphFont"/>
    <w:link w:val="CommentText"/>
    <w:uiPriority w:val="99"/>
    <w:semiHidden/>
    <w:rsid w:val="00D96AF0"/>
    <w:rPr>
      <w:sz w:val="20"/>
      <w:szCs w:val="20"/>
    </w:rPr>
  </w:style>
  <w:style w:type="paragraph" w:styleId="CommentSubject">
    <w:name w:val="annotation subject"/>
    <w:basedOn w:val="CommentText"/>
    <w:next w:val="CommentText"/>
    <w:link w:val="CommentSubjectChar"/>
    <w:uiPriority w:val="99"/>
    <w:semiHidden/>
    <w:unhideWhenUsed/>
    <w:rsid w:val="00D96AF0"/>
    <w:rPr>
      <w:b/>
      <w:bCs/>
    </w:rPr>
  </w:style>
  <w:style w:type="character" w:customStyle="1" w:styleId="CommentSubjectChar">
    <w:name w:val="Comment Subject Char"/>
    <w:basedOn w:val="CommentTextChar"/>
    <w:link w:val="CommentSubject"/>
    <w:uiPriority w:val="99"/>
    <w:semiHidden/>
    <w:rsid w:val="00D96AF0"/>
    <w:rPr>
      <w:b/>
      <w:bCs/>
      <w:sz w:val="20"/>
      <w:szCs w:val="20"/>
    </w:rPr>
  </w:style>
  <w:style w:type="paragraph" w:styleId="FootnoteText">
    <w:name w:val="footnote text"/>
    <w:basedOn w:val="Normal"/>
    <w:link w:val="FootnoteTextChar"/>
    <w:uiPriority w:val="99"/>
    <w:unhideWhenUsed/>
    <w:rsid w:val="00254563"/>
    <w:pPr>
      <w:spacing w:after="0"/>
    </w:pPr>
    <w:rPr>
      <w:sz w:val="20"/>
      <w:szCs w:val="20"/>
    </w:rPr>
  </w:style>
  <w:style w:type="character" w:customStyle="1" w:styleId="FootnoteTextChar">
    <w:name w:val="Footnote Text Char"/>
    <w:basedOn w:val="DefaultParagraphFont"/>
    <w:link w:val="FootnoteText"/>
    <w:uiPriority w:val="99"/>
    <w:rsid w:val="00254563"/>
    <w:rPr>
      <w:sz w:val="20"/>
      <w:szCs w:val="20"/>
    </w:rPr>
  </w:style>
  <w:style w:type="character" w:styleId="FootnoteReference">
    <w:name w:val="footnote reference"/>
    <w:basedOn w:val="DefaultParagraphFont"/>
    <w:uiPriority w:val="99"/>
    <w:unhideWhenUsed/>
    <w:rsid w:val="00254563"/>
    <w:rPr>
      <w:vertAlign w:val="superscript"/>
    </w:rPr>
  </w:style>
  <w:style w:type="character" w:customStyle="1" w:styleId="ListParagraphChar">
    <w:name w:val="List Paragraph Char"/>
    <w:aliases w:val="1st level - Bullet List Paragraph Char,Paragrafo elenco Char,List Paragraph1 Char,List Paragraph - Dani Char,List Paragraph 1 - Dani Char"/>
    <w:basedOn w:val="DefaultParagraphFont"/>
    <w:link w:val="ListParagraph"/>
    <w:uiPriority w:val="34"/>
    <w:locked/>
    <w:rsid w:val="001F32AF"/>
  </w:style>
  <w:style w:type="paragraph" w:customStyle="1" w:styleId="AfterFirstPara">
    <w:name w:val="AfterFirstPara"/>
    <w:basedOn w:val="Normal"/>
    <w:rsid w:val="001C4E36"/>
    <w:pPr>
      <w:numPr>
        <w:numId w:val="6"/>
      </w:numPr>
      <w:spacing w:before="120"/>
    </w:pPr>
    <w:rPr>
      <w:rFonts w:ascii="Times New Roman" w:eastAsia="Times New Roman" w:hAnsi="Times New Roman" w:cs="Times New Roman"/>
      <w:sz w:val="24"/>
      <w:szCs w:val="24"/>
      <w:lang w:val="en-GB" w:eastAsia="zh-CN"/>
    </w:rPr>
  </w:style>
  <w:style w:type="paragraph" w:styleId="Revision">
    <w:name w:val="Revision"/>
    <w:hidden/>
    <w:uiPriority w:val="99"/>
    <w:semiHidden/>
    <w:rsid w:val="00B825BE"/>
    <w:pPr>
      <w:spacing w:after="0"/>
    </w:pPr>
  </w:style>
  <w:style w:type="paragraph" w:customStyle="1" w:styleId="intro">
    <w:name w:val="intro"/>
    <w:basedOn w:val="Normal"/>
    <w:rsid w:val="00FD5E69"/>
    <w:pPr>
      <w:spacing w:before="100" w:beforeAutospacing="1" w:after="100" w:afterAutospacing="1"/>
    </w:pPr>
    <w:rPr>
      <w:rFonts w:ascii="Times New Roman" w:hAnsi="Times New Roman" w:cs="Times New Roman"/>
      <w:sz w:val="24"/>
      <w:szCs w:val="24"/>
      <w:lang w:val="en-US"/>
    </w:rPr>
  </w:style>
  <w:style w:type="paragraph" w:styleId="BodyText">
    <w:name w:val="Body Text"/>
    <w:basedOn w:val="Normal"/>
    <w:link w:val="BodyTextChar"/>
    <w:qFormat/>
    <w:rsid w:val="00F72043"/>
    <w:pPr>
      <w:spacing w:line="300" w:lineRule="auto"/>
    </w:pPr>
    <w:rPr>
      <w:rFonts w:ascii="Arial" w:eastAsia="Times New Roman" w:hAnsi="Arial" w:cs="Times New Roman"/>
      <w:sz w:val="20"/>
      <w:lang w:eastAsia="en-AU"/>
    </w:rPr>
  </w:style>
  <w:style w:type="character" w:customStyle="1" w:styleId="BodyTextChar">
    <w:name w:val="Body Text Char"/>
    <w:basedOn w:val="DefaultParagraphFont"/>
    <w:link w:val="BodyText"/>
    <w:rsid w:val="00F72043"/>
    <w:rPr>
      <w:rFonts w:ascii="Arial" w:eastAsia="Times New Roman" w:hAnsi="Arial" w:cs="Times New Roman"/>
      <w:sz w:val="20"/>
      <w:lang w:eastAsia="en-AU"/>
    </w:rPr>
  </w:style>
  <w:style w:type="paragraph" w:styleId="ListBullet">
    <w:name w:val="List Bullet"/>
    <w:basedOn w:val="Normal"/>
    <w:link w:val="ListBulletChar"/>
    <w:uiPriority w:val="4"/>
    <w:qFormat/>
    <w:rsid w:val="00500F71"/>
    <w:pPr>
      <w:numPr>
        <w:numId w:val="15"/>
      </w:numPr>
    </w:pPr>
    <w:rPr>
      <w:rFonts w:ascii="Arial" w:eastAsia="Times New Roman" w:hAnsi="Arial" w:cs="Times New Roman"/>
      <w:sz w:val="20"/>
    </w:rPr>
  </w:style>
  <w:style w:type="character" w:customStyle="1" w:styleId="ListBulletChar">
    <w:name w:val="List Bullet Char"/>
    <w:link w:val="ListBullet"/>
    <w:uiPriority w:val="4"/>
    <w:rsid w:val="00500F71"/>
    <w:rPr>
      <w:rFonts w:ascii="Arial" w:eastAsia="Times New Roman" w:hAnsi="Arial" w:cs="Times New Roman"/>
      <w:sz w:val="20"/>
    </w:rPr>
  </w:style>
  <w:style w:type="character" w:styleId="Emphasis">
    <w:name w:val="Emphasis"/>
    <w:basedOn w:val="DefaultParagraphFont"/>
    <w:uiPriority w:val="20"/>
    <w:qFormat/>
    <w:rsid w:val="00397EA0"/>
    <w:rPr>
      <w:i/>
      <w:iCs/>
    </w:rPr>
  </w:style>
  <w:style w:type="paragraph" w:customStyle="1" w:styleId="TableText">
    <w:name w:val="Table Text"/>
    <w:basedOn w:val="Normal"/>
    <w:uiPriority w:val="99"/>
    <w:qFormat/>
    <w:rsid w:val="001B100D"/>
    <w:pPr>
      <w:spacing w:before="60" w:after="60" w:line="220" w:lineRule="atLeast"/>
    </w:pPr>
    <w:rPr>
      <w:rFonts w:ascii="Arial" w:eastAsia="Times New Roman" w:hAnsi="Arial" w:cs="Times New Roman"/>
      <w:sz w:val="16"/>
      <w:lang w:eastAsia="en-AU"/>
    </w:rPr>
  </w:style>
  <w:style w:type="paragraph" w:customStyle="1" w:styleId="TableHeading">
    <w:name w:val="Table Heading"/>
    <w:basedOn w:val="TableText"/>
    <w:link w:val="TableHeadingChar"/>
    <w:rsid w:val="001B100D"/>
    <w:rPr>
      <w:b/>
    </w:rPr>
  </w:style>
  <w:style w:type="character" w:customStyle="1" w:styleId="TableHeadingChar">
    <w:name w:val="Table Heading Char"/>
    <w:basedOn w:val="DefaultParagraphFont"/>
    <w:link w:val="TableHeading"/>
    <w:rsid w:val="001B100D"/>
    <w:rPr>
      <w:rFonts w:ascii="Arial" w:eastAsia="Times New Roman" w:hAnsi="Arial" w:cs="Times New Roman"/>
      <w:b/>
      <w:sz w:val="16"/>
      <w:lang w:eastAsia="en-AU"/>
    </w:rPr>
  </w:style>
  <w:style w:type="paragraph" w:customStyle="1" w:styleId="Pa3">
    <w:name w:val="Pa3"/>
    <w:basedOn w:val="Normal"/>
    <w:next w:val="Normal"/>
    <w:uiPriority w:val="99"/>
    <w:rsid w:val="00EB7C54"/>
    <w:pPr>
      <w:autoSpaceDE w:val="0"/>
      <w:autoSpaceDN w:val="0"/>
      <w:adjustRightInd w:val="0"/>
      <w:spacing w:after="0" w:line="201" w:lineRule="atLeast"/>
    </w:pPr>
    <w:rPr>
      <w:rFonts w:ascii="Whitney Book" w:hAnsi="Whitney Book"/>
      <w:sz w:val="24"/>
      <w:szCs w:val="24"/>
    </w:rPr>
  </w:style>
  <w:style w:type="paragraph" w:customStyle="1" w:styleId="Pa4">
    <w:name w:val="Pa4"/>
    <w:basedOn w:val="Normal"/>
    <w:next w:val="Normal"/>
    <w:uiPriority w:val="99"/>
    <w:rsid w:val="00EB7C54"/>
    <w:pPr>
      <w:autoSpaceDE w:val="0"/>
      <w:autoSpaceDN w:val="0"/>
      <w:adjustRightInd w:val="0"/>
      <w:spacing w:after="0" w:line="201" w:lineRule="atLeast"/>
    </w:pPr>
    <w:rPr>
      <w:rFonts w:ascii="Whitney Book" w:hAnsi="Whitney Book"/>
      <w:sz w:val="24"/>
      <w:szCs w:val="24"/>
    </w:rPr>
  </w:style>
  <w:style w:type="character" w:customStyle="1" w:styleId="apple-converted-space">
    <w:name w:val="apple-converted-space"/>
    <w:basedOn w:val="DefaultParagraphFont"/>
    <w:rsid w:val="00EE2664"/>
  </w:style>
  <w:style w:type="table" w:customStyle="1" w:styleId="GridTable4-Accent11">
    <w:name w:val="Grid Table 4 - Accent 11"/>
    <w:basedOn w:val="TableNormal"/>
    <w:uiPriority w:val="49"/>
    <w:rsid w:val="00B72DCD"/>
    <w:pPr>
      <w:spacing w:after="0"/>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ocumentMap">
    <w:name w:val="Document Map"/>
    <w:basedOn w:val="Normal"/>
    <w:link w:val="DocumentMapChar"/>
    <w:uiPriority w:val="99"/>
    <w:semiHidden/>
    <w:unhideWhenUsed/>
    <w:rsid w:val="00395B9E"/>
    <w:pPr>
      <w:spacing w:after="0"/>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395B9E"/>
    <w:rPr>
      <w:rFonts w:ascii="Lucida Grande" w:hAnsi="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2784">
      <w:bodyDiv w:val="1"/>
      <w:marLeft w:val="0"/>
      <w:marRight w:val="0"/>
      <w:marTop w:val="0"/>
      <w:marBottom w:val="0"/>
      <w:divBdr>
        <w:top w:val="none" w:sz="0" w:space="0" w:color="auto"/>
        <w:left w:val="none" w:sz="0" w:space="0" w:color="auto"/>
        <w:bottom w:val="none" w:sz="0" w:space="0" w:color="auto"/>
        <w:right w:val="none" w:sz="0" w:space="0" w:color="auto"/>
      </w:divBdr>
    </w:div>
    <w:div w:id="90207430">
      <w:bodyDiv w:val="1"/>
      <w:marLeft w:val="0"/>
      <w:marRight w:val="0"/>
      <w:marTop w:val="0"/>
      <w:marBottom w:val="0"/>
      <w:divBdr>
        <w:top w:val="none" w:sz="0" w:space="0" w:color="auto"/>
        <w:left w:val="none" w:sz="0" w:space="0" w:color="auto"/>
        <w:bottom w:val="none" w:sz="0" w:space="0" w:color="auto"/>
        <w:right w:val="none" w:sz="0" w:space="0" w:color="auto"/>
      </w:divBdr>
    </w:div>
    <w:div w:id="143861843">
      <w:bodyDiv w:val="1"/>
      <w:marLeft w:val="0"/>
      <w:marRight w:val="0"/>
      <w:marTop w:val="0"/>
      <w:marBottom w:val="0"/>
      <w:divBdr>
        <w:top w:val="none" w:sz="0" w:space="0" w:color="auto"/>
        <w:left w:val="none" w:sz="0" w:space="0" w:color="auto"/>
        <w:bottom w:val="none" w:sz="0" w:space="0" w:color="auto"/>
        <w:right w:val="none" w:sz="0" w:space="0" w:color="auto"/>
      </w:divBdr>
    </w:div>
    <w:div w:id="156574629">
      <w:bodyDiv w:val="1"/>
      <w:marLeft w:val="0"/>
      <w:marRight w:val="0"/>
      <w:marTop w:val="0"/>
      <w:marBottom w:val="0"/>
      <w:divBdr>
        <w:top w:val="none" w:sz="0" w:space="0" w:color="auto"/>
        <w:left w:val="none" w:sz="0" w:space="0" w:color="auto"/>
        <w:bottom w:val="none" w:sz="0" w:space="0" w:color="auto"/>
        <w:right w:val="none" w:sz="0" w:space="0" w:color="auto"/>
      </w:divBdr>
      <w:divsChild>
        <w:div w:id="2053310541">
          <w:marLeft w:val="0"/>
          <w:marRight w:val="0"/>
          <w:marTop w:val="0"/>
          <w:marBottom w:val="0"/>
          <w:divBdr>
            <w:top w:val="none" w:sz="0" w:space="0" w:color="auto"/>
            <w:left w:val="none" w:sz="0" w:space="0" w:color="auto"/>
            <w:bottom w:val="none" w:sz="0" w:space="0" w:color="auto"/>
            <w:right w:val="none" w:sz="0" w:space="0" w:color="auto"/>
          </w:divBdr>
          <w:divsChild>
            <w:div w:id="373702153">
              <w:marLeft w:val="0"/>
              <w:marRight w:val="0"/>
              <w:marTop w:val="0"/>
              <w:marBottom w:val="0"/>
              <w:divBdr>
                <w:top w:val="none" w:sz="0" w:space="0" w:color="auto"/>
                <w:left w:val="none" w:sz="0" w:space="0" w:color="auto"/>
                <w:bottom w:val="none" w:sz="0" w:space="0" w:color="auto"/>
                <w:right w:val="none" w:sz="0" w:space="0" w:color="auto"/>
              </w:divBdr>
              <w:divsChild>
                <w:div w:id="13596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105546">
      <w:bodyDiv w:val="1"/>
      <w:marLeft w:val="0"/>
      <w:marRight w:val="0"/>
      <w:marTop w:val="0"/>
      <w:marBottom w:val="0"/>
      <w:divBdr>
        <w:top w:val="none" w:sz="0" w:space="0" w:color="auto"/>
        <w:left w:val="none" w:sz="0" w:space="0" w:color="auto"/>
        <w:bottom w:val="none" w:sz="0" w:space="0" w:color="auto"/>
        <w:right w:val="none" w:sz="0" w:space="0" w:color="auto"/>
      </w:divBdr>
      <w:divsChild>
        <w:div w:id="205608109">
          <w:marLeft w:val="0"/>
          <w:marRight w:val="0"/>
          <w:marTop w:val="0"/>
          <w:marBottom w:val="0"/>
          <w:divBdr>
            <w:top w:val="none" w:sz="0" w:space="0" w:color="auto"/>
            <w:left w:val="none" w:sz="0" w:space="0" w:color="auto"/>
            <w:bottom w:val="none" w:sz="0" w:space="0" w:color="auto"/>
            <w:right w:val="none" w:sz="0" w:space="0" w:color="auto"/>
          </w:divBdr>
          <w:divsChild>
            <w:div w:id="1868523037">
              <w:marLeft w:val="0"/>
              <w:marRight w:val="0"/>
              <w:marTop w:val="0"/>
              <w:marBottom w:val="0"/>
              <w:divBdr>
                <w:top w:val="none" w:sz="0" w:space="0" w:color="auto"/>
                <w:left w:val="none" w:sz="0" w:space="0" w:color="auto"/>
                <w:bottom w:val="none" w:sz="0" w:space="0" w:color="auto"/>
                <w:right w:val="none" w:sz="0" w:space="0" w:color="auto"/>
              </w:divBdr>
              <w:divsChild>
                <w:div w:id="141277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806345">
      <w:bodyDiv w:val="1"/>
      <w:marLeft w:val="0"/>
      <w:marRight w:val="0"/>
      <w:marTop w:val="0"/>
      <w:marBottom w:val="0"/>
      <w:divBdr>
        <w:top w:val="none" w:sz="0" w:space="0" w:color="auto"/>
        <w:left w:val="none" w:sz="0" w:space="0" w:color="auto"/>
        <w:bottom w:val="none" w:sz="0" w:space="0" w:color="auto"/>
        <w:right w:val="none" w:sz="0" w:space="0" w:color="auto"/>
      </w:divBdr>
      <w:divsChild>
        <w:div w:id="940339242">
          <w:marLeft w:val="0"/>
          <w:marRight w:val="0"/>
          <w:marTop w:val="0"/>
          <w:marBottom w:val="0"/>
          <w:divBdr>
            <w:top w:val="none" w:sz="0" w:space="0" w:color="auto"/>
            <w:left w:val="none" w:sz="0" w:space="0" w:color="auto"/>
            <w:bottom w:val="none" w:sz="0" w:space="0" w:color="auto"/>
            <w:right w:val="none" w:sz="0" w:space="0" w:color="auto"/>
          </w:divBdr>
          <w:divsChild>
            <w:div w:id="1305550344">
              <w:marLeft w:val="0"/>
              <w:marRight w:val="0"/>
              <w:marTop w:val="0"/>
              <w:marBottom w:val="0"/>
              <w:divBdr>
                <w:top w:val="none" w:sz="0" w:space="0" w:color="auto"/>
                <w:left w:val="none" w:sz="0" w:space="0" w:color="auto"/>
                <w:bottom w:val="none" w:sz="0" w:space="0" w:color="auto"/>
                <w:right w:val="none" w:sz="0" w:space="0" w:color="auto"/>
              </w:divBdr>
              <w:divsChild>
                <w:div w:id="42068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547056">
      <w:bodyDiv w:val="1"/>
      <w:marLeft w:val="0"/>
      <w:marRight w:val="0"/>
      <w:marTop w:val="0"/>
      <w:marBottom w:val="0"/>
      <w:divBdr>
        <w:top w:val="none" w:sz="0" w:space="0" w:color="auto"/>
        <w:left w:val="none" w:sz="0" w:space="0" w:color="auto"/>
        <w:bottom w:val="none" w:sz="0" w:space="0" w:color="auto"/>
        <w:right w:val="none" w:sz="0" w:space="0" w:color="auto"/>
      </w:divBdr>
    </w:div>
    <w:div w:id="658123047">
      <w:bodyDiv w:val="1"/>
      <w:marLeft w:val="0"/>
      <w:marRight w:val="0"/>
      <w:marTop w:val="0"/>
      <w:marBottom w:val="0"/>
      <w:divBdr>
        <w:top w:val="none" w:sz="0" w:space="0" w:color="auto"/>
        <w:left w:val="none" w:sz="0" w:space="0" w:color="auto"/>
        <w:bottom w:val="none" w:sz="0" w:space="0" w:color="auto"/>
        <w:right w:val="none" w:sz="0" w:space="0" w:color="auto"/>
      </w:divBdr>
      <w:divsChild>
        <w:div w:id="1320616297">
          <w:marLeft w:val="0"/>
          <w:marRight w:val="0"/>
          <w:marTop w:val="0"/>
          <w:marBottom w:val="0"/>
          <w:divBdr>
            <w:top w:val="none" w:sz="0" w:space="0" w:color="auto"/>
            <w:left w:val="none" w:sz="0" w:space="0" w:color="auto"/>
            <w:bottom w:val="none" w:sz="0" w:space="0" w:color="auto"/>
            <w:right w:val="none" w:sz="0" w:space="0" w:color="auto"/>
          </w:divBdr>
          <w:divsChild>
            <w:div w:id="1797794968">
              <w:marLeft w:val="0"/>
              <w:marRight w:val="0"/>
              <w:marTop w:val="0"/>
              <w:marBottom w:val="0"/>
              <w:divBdr>
                <w:top w:val="none" w:sz="0" w:space="0" w:color="auto"/>
                <w:left w:val="none" w:sz="0" w:space="0" w:color="auto"/>
                <w:bottom w:val="none" w:sz="0" w:space="0" w:color="auto"/>
                <w:right w:val="none" w:sz="0" w:space="0" w:color="auto"/>
              </w:divBdr>
              <w:divsChild>
                <w:div w:id="14459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82620">
      <w:bodyDiv w:val="1"/>
      <w:marLeft w:val="0"/>
      <w:marRight w:val="0"/>
      <w:marTop w:val="0"/>
      <w:marBottom w:val="0"/>
      <w:divBdr>
        <w:top w:val="none" w:sz="0" w:space="0" w:color="auto"/>
        <w:left w:val="none" w:sz="0" w:space="0" w:color="auto"/>
        <w:bottom w:val="none" w:sz="0" w:space="0" w:color="auto"/>
        <w:right w:val="none" w:sz="0" w:space="0" w:color="auto"/>
      </w:divBdr>
    </w:div>
    <w:div w:id="1032262446">
      <w:bodyDiv w:val="1"/>
      <w:marLeft w:val="0"/>
      <w:marRight w:val="0"/>
      <w:marTop w:val="0"/>
      <w:marBottom w:val="0"/>
      <w:divBdr>
        <w:top w:val="none" w:sz="0" w:space="0" w:color="auto"/>
        <w:left w:val="none" w:sz="0" w:space="0" w:color="auto"/>
        <w:bottom w:val="none" w:sz="0" w:space="0" w:color="auto"/>
        <w:right w:val="none" w:sz="0" w:space="0" w:color="auto"/>
      </w:divBdr>
      <w:divsChild>
        <w:div w:id="1291128354">
          <w:marLeft w:val="0"/>
          <w:marRight w:val="0"/>
          <w:marTop w:val="0"/>
          <w:marBottom w:val="0"/>
          <w:divBdr>
            <w:top w:val="none" w:sz="0" w:space="0" w:color="auto"/>
            <w:left w:val="none" w:sz="0" w:space="0" w:color="auto"/>
            <w:bottom w:val="none" w:sz="0" w:space="0" w:color="auto"/>
            <w:right w:val="none" w:sz="0" w:space="0" w:color="auto"/>
          </w:divBdr>
          <w:divsChild>
            <w:div w:id="704214633">
              <w:marLeft w:val="0"/>
              <w:marRight w:val="0"/>
              <w:marTop w:val="0"/>
              <w:marBottom w:val="0"/>
              <w:divBdr>
                <w:top w:val="none" w:sz="0" w:space="0" w:color="auto"/>
                <w:left w:val="none" w:sz="0" w:space="0" w:color="auto"/>
                <w:bottom w:val="none" w:sz="0" w:space="0" w:color="auto"/>
                <w:right w:val="none" w:sz="0" w:space="0" w:color="auto"/>
              </w:divBdr>
              <w:divsChild>
                <w:div w:id="99268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083597">
      <w:bodyDiv w:val="1"/>
      <w:marLeft w:val="0"/>
      <w:marRight w:val="0"/>
      <w:marTop w:val="0"/>
      <w:marBottom w:val="0"/>
      <w:divBdr>
        <w:top w:val="none" w:sz="0" w:space="0" w:color="auto"/>
        <w:left w:val="none" w:sz="0" w:space="0" w:color="auto"/>
        <w:bottom w:val="none" w:sz="0" w:space="0" w:color="auto"/>
        <w:right w:val="none" w:sz="0" w:space="0" w:color="auto"/>
      </w:divBdr>
    </w:div>
    <w:div w:id="1072973444">
      <w:bodyDiv w:val="1"/>
      <w:marLeft w:val="0"/>
      <w:marRight w:val="0"/>
      <w:marTop w:val="0"/>
      <w:marBottom w:val="0"/>
      <w:divBdr>
        <w:top w:val="none" w:sz="0" w:space="0" w:color="auto"/>
        <w:left w:val="none" w:sz="0" w:space="0" w:color="auto"/>
        <w:bottom w:val="none" w:sz="0" w:space="0" w:color="auto"/>
        <w:right w:val="none" w:sz="0" w:space="0" w:color="auto"/>
      </w:divBdr>
      <w:divsChild>
        <w:div w:id="679088955">
          <w:marLeft w:val="0"/>
          <w:marRight w:val="0"/>
          <w:marTop w:val="0"/>
          <w:marBottom w:val="0"/>
          <w:divBdr>
            <w:top w:val="none" w:sz="0" w:space="0" w:color="auto"/>
            <w:left w:val="none" w:sz="0" w:space="0" w:color="auto"/>
            <w:bottom w:val="none" w:sz="0" w:space="0" w:color="auto"/>
            <w:right w:val="none" w:sz="0" w:space="0" w:color="auto"/>
          </w:divBdr>
          <w:divsChild>
            <w:div w:id="1591037111">
              <w:marLeft w:val="0"/>
              <w:marRight w:val="0"/>
              <w:marTop w:val="0"/>
              <w:marBottom w:val="0"/>
              <w:divBdr>
                <w:top w:val="none" w:sz="0" w:space="0" w:color="auto"/>
                <w:left w:val="none" w:sz="0" w:space="0" w:color="auto"/>
                <w:bottom w:val="none" w:sz="0" w:space="0" w:color="auto"/>
                <w:right w:val="none" w:sz="0" w:space="0" w:color="auto"/>
              </w:divBdr>
              <w:divsChild>
                <w:div w:id="103469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165270">
      <w:bodyDiv w:val="1"/>
      <w:marLeft w:val="0"/>
      <w:marRight w:val="0"/>
      <w:marTop w:val="0"/>
      <w:marBottom w:val="0"/>
      <w:divBdr>
        <w:top w:val="none" w:sz="0" w:space="0" w:color="auto"/>
        <w:left w:val="none" w:sz="0" w:space="0" w:color="auto"/>
        <w:bottom w:val="none" w:sz="0" w:space="0" w:color="auto"/>
        <w:right w:val="none" w:sz="0" w:space="0" w:color="auto"/>
      </w:divBdr>
      <w:divsChild>
        <w:div w:id="1614821792">
          <w:marLeft w:val="0"/>
          <w:marRight w:val="0"/>
          <w:marTop w:val="0"/>
          <w:marBottom w:val="0"/>
          <w:divBdr>
            <w:top w:val="none" w:sz="0" w:space="0" w:color="auto"/>
            <w:left w:val="none" w:sz="0" w:space="0" w:color="auto"/>
            <w:bottom w:val="none" w:sz="0" w:space="0" w:color="auto"/>
            <w:right w:val="none" w:sz="0" w:space="0" w:color="auto"/>
          </w:divBdr>
          <w:divsChild>
            <w:div w:id="269289148">
              <w:marLeft w:val="0"/>
              <w:marRight w:val="0"/>
              <w:marTop w:val="0"/>
              <w:marBottom w:val="0"/>
              <w:divBdr>
                <w:top w:val="none" w:sz="0" w:space="0" w:color="auto"/>
                <w:left w:val="none" w:sz="0" w:space="0" w:color="auto"/>
                <w:bottom w:val="none" w:sz="0" w:space="0" w:color="auto"/>
                <w:right w:val="none" w:sz="0" w:space="0" w:color="auto"/>
              </w:divBdr>
              <w:divsChild>
                <w:div w:id="128191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188404">
      <w:bodyDiv w:val="1"/>
      <w:marLeft w:val="0"/>
      <w:marRight w:val="0"/>
      <w:marTop w:val="0"/>
      <w:marBottom w:val="0"/>
      <w:divBdr>
        <w:top w:val="none" w:sz="0" w:space="0" w:color="auto"/>
        <w:left w:val="none" w:sz="0" w:space="0" w:color="auto"/>
        <w:bottom w:val="none" w:sz="0" w:space="0" w:color="auto"/>
        <w:right w:val="none" w:sz="0" w:space="0" w:color="auto"/>
      </w:divBdr>
    </w:div>
    <w:div w:id="1263345633">
      <w:bodyDiv w:val="1"/>
      <w:marLeft w:val="0"/>
      <w:marRight w:val="0"/>
      <w:marTop w:val="0"/>
      <w:marBottom w:val="0"/>
      <w:divBdr>
        <w:top w:val="none" w:sz="0" w:space="0" w:color="auto"/>
        <w:left w:val="none" w:sz="0" w:space="0" w:color="auto"/>
        <w:bottom w:val="none" w:sz="0" w:space="0" w:color="auto"/>
        <w:right w:val="none" w:sz="0" w:space="0" w:color="auto"/>
      </w:divBdr>
    </w:div>
    <w:div w:id="1370648269">
      <w:bodyDiv w:val="1"/>
      <w:marLeft w:val="0"/>
      <w:marRight w:val="0"/>
      <w:marTop w:val="0"/>
      <w:marBottom w:val="0"/>
      <w:divBdr>
        <w:top w:val="none" w:sz="0" w:space="0" w:color="auto"/>
        <w:left w:val="none" w:sz="0" w:space="0" w:color="auto"/>
        <w:bottom w:val="none" w:sz="0" w:space="0" w:color="auto"/>
        <w:right w:val="none" w:sz="0" w:space="0" w:color="auto"/>
      </w:divBdr>
    </w:div>
    <w:div w:id="1582594993">
      <w:bodyDiv w:val="1"/>
      <w:marLeft w:val="0"/>
      <w:marRight w:val="0"/>
      <w:marTop w:val="0"/>
      <w:marBottom w:val="0"/>
      <w:divBdr>
        <w:top w:val="none" w:sz="0" w:space="0" w:color="auto"/>
        <w:left w:val="none" w:sz="0" w:space="0" w:color="auto"/>
        <w:bottom w:val="none" w:sz="0" w:space="0" w:color="auto"/>
        <w:right w:val="none" w:sz="0" w:space="0" w:color="auto"/>
      </w:divBdr>
    </w:div>
    <w:div w:id="1651592155">
      <w:bodyDiv w:val="1"/>
      <w:marLeft w:val="0"/>
      <w:marRight w:val="0"/>
      <w:marTop w:val="0"/>
      <w:marBottom w:val="0"/>
      <w:divBdr>
        <w:top w:val="none" w:sz="0" w:space="0" w:color="auto"/>
        <w:left w:val="none" w:sz="0" w:space="0" w:color="auto"/>
        <w:bottom w:val="none" w:sz="0" w:space="0" w:color="auto"/>
        <w:right w:val="none" w:sz="0" w:space="0" w:color="auto"/>
      </w:divBdr>
    </w:div>
    <w:div w:id="1685088928">
      <w:bodyDiv w:val="1"/>
      <w:marLeft w:val="0"/>
      <w:marRight w:val="0"/>
      <w:marTop w:val="0"/>
      <w:marBottom w:val="0"/>
      <w:divBdr>
        <w:top w:val="none" w:sz="0" w:space="0" w:color="auto"/>
        <w:left w:val="none" w:sz="0" w:space="0" w:color="auto"/>
        <w:bottom w:val="none" w:sz="0" w:space="0" w:color="auto"/>
        <w:right w:val="none" w:sz="0" w:space="0" w:color="auto"/>
      </w:divBdr>
    </w:div>
    <w:div w:id="1698383913">
      <w:bodyDiv w:val="1"/>
      <w:marLeft w:val="0"/>
      <w:marRight w:val="0"/>
      <w:marTop w:val="0"/>
      <w:marBottom w:val="0"/>
      <w:divBdr>
        <w:top w:val="none" w:sz="0" w:space="0" w:color="auto"/>
        <w:left w:val="none" w:sz="0" w:space="0" w:color="auto"/>
        <w:bottom w:val="none" w:sz="0" w:space="0" w:color="auto"/>
        <w:right w:val="none" w:sz="0" w:space="0" w:color="auto"/>
      </w:divBdr>
    </w:div>
    <w:div w:id="1807580819">
      <w:bodyDiv w:val="1"/>
      <w:marLeft w:val="0"/>
      <w:marRight w:val="0"/>
      <w:marTop w:val="0"/>
      <w:marBottom w:val="0"/>
      <w:divBdr>
        <w:top w:val="none" w:sz="0" w:space="0" w:color="auto"/>
        <w:left w:val="none" w:sz="0" w:space="0" w:color="auto"/>
        <w:bottom w:val="none" w:sz="0" w:space="0" w:color="auto"/>
        <w:right w:val="none" w:sz="0" w:space="0" w:color="auto"/>
      </w:divBdr>
      <w:divsChild>
        <w:div w:id="426000555">
          <w:marLeft w:val="0"/>
          <w:marRight w:val="0"/>
          <w:marTop w:val="0"/>
          <w:marBottom w:val="0"/>
          <w:divBdr>
            <w:top w:val="none" w:sz="0" w:space="0" w:color="auto"/>
            <w:left w:val="none" w:sz="0" w:space="0" w:color="auto"/>
            <w:bottom w:val="none" w:sz="0" w:space="0" w:color="auto"/>
            <w:right w:val="none" w:sz="0" w:space="0" w:color="auto"/>
          </w:divBdr>
          <w:divsChild>
            <w:div w:id="157425236">
              <w:marLeft w:val="0"/>
              <w:marRight w:val="0"/>
              <w:marTop w:val="0"/>
              <w:marBottom w:val="0"/>
              <w:divBdr>
                <w:top w:val="none" w:sz="0" w:space="0" w:color="auto"/>
                <w:left w:val="none" w:sz="0" w:space="0" w:color="auto"/>
                <w:bottom w:val="none" w:sz="0" w:space="0" w:color="auto"/>
                <w:right w:val="none" w:sz="0" w:space="0" w:color="auto"/>
              </w:divBdr>
              <w:divsChild>
                <w:div w:id="1901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999316">
      <w:bodyDiv w:val="1"/>
      <w:marLeft w:val="0"/>
      <w:marRight w:val="0"/>
      <w:marTop w:val="0"/>
      <w:marBottom w:val="0"/>
      <w:divBdr>
        <w:top w:val="none" w:sz="0" w:space="0" w:color="auto"/>
        <w:left w:val="none" w:sz="0" w:space="0" w:color="auto"/>
        <w:bottom w:val="none" w:sz="0" w:space="0" w:color="auto"/>
        <w:right w:val="none" w:sz="0" w:space="0" w:color="auto"/>
      </w:divBdr>
      <w:divsChild>
        <w:div w:id="442267799">
          <w:marLeft w:val="0"/>
          <w:marRight w:val="0"/>
          <w:marTop w:val="0"/>
          <w:marBottom w:val="0"/>
          <w:divBdr>
            <w:top w:val="none" w:sz="0" w:space="0" w:color="auto"/>
            <w:left w:val="none" w:sz="0" w:space="0" w:color="auto"/>
            <w:bottom w:val="none" w:sz="0" w:space="0" w:color="auto"/>
            <w:right w:val="none" w:sz="0" w:space="0" w:color="auto"/>
          </w:divBdr>
          <w:divsChild>
            <w:div w:id="1828283019">
              <w:marLeft w:val="0"/>
              <w:marRight w:val="0"/>
              <w:marTop w:val="0"/>
              <w:marBottom w:val="0"/>
              <w:divBdr>
                <w:top w:val="none" w:sz="0" w:space="0" w:color="auto"/>
                <w:left w:val="none" w:sz="0" w:space="0" w:color="auto"/>
                <w:bottom w:val="none" w:sz="0" w:space="0" w:color="auto"/>
                <w:right w:val="none" w:sz="0" w:space="0" w:color="auto"/>
              </w:divBdr>
              <w:divsChild>
                <w:div w:id="7408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570748">
      <w:bodyDiv w:val="1"/>
      <w:marLeft w:val="0"/>
      <w:marRight w:val="0"/>
      <w:marTop w:val="0"/>
      <w:marBottom w:val="0"/>
      <w:divBdr>
        <w:top w:val="none" w:sz="0" w:space="0" w:color="auto"/>
        <w:left w:val="none" w:sz="0" w:space="0" w:color="auto"/>
        <w:bottom w:val="none" w:sz="0" w:space="0" w:color="auto"/>
        <w:right w:val="none" w:sz="0" w:space="0" w:color="auto"/>
      </w:divBdr>
      <w:divsChild>
        <w:div w:id="1973293150">
          <w:marLeft w:val="0"/>
          <w:marRight w:val="0"/>
          <w:marTop w:val="0"/>
          <w:marBottom w:val="0"/>
          <w:divBdr>
            <w:top w:val="none" w:sz="0" w:space="0" w:color="auto"/>
            <w:left w:val="none" w:sz="0" w:space="0" w:color="auto"/>
            <w:bottom w:val="none" w:sz="0" w:space="0" w:color="auto"/>
            <w:right w:val="none" w:sz="0" w:space="0" w:color="auto"/>
          </w:divBdr>
          <w:divsChild>
            <w:div w:id="151724030">
              <w:marLeft w:val="0"/>
              <w:marRight w:val="0"/>
              <w:marTop w:val="0"/>
              <w:marBottom w:val="0"/>
              <w:divBdr>
                <w:top w:val="none" w:sz="0" w:space="0" w:color="auto"/>
                <w:left w:val="none" w:sz="0" w:space="0" w:color="auto"/>
                <w:bottom w:val="none" w:sz="0" w:space="0" w:color="auto"/>
                <w:right w:val="none" w:sz="0" w:space="0" w:color="auto"/>
              </w:divBdr>
              <w:divsChild>
                <w:div w:id="199140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60888">
      <w:bodyDiv w:val="1"/>
      <w:marLeft w:val="0"/>
      <w:marRight w:val="0"/>
      <w:marTop w:val="0"/>
      <w:marBottom w:val="0"/>
      <w:divBdr>
        <w:top w:val="none" w:sz="0" w:space="0" w:color="auto"/>
        <w:left w:val="none" w:sz="0" w:space="0" w:color="auto"/>
        <w:bottom w:val="none" w:sz="0" w:space="0" w:color="auto"/>
        <w:right w:val="none" w:sz="0" w:space="0" w:color="auto"/>
      </w:divBdr>
    </w:div>
    <w:div w:id="2083258718">
      <w:bodyDiv w:val="1"/>
      <w:marLeft w:val="0"/>
      <w:marRight w:val="0"/>
      <w:marTop w:val="0"/>
      <w:marBottom w:val="0"/>
      <w:divBdr>
        <w:top w:val="none" w:sz="0" w:space="0" w:color="auto"/>
        <w:left w:val="none" w:sz="0" w:space="0" w:color="auto"/>
        <w:bottom w:val="none" w:sz="0" w:space="0" w:color="auto"/>
        <w:right w:val="none" w:sz="0" w:space="0" w:color="auto"/>
      </w:divBdr>
      <w:divsChild>
        <w:div w:id="1117064289">
          <w:marLeft w:val="0"/>
          <w:marRight w:val="0"/>
          <w:marTop w:val="0"/>
          <w:marBottom w:val="0"/>
          <w:divBdr>
            <w:top w:val="none" w:sz="0" w:space="0" w:color="auto"/>
            <w:left w:val="none" w:sz="0" w:space="0" w:color="auto"/>
            <w:bottom w:val="none" w:sz="0" w:space="0" w:color="auto"/>
            <w:right w:val="none" w:sz="0" w:space="0" w:color="auto"/>
          </w:divBdr>
          <w:divsChild>
            <w:div w:id="1036932771">
              <w:marLeft w:val="0"/>
              <w:marRight w:val="0"/>
              <w:marTop w:val="0"/>
              <w:marBottom w:val="0"/>
              <w:divBdr>
                <w:top w:val="none" w:sz="0" w:space="0" w:color="auto"/>
                <w:left w:val="none" w:sz="0" w:space="0" w:color="auto"/>
                <w:bottom w:val="none" w:sz="0" w:space="0" w:color="auto"/>
                <w:right w:val="none" w:sz="0" w:space="0" w:color="auto"/>
              </w:divBdr>
              <w:divsChild>
                <w:div w:id="17282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3670">
      <w:bodyDiv w:val="1"/>
      <w:marLeft w:val="0"/>
      <w:marRight w:val="0"/>
      <w:marTop w:val="0"/>
      <w:marBottom w:val="0"/>
      <w:divBdr>
        <w:top w:val="none" w:sz="0" w:space="0" w:color="auto"/>
        <w:left w:val="none" w:sz="0" w:space="0" w:color="auto"/>
        <w:bottom w:val="none" w:sz="0" w:space="0" w:color="auto"/>
        <w:right w:val="none" w:sz="0" w:space="0" w:color="auto"/>
      </w:divBdr>
      <w:divsChild>
        <w:div w:id="451947499">
          <w:marLeft w:val="0"/>
          <w:marRight w:val="0"/>
          <w:marTop w:val="0"/>
          <w:marBottom w:val="0"/>
          <w:divBdr>
            <w:top w:val="none" w:sz="0" w:space="0" w:color="auto"/>
            <w:left w:val="none" w:sz="0" w:space="0" w:color="auto"/>
            <w:bottom w:val="none" w:sz="0" w:space="0" w:color="auto"/>
            <w:right w:val="none" w:sz="0" w:space="0" w:color="auto"/>
          </w:divBdr>
          <w:divsChild>
            <w:div w:id="876164394">
              <w:marLeft w:val="0"/>
              <w:marRight w:val="0"/>
              <w:marTop w:val="0"/>
              <w:marBottom w:val="0"/>
              <w:divBdr>
                <w:top w:val="none" w:sz="0" w:space="0" w:color="auto"/>
                <w:left w:val="none" w:sz="0" w:space="0" w:color="auto"/>
                <w:bottom w:val="none" w:sz="0" w:space="0" w:color="auto"/>
                <w:right w:val="none" w:sz="0" w:space="0" w:color="auto"/>
              </w:divBdr>
              <w:divsChild>
                <w:div w:id="20980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2.emf"/><Relationship Id="rId26" Type="http://schemas.openxmlformats.org/officeDocument/2006/relationships/hyperlink" Target="https://www.amc.edu.au/news/stillwest-makes-most-award" TargetMode="External"/><Relationship Id="rId39" Type="http://schemas.openxmlformats.org/officeDocument/2006/relationships/fontTable" Target="fontTable.xml"/><Relationship Id="rId21" Type="http://schemas.openxmlformats.org/officeDocument/2006/relationships/hyperlink" Target="http://www.radioaustralia.net.au/international/radio/program/pacific-beat/vanuatus-greg-urwin-award-winner-to-study-viruses/1091618" TargetMode="External"/><Relationship Id="rId34" Type="http://schemas.openxmlformats.org/officeDocument/2006/relationships/hyperlink" Target="http://www.plp.org.fj/wp-content/uploads/2016/11/Denney_McLaren.pdf" TargetMode="External"/><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p.org.fj/wp-content/uploads/2017/03/PLP-Briefing-Note-Adaptive-Leadership-February-2017.pdf" TargetMode="External"/><Relationship Id="rId20" Type="http://schemas.openxmlformats.org/officeDocument/2006/relationships/hyperlink" Target="http://www.radioaustralia.net.au/international/radio/program/pacific-beat/urwin-award-winner-hopes-to-benefit-whole-of-tuvalu/1089828" TargetMode="External"/><Relationship Id="rId29" Type="http://schemas.openxmlformats.org/officeDocument/2006/relationships/hyperlink" Target="http://www.plp.org.fj/wp-content/uploads/2016/06/PLP_WISDM_Discussion-Paper-June-2016.pdf" TargetMode="External"/><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app.griffith.edu.au/news/2012/11/23/fijian-scientist-joins-cancer-fight-at-eskitis/" TargetMode="External"/><Relationship Id="rId32" Type="http://schemas.openxmlformats.org/officeDocument/2006/relationships/hyperlink" Target="http://www.plp.org.fj/wp-content/uploads/2017/03/PLP-Report-Tonga-Private-Sector-Scan-April-2015.pdf" TargetMode="External"/><Relationship Id="rId37" Type="http://schemas.openxmlformats.org/officeDocument/2006/relationships/hyperlink" Target="http://www.plp.org.fj/resource/policy"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p.org.fj/wp-content/uploads/2017/03/PLP-Briefing-Note-Adaptive-Leadership-February-2017.pdf" TargetMode="External"/><Relationship Id="rId23" Type="http://schemas.openxmlformats.org/officeDocument/2006/relationships/hyperlink" Target="http://www.radioaustralia.net.au/international/radio/program/pacific-beat/no-real-knowledge-of-palliative-care-in-pacific-award-winning-doctor/1090984" TargetMode="External"/><Relationship Id="rId28" Type="http://schemas.openxmlformats.org/officeDocument/2006/relationships/hyperlink" Target="http://www.plp.org.fj/wp-content/uploads/2017/03/PLP-Report-Tonga-CEDAW-Report.pdf" TargetMode="External"/><Relationship Id="rId36" Type="http://schemas.openxmlformats.org/officeDocument/2006/relationships/hyperlink" Target="http://www.plp.org.fj/resource/country-fact-sheets/" TargetMode="External"/><Relationship Id="rId10" Type="http://schemas.openxmlformats.org/officeDocument/2006/relationships/footer" Target="footer1.xml"/><Relationship Id="rId19" Type="http://schemas.openxmlformats.org/officeDocument/2006/relationships/hyperlink" Target="http://www.plp.org.fj/news/a-surgeons-quest-to-reduce-breast-cancer-in-tonga/" TargetMode="External"/><Relationship Id="rId31" Type="http://schemas.openxmlformats.org/officeDocument/2006/relationships/hyperlink" Target="http://www.plp.org.fj/wp-content/uploads/2016/05/PLP_Pacific-Region-Youth-Employment-Scan_Final.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hyperlink" Target="http://www.radioaustralia.net.au/international/radio/program/pacific-beat/anticorruption-expert-raju-wins-pacific-leadership-award/1088476" TargetMode="External"/><Relationship Id="rId27" Type="http://schemas.openxmlformats.org/officeDocument/2006/relationships/hyperlink" Target="http://www.sprep.org/Climate-Change/recipient-of-greg-urwin-award-based-at-sprep" TargetMode="External"/><Relationship Id="rId30" Type="http://schemas.openxmlformats.org/officeDocument/2006/relationships/hyperlink" Target="http://www.plp.org.fj/wp-content/uploads/2016/05/PLP_Y@W-Evaluation-Report-Final.pdf" TargetMode="External"/><Relationship Id="rId35" Type="http://schemas.openxmlformats.org/officeDocument/2006/relationships/hyperlink" Target="http://www.plp.org.fj/resource/country-fact-sheets/" TargetMode="External"/><Relationship Id="rId43" Type="http://schemas.openxmlformats.org/officeDocument/2006/relationships/customXml" Target="../customXml/item4.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www.spc.int/lrd/index.php?option=com_content&amp;view=article&amp;id=1040:spc-swamp-taro-research-for-pacific-atoll-countries&amp;catid=66:centre-for-pacific-crops-and-trees&amp;Itemid=26" TargetMode="External"/><Relationship Id="rId33" Type="http://schemas.openxmlformats.org/officeDocument/2006/relationships/hyperlink" Target="http://www.plp.org.fj/wp-content/uploads/2016/11/Denney_McLaren.pdf" TargetMode="External"/><Relationship Id="rId38" Type="http://schemas.openxmlformats.org/officeDocument/2006/relationships/hyperlink" Target="http://www.plp.org.fj/resource/discussion-paper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dfat.gov.au/aid/who-we-work-with/value-for-money-principles/Pages/value-for-money-principles.aspx" TargetMode="External"/><Relationship Id="rId1" Type="http://schemas.openxmlformats.org/officeDocument/2006/relationships/hyperlink" Target="http://asiafoundation.org/wp-content/uploads/2016/04/Reflections-onThree-Years-2004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216928-9D9C-4F2B-B7AA-6F3494114DB4}"/>
</file>

<file path=customXml/itemProps2.xml><?xml version="1.0" encoding="utf-8"?>
<ds:datastoreItem xmlns:ds="http://schemas.openxmlformats.org/officeDocument/2006/customXml" ds:itemID="{C9B265F2-5228-43BA-886A-990B4B9720E8}"/>
</file>

<file path=customXml/itemProps3.xml><?xml version="1.0" encoding="utf-8"?>
<ds:datastoreItem xmlns:ds="http://schemas.openxmlformats.org/officeDocument/2006/customXml" ds:itemID="{EA469BAC-E568-4774-B323-31333E3D6DC7}"/>
</file>

<file path=customXml/itemProps4.xml><?xml version="1.0" encoding="utf-8"?>
<ds:datastoreItem xmlns:ds="http://schemas.openxmlformats.org/officeDocument/2006/customXml" ds:itemID="{003D9633-2113-4CAE-802E-048950FCEA65}"/>
</file>

<file path=docProps/app.xml><?xml version="1.0" encoding="utf-8"?>
<Properties xmlns="http://schemas.openxmlformats.org/officeDocument/2006/extended-properties" xmlns:vt="http://schemas.openxmlformats.org/officeDocument/2006/docPropsVTypes">
  <Template>Normal.dotm</Template>
  <TotalTime>0</TotalTime>
  <Pages>61</Pages>
  <Words>20489</Words>
  <Characters>116793</Characters>
  <Application>Microsoft Office Word</Application>
  <DocSecurity>0</DocSecurity>
  <Lines>973</Lines>
  <Paragraphs>274</Paragraphs>
  <ScaleCrop>false</ScaleCrop>
  <HeadingPairs>
    <vt:vector size="2" baseType="variant">
      <vt:variant>
        <vt:lpstr>Title</vt:lpstr>
      </vt:variant>
      <vt:variant>
        <vt:i4>1</vt:i4>
      </vt:variant>
    </vt:vector>
  </HeadingPairs>
  <TitlesOfParts>
    <vt:vector size="1" baseType="lpstr">
      <vt:lpstr>Independent Evaluation of the Pacific Leadership Program (PLP) Phase 3</vt:lpstr>
    </vt:vector>
  </TitlesOfParts>
  <Company/>
  <LinksUpToDate>false</LinksUpToDate>
  <CharactersWithSpaces>137008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Evaluation of the Pacific Leadership Program (PLP) Phase 3</dc:title>
  <dc:creator/>
  <cp:lastModifiedBy/>
  <cp:revision>1</cp:revision>
  <dcterms:created xsi:type="dcterms:W3CDTF">2017-10-10T21:37:00Z</dcterms:created>
  <dcterms:modified xsi:type="dcterms:W3CDTF">2017-10-10T21:38:00Z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dce3fca0-81c3-4cde-8854-a2527a7ec813</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1131300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