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53" w:rsidRPr="006E0A9C" w:rsidRDefault="00CF4953" w:rsidP="00903F43">
      <w:pPr>
        <w:pStyle w:val="Heading1smallspaceafter"/>
        <w:spacing w:after="360"/>
        <w:ind w:right="-1"/>
        <w:rPr>
          <w:b w:val="0"/>
          <w:color w:val="262626" w:themeColor="text1" w:themeTint="D9"/>
          <w:lang w:val="en-AU"/>
        </w:rPr>
      </w:pPr>
      <w:bookmarkStart w:id="0" w:name="_Toc475348267"/>
      <w:bookmarkStart w:id="1" w:name="_Toc373853205"/>
      <w:bookmarkStart w:id="2" w:name="_GoBack"/>
      <w:bookmarkEnd w:id="2"/>
      <w:r w:rsidRPr="006E0A9C">
        <w:rPr>
          <w:color w:val="262626" w:themeColor="text1" w:themeTint="D9"/>
          <w:lang w:val="en-AU"/>
        </w:rPr>
        <w:t>MANAGEMENT ReSPONSE</w:t>
      </w:r>
    </w:p>
    <w:p w:rsidR="00CF4953" w:rsidRPr="00AA057E" w:rsidRDefault="00CF4953" w:rsidP="00CF4953">
      <w:pPr>
        <w:pStyle w:val="Heading1"/>
        <w:spacing w:after="300"/>
        <w:rPr>
          <w:b w:val="0"/>
          <w:color w:val="262626" w:themeColor="text1" w:themeTint="D9"/>
        </w:rPr>
      </w:pPr>
      <w:r w:rsidRPr="00AA057E">
        <w:rPr>
          <w:b w:val="0"/>
          <w:color w:val="262626" w:themeColor="text1" w:themeTint="D9"/>
        </w:rPr>
        <w:t xml:space="preserve">Pacific Leadership and Governance Precinct </w:t>
      </w:r>
    </w:p>
    <w:p w:rsidR="00CF4953" w:rsidRPr="00AA057E" w:rsidRDefault="00CF4953" w:rsidP="00CF4953">
      <w:pPr>
        <w:pStyle w:val="Heading1"/>
        <w:spacing w:after="300"/>
        <w:rPr>
          <w:color w:val="262626" w:themeColor="text1" w:themeTint="D9"/>
        </w:rPr>
      </w:pPr>
      <w:r w:rsidRPr="00AA057E">
        <w:rPr>
          <w:color w:val="262626" w:themeColor="text1" w:themeTint="D9"/>
        </w:rPr>
        <w:t xml:space="preserve">Strategic Review </w:t>
      </w:r>
    </w:p>
    <w:bookmarkEnd w:id="0"/>
    <w:p w:rsidR="00CF4953" w:rsidRPr="00AA057E" w:rsidRDefault="00CF4953" w:rsidP="00CF4953">
      <w:pPr>
        <w:pStyle w:val="Heading3"/>
        <w:rPr>
          <w:color w:val="262626" w:themeColor="text1" w:themeTint="D9"/>
          <w:sz w:val="28"/>
        </w:rPr>
      </w:pPr>
      <w:r w:rsidRPr="00AA057E">
        <w:rPr>
          <w:color w:val="262626" w:themeColor="text1" w:themeTint="D9"/>
          <w:sz w:val="28"/>
        </w:rPr>
        <w:t xml:space="preserve">Summary </w:t>
      </w:r>
    </w:p>
    <w:tbl>
      <w:tblPr>
        <w:tblStyle w:val="TableGrid"/>
        <w:tblW w:w="0" w:type="auto"/>
        <w:tblCellMar>
          <w:top w:w="57" w:type="dxa"/>
          <w:left w:w="57" w:type="dxa"/>
          <w:right w:w="57" w:type="dxa"/>
        </w:tblCellMar>
        <w:tblLook w:val="04A0" w:firstRow="1" w:lastRow="0" w:firstColumn="1" w:lastColumn="0" w:noHBand="0" w:noVBand="1"/>
      </w:tblPr>
      <w:tblGrid>
        <w:gridCol w:w="1951"/>
        <w:gridCol w:w="7291"/>
      </w:tblGrid>
      <w:tr w:rsidR="00CF4953" w:rsidRPr="00AA057E" w:rsidTr="009003E4">
        <w:tc>
          <w:tcPr>
            <w:tcW w:w="1951" w:type="dxa"/>
          </w:tcPr>
          <w:p w:rsidR="00CF4953" w:rsidRPr="00AA057E" w:rsidRDefault="00CF4953" w:rsidP="009003E4">
            <w:pPr>
              <w:spacing w:before="0" w:after="0"/>
              <w:rPr>
                <w:rFonts w:asciiTheme="majorHAnsi" w:hAnsiTheme="majorHAnsi" w:cstheme="majorHAnsi"/>
                <w:b/>
                <w:color w:val="262626" w:themeColor="text1" w:themeTint="D9"/>
              </w:rPr>
            </w:pPr>
            <w:r w:rsidRPr="00AA057E">
              <w:rPr>
                <w:rFonts w:asciiTheme="majorHAnsi" w:hAnsiTheme="majorHAnsi" w:cstheme="majorHAnsi"/>
                <w:color w:val="262626" w:themeColor="text1" w:themeTint="D9"/>
              </w:rPr>
              <w:t>Investment Name</w:t>
            </w:r>
            <w:r w:rsidRPr="00AA057E">
              <w:rPr>
                <w:rFonts w:asciiTheme="majorHAnsi" w:hAnsiTheme="majorHAnsi" w:cstheme="majorHAnsi"/>
                <w:b/>
                <w:color w:val="262626" w:themeColor="text1" w:themeTint="D9"/>
              </w:rPr>
              <w:t xml:space="preserve"> </w:t>
            </w:r>
          </w:p>
        </w:tc>
        <w:tc>
          <w:tcPr>
            <w:tcW w:w="7291" w:type="dxa"/>
          </w:tcPr>
          <w:p w:rsidR="00CF4953" w:rsidRPr="00AA057E" w:rsidRDefault="00BE6ACE" w:rsidP="009003E4">
            <w:pPr>
              <w:pStyle w:val="BodyText"/>
              <w:spacing w:before="0" w:after="0"/>
              <w:rPr>
                <w:rFonts w:asciiTheme="majorHAnsi" w:hAnsiTheme="majorHAnsi" w:cstheme="majorHAnsi"/>
                <w:color w:val="262626" w:themeColor="text1" w:themeTint="D9"/>
              </w:rPr>
            </w:pPr>
            <w:r w:rsidRPr="00AA057E">
              <w:rPr>
                <w:color w:val="262626" w:themeColor="text1" w:themeTint="D9"/>
              </w:rPr>
              <w:t>Pacific Leadership and</w:t>
            </w:r>
            <w:r w:rsidR="00CF4953" w:rsidRPr="00AA057E">
              <w:rPr>
                <w:color w:val="262626" w:themeColor="text1" w:themeTint="D9"/>
              </w:rPr>
              <w:t xml:space="preserve"> Governance Precinct</w:t>
            </w:r>
          </w:p>
        </w:tc>
      </w:tr>
      <w:tr w:rsidR="00CF4953" w:rsidRPr="00AA057E" w:rsidTr="009003E4">
        <w:tc>
          <w:tcPr>
            <w:tcW w:w="1951" w:type="dxa"/>
          </w:tcPr>
          <w:p w:rsidR="00CF4953" w:rsidRPr="00AA057E" w:rsidRDefault="009970BF" w:rsidP="009003E4">
            <w:pPr>
              <w:spacing w:before="0" w:after="0"/>
              <w:rPr>
                <w:rFonts w:asciiTheme="majorHAnsi" w:hAnsiTheme="majorHAnsi" w:cstheme="majorHAnsi"/>
                <w:color w:val="262626" w:themeColor="text1" w:themeTint="D9"/>
              </w:rPr>
            </w:pPr>
            <w:r w:rsidRPr="00AA057E">
              <w:rPr>
                <w:rFonts w:asciiTheme="majorHAnsi" w:hAnsiTheme="majorHAnsi" w:cstheme="majorHAnsi"/>
                <w:color w:val="262626" w:themeColor="text1" w:themeTint="D9"/>
              </w:rPr>
              <w:t xml:space="preserve">Government </w:t>
            </w:r>
            <w:r w:rsidR="00CF4953" w:rsidRPr="00AA057E">
              <w:rPr>
                <w:rFonts w:asciiTheme="majorHAnsi" w:hAnsiTheme="majorHAnsi" w:cstheme="majorHAnsi"/>
                <w:color w:val="262626" w:themeColor="text1" w:themeTint="D9"/>
              </w:rPr>
              <w:t xml:space="preserve">partners </w:t>
            </w:r>
          </w:p>
        </w:tc>
        <w:tc>
          <w:tcPr>
            <w:tcW w:w="7291" w:type="dxa"/>
          </w:tcPr>
          <w:p w:rsidR="00CF4953" w:rsidRPr="00AA057E" w:rsidRDefault="00CF4953" w:rsidP="00C647A9">
            <w:pPr>
              <w:pStyle w:val="BodyText"/>
              <w:spacing w:before="0" w:after="0"/>
              <w:rPr>
                <w:color w:val="262626" w:themeColor="text1" w:themeTint="D9"/>
              </w:rPr>
            </w:pPr>
            <w:r w:rsidRPr="00AA057E">
              <w:rPr>
                <w:color w:val="262626" w:themeColor="text1" w:themeTint="D9"/>
              </w:rPr>
              <w:t>Papua New Guinea and Australian Government through the Department of Personnel Management (DPM), Department of Higher Education, Research, Science and Technology (</w:t>
            </w:r>
            <w:r w:rsidR="00C647A9">
              <w:rPr>
                <w:color w:val="262626" w:themeColor="text1" w:themeTint="D9"/>
              </w:rPr>
              <w:t>DHERST</w:t>
            </w:r>
            <w:r w:rsidRPr="00AA057E">
              <w:rPr>
                <w:color w:val="262626" w:themeColor="text1" w:themeTint="D9"/>
              </w:rPr>
              <w:t xml:space="preserve">) and the Australian High Commission </w:t>
            </w:r>
          </w:p>
        </w:tc>
      </w:tr>
      <w:tr w:rsidR="00CF4953" w:rsidRPr="00AA057E" w:rsidTr="009003E4">
        <w:tc>
          <w:tcPr>
            <w:tcW w:w="1951" w:type="dxa"/>
          </w:tcPr>
          <w:p w:rsidR="00CF4953" w:rsidRPr="00AA057E" w:rsidRDefault="00CF4953" w:rsidP="009003E4">
            <w:pPr>
              <w:spacing w:before="0" w:after="0"/>
              <w:rPr>
                <w:rFonts w:asciiTheme="majorHAnsi" w:hAnsiTheme="majorHAnsi" w:cstheme="majorHAnsi"/>
                <w:color w:val="262626" w:themeColor="text1" w:themeTint="D9"/>
              </w:rPr>
            </w:pPr>
            <w:r w:rsidRPr="00AA057E">
              <w:rPr>
                <w:rFonts w:asciiTheme="majorHAnsi" w:hAnsiTheme="majorHAnsi" w:cstheme="majorHAnsi"/>
                <w:color w:val="262626" w:themeColor="text1" w:themeTint="D9"/>
              </w:rPr>
              <w:t xml:space="preserve">Core Institutions </w:t>
            </w:r>
          </w:p>
        </w:tc>
        <w:tc>
          <w:tcPr>
            <w:tcW w:w="7291" w:type="dxa"/>
          </w:tcPr>
          <w:p w:rsidR="00CF4953" w:rsidRPr="00AA057E" w:rsidRDefault="00CF4953" w:rsidP="009003E4">
            <w:pPr>
              <w:pStyle w:val="BodyText"/>
              <w:spacing w:before="0" w:after="0"/>
              <w:rPr>
                <w:color w:val="262626" w:themeColor="text1" w:themeTint="D9"/>
              </w:rPr>
            </w:pPr>
            <w:r w:rsidRPr="00AA057E">
              <w:rPr>
                <w:color w:val="262626" w:themeColor="text1" w:themeTint="D9"/>
              </w:rPr>
              <w:t>University of Papua New Guinea’s School of Business and Public Policy (UPNG SBPP) and the Pacific Institute of Leadership and Governance (PILAG) formerly the Papua New Guinea Institute of Public Administration</w:t>
            </w:r>
          </w:p>
        </w:tc>
      </w:tr>
      <w:tr w:rsidR="00CF4953" w:rsidRPr="00AA057E" w:rsidTr="009003E4">
        <w:tc>
          <w:tcPr>
            <w:tcW w:w="1951" w:type="dxa"/>
          </w:tcPr>
          <w:p w:rsidR="00CF4953" w:rsidRPr="00AA057E" w:rsidRDefault="00CF4953" w:rsidP="009003E4">
            <w:pPr>
              <w:spacing w:before="0" w:after="0"/>
              <w:rPr>
                <w:rFonts w:asciiTheme="majorHAnsi" w:hAnsiTheme="majorHAnsi" w:cstheme="majorHAnsi"/>
                <w:color w:val="262626" w:themeColor="text1" w:themeTint="D9"/>
              </w:rPr>
            </w:pPr>
            <w:r w:rsidRPr="00AA057E">
              <w:rPr>
                <w:rFonts w:asciiTheme="majorHAnsi" w:hAnsiTheme="majorHAnsi" w:cstheme="majorHAnsi"/>
                <w:color w:val="262626" w:themeColor="text1" w:themeTint="D9"/>
              </w:rPr>
              <w:t>Delivery partners</w:t>
            </w:r>
          </w:p>
        </w:tc>
        <w:tc>
          <w:tcPr>
            <w:tcW w:w="7291" w:type="dxa"/>
          </w:tcPr>
          <w:p w:rsidR="00CF4953" w:rsidRPr="00AA057E" w:rsidRDefault="00CF4953" w:rsidP="009003E4">
            <w:pPr>
              <w:pStyle w:val="BodyText"/>
              <w:spacing w:before="0" w:after="0"/>
              <w:rPr>
                <w:color w:val="262626" w:themeColor="text1" w:themeTint="D9"/>
              </w:rPr>
            </w:pPr>
            <w:r w:rsidRPr="00AA057E">
              <w:rPr>
                <w:color w:val="262626" w:themeColor="text1" w:themeTint="D9"/>
              </w:rPr>
              <w:t>Australian Public Service Commission, Abt Associates Ltd, Australian National University, University of Queensland, and short-course providers</w:t>
            </w:r>
          </w:p>
        </w:tc>
      </w:tr>
      <w:tr w:rsidR="00CF4953" w:rsidRPr="00AA057E" w:rsidTr="009003E4">
        <w:tc>
          <w:tcPr>
            <w:tcW w:w="1951" w:type="dxa"/>
          </w:tcPr>
          <w:p w:rsidR="00CF4953" w:rsidRPr="00AA057E" w:rsidRDefault="00CF4953" w:rsidP="009003E4">
            <w:pPr>
              <w:spacing w:before="0" w:after="0"/>
              <w:rPr>
                <w:rFonts w:asciiTheme="majorHAnsi" w:hAnsiTheme="majorHAnsi" w:cstheme="majorHAnsi"/>
                <w:color w:val="262626" w:themeColor="text1" w:themeTint="D9"/>
              </w:rPr>
            </w:pPr>
            <w:r w:rsidRPr="00AA057E">
              <w:rPr>
                <w:rFonts w:asciiTheme="majorHAnsi" w:hAnsiTheme="majorHAnsi" w:cstheme="majorHAnsi"/>
                <w:color w:val="262626" w:themeColor="text1" w:themeTint="D9"/>
              </w:rPr>
              <w:t>Evaluation Completion Date</w:t>
            </w:r>
          </w:p>
        </w:tc>
        <w:tc>
          <w:tcPr>
            <w:tcW w:w="7291" w:type="dxa"/>
          </w:tcPr>
          <w:p w:rsidR="00CF4953" w:rsidRPr="00AA057E" w:rsidRDefault="00CF4953" w:rsidP="009003E4">
            <w:pPr>
              <w:pStyle w:val="BodyText"/>
              <w:spacing w:before="0" w:after="0"/>
              <w:rPr>
                <w:color w:val="262626" w:themeColor="text1" w:themeTint="D9"/>
              </w:rPr>
            </w:pPr>
            <w:r w:rsidRPr="00AA057E">
              <w:rPr>
                <w:color w:val="262626" w:themeColor="text1" w:themeTint="D9"/>
              </w:rPr>
              <w:t>28 February 2019</w:t>
            </w:r>
          </w:p>
        </w:tc>
      </w:tr>
    </w:tbl>
    <w:p w:rsidR="00CF4953" w:rsidRPr="00AA057E" w:rsidRDefault="00CF4953" w:rsidP="00CF4953">
      <w:pPr>
        <w:pStyle w:val="Heading3"/>
        <w:rPr>
          <w:color w:val="262626" w:themeColor="text1" w:themeTint="D9"/>
          <w:sz w:val="28"/>
        </w:rPr>
      </w:pPr>
      <w:r w:rsidRPr="00AA057E">
        <w:rPr>
          <w:color w:val="262626" w:themeColor="text1" w:themeTint="D9"/>
          <w:sz w:val="28"/>
        </w:rPr>
        <w:t>Response to the strategic review</w:t>
      </w:r>
    </w:p>
    <w:p w:rsidR="00CF4953" w:rsidRPr="00AA057E" w:rsidRDefault="00CF4953" w:rsidP="00CF4953">
      <w:pPr>
        <w:rPr>
          <w:color w:val="262626" w:themeColor="text1" w:themeTint="D9"/>
          <w:lang w:val="en-AU"/>
        </w:rPr>
      </w:pPr>
      <w:r w:rsidRPr="00AA057E">
        <w:rPr>
          <w:color w:val="262626" w:themeColor="text1" w:themeTint="D9"/>
          <w:lang w:val="en-AU"/>
        </w:rPr>
        <w:t xml:space="preserve">DFAT accepts the Strategic Review of the </w:t>
      </w:r>
      <w:r w:rsidRPr="00AA057E">
        <w:rPr>
          <w:b/>
          <w:color w:val="262626" w:themeColor="text1" w:themeTint="D9"/>
          <w:lang w:val="en-AU"/>
        </w:rPr>
        <w:t>Pacific Leadership and Governance Precinct</w:t>
      </w:r>
      <w:r w:rsidRPr="00AA057E">
        <w:rPr>
          <w:color w:val="262626" w:themeColor="text1" w:themeTint="D9"/>
          <w:lang w:val="en-AU"/>
        </w:rPr>
        <w:t xml:space="preserve"> (Precinct)</w:t>
      </w:r>
      <w:r w:rsidR="00232708" w:rsidRPr="00AA057E">
        <w:rPr>
          <w:color w:val="262626" w:themeColor="text1" w:themeTint="D9"/>
          <w:lang w:val="en-AU"/>
        </w:rPr>
        <w:t xml:space="preserve">. </w:t>
      </w:r>
      <w:r w:rsidR="00D45C4F" w:rsidRPr="00AA057E">
        <w:rPr>
          <w:color w:val="262626" w:themeColor="text1" w:themeTint="D9"/>
          <w:lang w:val="en-AU"/>
        </w:rPr>
        <w:t xml:space="preserve"> </w:t>
      </w:r>
      <w:r w:rsidRPr="00AA057E">
        <w:rPr>
          <w:color w:val="262626" w:themeColor="text1" w:themeTint="D9"/>
          <w:lang w:val="en-AU"/>
        </w:rPr>
        <w:t xml:space="preserve">We appreciate the </w:t>
      </w:r>
      <w:r w:rsidR="00232708" w:rsidRPr="00AA057E">
        <w:rPr>
          <w:color w:val="262626" w:themeColor="text1" w:themeTint="D9"/>
          <w:lang w:val="en-AU"/>
        </w:rPr>
        <w:t>Review Team</w:t>
      </w:r>
      <w:r w:rsidR="00E275D4" w:rsidRPr="00AA057E">
        <w:rPr>
          <w:color w:val="262626" w:themeColor="text1" w:themeTint="D9"/>
          <w:lang w:val="en-AU"/>
        </w:rPr>
        <w:t xml:space="preserve">’s efforts to assist </w:t>
      </w:r>
      <w:r w:rsidRPr="00AA057E">
        <w:rPr>
          <w:color w:val="262626" w:themeColor="text1" w:themeTint="D9"/>
          <w:lang w:val="en-AU"/>
        </w:rPr>
        <w:t>the Australia</w:t>
      </w:r>
      <w:r w:rsidR="00E322FB">
        <w:rPr>
          <w:color w:val="262626" w:themeColor="text1" w:themeTint="D9"/>
          <w:lang w:val="en-AU"/>
        </w:rPr>
        <w:t>n</w:t>
      </w:r>
      <w:r w:rsidRPr="00AA057E">
        <w:rPr>
          <w:color w:val="262626" w:themeColor="text1" w:themeTint="D9"/>
          <w:lang w:val="en-AU"/>
        </w:rPr>
        <w:t xml:space="preserve"> Government and </w:t>
      </w:r>
      <w:r w:rsidR="00A80B23" w:rsidRPr="00AA057E">
        <w:rPr>
          <w:color w:val="262626" w:themeColor="text1" w:themeTint="D9"/>
          <w:lang w:val="en-AU"/>
        </w:rPr>
        <w:t xml:space="preserve">its </w:t>
      </w:r>
      <w:r w:rsidRPr="00AA057E">
        <w:rPr>
          <w:color w:val="262626" w:themeColor="text1" w:themeTint="D9"/>
          <w:lang w:val="en-AU"/>
        </w:rPr>
        <w:t xml:space="preserve">partners to </w:t>
      </w:r>
      <w:r w:rsidR="00F94AAE" w:rsidRPr="00AA057E">
        <w:rPr>
          <w:color w:val="262626" w:themeColor="text1" w:themeTint="D9"/>
          <w:lang w:val="en-AU"/>
        </w:rPr>
        <w:t>assess the progress of the Precinct</w:t>
      </w:r>
      <w:r w:rsidR="00B66876" w:rsidRPr="00AA057E">
        <w:rPr>
          <w:color w:val="262626" w:themeColor="text1" w:themeTint="D9"/>
          <w:lang w:val="en-AU"/>
        </w:rPr>
        <w:t xml:space="preserve"> </w:t>
      </w:r>
      <w:r w:rsidR="00E87452" w:rsidRPr="00AA057E">
        <w:rPr>
          <w:color w:val="262626" w:themeColor="text1" w:themeTint="D9"/>
          <w:lang w:val="en-AU"/>
        </w:rPr>
        <w:t>over three</w:t>
      </w:r>
      <w:r w:rsidR="00E275D4" w:rsidRPr="00AA057E">
        <w:rPr>
          <w:color w:val="262626" w:themeColor="text1" w:themeTint="D9"/>
          <w:lang w:val="en-AU"/>
        </w:rPr>
        <w:t xml:space="preserve"> years</w:t>
      </w:r>
      <w:r w:rsidR="00E87452" w:rsidRPr="00AA057E">
        <w:rPr>
          <w:color w:val="262626" w:themeColor="text1" w:themeTint="D9"/>
          <w:lang w:val="en-AU"/>
        </w:rPr>
        <w:t xml:space="preserve"> (2015-2018)</w:t>
      </w:r>
      <w:r w:rsidR="00D45C4F" w:rsidRPr="00AA057E">
        <w:rPr>
          <w:color w:val="262626" w:themeColor="text1" w:themeTint="D9"/>
          <w:lang w:val="en-AU"/>
        </w:rPr>
        <w:t xml:space="preserve">. </w:t>
      </w:r>
      <w:r w:rsidR="00E0583E" w:rsidRPr="00AA057E">
        <w:rPr>
          <w:color w:val="262626" w:themeColor="text1" w:themeTint="D9"/>
          <w:lang w:val="en-AU"/>
        </w:rPr>
        <w:t xml:space="preserve"> </w:t>
      </w:r>
      <w:r w:rsidRPr="00AA057E">
        <w:rPr>
          <w:color w:val="262626" w:themeColor="text1" w:themeTint="D9"/>
          <w:lang w:val="en-AU"/>
        </w:rPr>
        <w:t>The report provides recommendations for the refinement of the investment based on international experience and evidence</w:t>
      </w:r>
      <w:r w:rsidR="00D45C4F" w:rsidRPr="00AA057E">
        <w:rPr>
          <w:color w:val="262626" w:themeColor="text1" w:themeTint="D9"/>
          <w:lang w:val="en-AU"/>
        </w:rPr>
        <w:t xml:space="preserve">.  </w:t>
      </w:r>
    </w:p>
    <w:p w:rsidR="00CF4953" w:rsidRPr="00AA057E" w:rsidRDefault="00E275D4" w:rsidP="00CF4953">
      <w:pPr>
        <w:rPr>
          <w:color w:val="262626" w:themeColor="text1" w:themeTint="D9"/>
          <w:lang w:val="en-AU"/>
        </w:rPr>
      </w:pPr>
      <w:r w:rsidRPr="00AA057E">
        <w:rPr>
          <w:color w:val="262626" w:themeColor="text1" w:themeTint="D9"/>
          <w:lang w:val="en-AU"/>
        </w:rPr>
        <w:t xml:space="preserve">DFAT </w:t>
      </w:r>
      <w:r w:rsidR="00D80C26" w:rsidRPr="00AA057E">
        <w:rPr>
          <w:color w:val="262626" w:themeColor="text1" w:themeTint="D9"/>
          <w:lang w:val="en-AU"/>
        </w:rPr>
        <w:t xml:space="preserve">welcomes </w:t>
      </w:r>
      <w:r w:rsidRPr="00AA057E">
        <w:rPr>
          <w:color w:val="262626" w:themeColor="text1" w:themeTint="D9"/>
          <w:lang w:val="en-AU"/>
        </w:rPr>
        <w:t xml:space="preserve">the review findings </w:t>
      </w:r>
      <w:r w:rsidR="00E87452" w:rsidRPr="00AA057E">
        <w:rPr>
          <w:color w:val="262626" w:themeColor="text1" w:themeTint="D9"/>
          <w:lang w:val="en-AU"/>
        </w:rPr>
        <w:t xml:space="preserve">that the Precinct has delivered </w:t>
      </w:r>
      <w:r w:rsidR="00D80C26" w:rsidRPr="00AA057E">
        <w:rPr>
          <w:color w:val="262626" w:themeColor="text1" w:themeTint="D9"/>
          <w:lang w:val="en-AU"/>
        </w:rPr>
        <w:t xml:space="preserve">a number of concrete and </w:t>
      </w:r>
      <w:r w:rsidRPr="00AA057E">
        <w:rPr>
          <w:color w:val="262626" w:themeColor="text1" w:themeTint="D9"/>
          <w:lang w:val="en-AU"/>
        </w:rPr>
        <w:t>quality outputs</w:t>
      </w:r>
      <w:r w:rsidR="00751C3B" w:rsidRPr="00AA057E">
        <w:rPr>
          <w:color w:val="262626" w:themeColor="text1" w:themeTint="D9"/>
          <w:lang w:val="en-AU"/>
        </w:rPr>
        <w:t xml:space="preserve">. This has included </w:t>
      </w:r>
      <w:r w:rsidR="00FC7297" w:rsidRPr="00AA057E">
        <w:rPr>
          <w:color w:val="262626" w:themeColor="text1" w:themeTint="D9"/>
          <w:lang w:val="en-AU"/>
        </w:rPr>
        <w:t xml:space="preserve">delivery of vocational and academic courses to over 1,657 participants, </w:t>
      </w:r>
      <w:r w:rsidR="00751C3B" w:rsidRPr="00AA057E">
        <w:rPr>
          <w:color w:val="262626" w:themeColor="text1" w:themeTint="D9"/>
          <w:lang w:val="en-AU"/>
        </w:rPr>
        <w:t xml:space="preserve">the </w:t>
      </w:r>
      <w:r w:rsidR="00E87452" w:rsidRPr="00AA057E">
        <w:rPr>
          <w:color w:val="262626" w:themeColor="text1" w:themeTint="D9"/>
          <w:lang w:val="en-AU"/>
        </w:rPr>
        <w:t>construction of three high-standard building</w:t>
      </w:r>
      <w:r w:rsidR="00590C4D" w:rsidRPr="00AA057E">
        <w:rPr>
          <w:color w:val="262626" w:themeColor="text1" w:themeTint="D9"/>
          <w:lang w:val="en-AU"/>
        </w:rPr>
        <w:t>s</w:t>
      </w:r>
      <w:r w:rsidR="00E87452" w:rsidRPr="00AA057E">
        <w:rPr>
          <w:color w:val="262626" w:themeColor="text1" w:themeTint="D9"/>
          <w:lang w:val="en-AU"/>
        </w:rPr>
        <w:t xml:space="preserve">, </w:t>
      </w:r>
      <w:r w:rsidR="00751C3B" w:rsidRPr="00AA057E">
        <w:rPr>
          <w:color w:val="262626" w:themeColor="text1" w:themeTint="D9"/>
          <w:lang w:val="en-AU"/>
        </w:rPr>
        <w:t xml:space="preserve">and </w:t>
      </w:r>
      <w:r w:rsidR="00D80C26" w:rsidRPr="00AA057E">
        <w:rPr>
          <w:color w:val="262626" w:themeColor="text1" w:themeTint="D9"/>
          <w:lang w:val="en-AU"/>
        </w:rPr>
        <w:t>high-quality support to</w:t>
      </w:r>
      <w:r w:rsidR="00E87452" w:rsidRPr="00AA057E">
        <w:rPr>
          <w:color w:val="262626" w:themeColor="text1" w:themeTint="D9"/>
          <w:lang w:val="en-AU"/>
        </w:rPr>
        <w:t xml:space="preserve"> </w:t>
      </w:r>
      <w:r w:rsidR="00D80C26" w:rsidRPr="00AA057E">
        <w:rPr>
          <w:color w:val="262626" w:themeColor="text1" w:themeTint="D9"/>
          <w:lang w:val="en-AU"/>
        </w:rPr>
        <w:t xml:space="preserve">University of PNG’s </w:t>
      </w:r>
      <w:r w:rsidR="00E87452" w:rsidRPr="00AA057E">
        <w:rPr>
          <w:color w:val="262626" w:themeColor="text1" w:themeTint="D9"/>
          <w:lang w:val="en-AU"/>
        </w:rPr>
        <w:t>S</w:t>
      </w:r>
      <w:r w:rsidR="00D80C26" w:rsidRPr="00AA057E">
        <w:rPr>
          <w:color w:val="262626" w:themeColor="text1" w:themeTint="D9"/>
          <w:lang w:val="en-AU"/>
        </w:rPr>
        <w:t xml:space="preserve">chool of </w:t>
      </w:r>
      <w:r w:rsidR="00E87452" w:rsidRPr="00AA057E">
        <w:rPr>
          <w:color w:val="262626" w:themeColor="text1" w:themeTint="D9"/>
          <w:lang w:val="en-AU"/>
        </w:rPr>
        <w:t>B</w:t>
      </w:r>
      <w:r w:rsidR="00D80C26" w:rsidRPr="00AA057E">
        <w:rPr>
          <w:color w:val="262626" w:themeColor="text1" w:themeTint="D9"/>
          <w:lang w:val="en-AU"/>
        </w:rPr>
        <w:t xml:space="preserve">usiness and </w:t>
      </w:r>
      <w:r w:rsidR="00E87452" w:rsidRPr="00AA057E">
        <w:rPr>
          <w:color w:val="262626" w:themeColor="text1" w:themeTint="D9"/>
          <w:lang w:val="en-AU"/>
        </w:rPr>
        <w:t>P</w:t>
      </w:r>
      <w:r w:rsidR="00D80C26" w:rsidRPr="00AA057E">
        <w:rPr>
          <w:color w:val="262626" w:themeColor="text1" w:themeTint="D9"/>
          <w:lang w:val="en-AU"/>
        </w:rPr>
        <w:t xml:space="preserve">ublic </w:t>
      </w:r>
      <w:r w:rsidR="00E87452" w:rsidRPr="00AA057E">
        <w:rPr>
          <w:color w:val="262626" w:themeColor="text1" w:themeTint="D9"/>
          <w:lang w:val="en-AU"/>
        </w:rPr>
        <w:t>P</w:t>
      </w:r>
      <w:r w:rsidR="00D80C26" w:rsidRPr="00AA057E">
        <w:rPr>
          <w:color w:val="262626" w:themeColor="text1" w:themeTint="D9"/>
          <w:lang w:val="en-AU"/>
        </w:rPr>
        <w:t>olicy (SBPP)</w:t>
      </w:r>
      <w:r w:rsidR="00E87452" w:rsidRPr="00AA057E">
        <w:rPr>
          <w:color w:val="262626" w:themeColor="text1" w:themeTint="D9"/>
          <w:lang w:val="en-AU"/>
        </w:rPr>
        <w:t xml:space="preserve"> and </w:t>
      </w:r>
      <w:r w:rsidR="0084663C" w:rsidRPr="00AA057E">
        <w:rPr>
          <w:color w:val="262626" w:themeColor="text1" w:themeTint="D9"/>
          <w:lang w:val="en-AU"/>
        </w:rPr>
        <w:t xml:space="preserve">the </w:t>
      </w:r>
      <w:r w:rsidR="0084663C" w:rsidRPr="00AA057E">
        <w:rPr>
          <w:color w:val="262626" w:themeColor="text1" w:themeTint="D9"/>
        </w:rPr>
        <w:t>Pacific Institute of Leadership and Governance (</w:t>
      </w:r>
      <w:r w:rsidR="00E87452" w:rsidRPr="00AA057E">
        <w:rPr>
          <w:color w:val="262626" w:themeColor="text1" w:themeTint="D9"/>
          <w:lang w:val="en-AU"/>
        </w:rPr>
        <w:t>PILAG</w:t>
      </w:r>
      <w:r w:rsidR="0084663C" w:rsidRPr="00AA057E">
        <w:rPr>
          <w:color w:val="262626" w:themeColor="text1" w:themeTint="D9"/>
          <w:lang w:val="en-AU"/>
        </w:rPr>
        <w:t>)</w:t>
      </w:r>
      <w:r w:rsidR="00751C3B" w:rsidRPr="00AA057E">
        <w:rPr>
          <w:color w:val="262626" w:themeColor="text1" w:themeTint="D9"/>
          <w:lang w:val="en-AU"/>
        </w:rPr>
        <w:t xml:space="preserve"> to deliver </w:t>
      </w:r>
      <w:r w:rsidR="00E87452" w:rsidRPr="00AA057E">
        <w:rPr>
          <w:color w:val="262626" w:themeColor="text1" w:themeTint="D9"/>
          <w:lang w:val="en-AU"/>
        </w:rPr>
        <w:t xml:space="preserve">good </w:t>
      </w:r>
      <w:r w:rsidR="00D80C26" w:rsidRPr="00AA057E">
        <w:rPr>
          <w:color w:val="262626" w:themeColor="text1" w:themeTint="D9"/>
          <w:lang w:val="en-AU"/>
        </w:rPr>
        <w:t>practice</w:t>
      </w:r>
      <w:r w:rsidR="00E87452" w:rsidRPr="00AA057E">
        <w:rPr>
          <w:color w:val="262626" w:themeColor="text1" w:themeTint="D9"/>
          <w:lang w:val="en-AU"/>
        </w:rPr>
        <w:t xml:space="preserve"> in adult learning and methodologies. </w:t>
      </w:r>
      <w:r w:rsidR="00751C3B" w:rsidRPr="00AA057E">
        <w:rPr>
          <w:color w:val="262626" w:themeColor="text1" w:themeTint="D9"/>
          <w:lang w:val="en-AU"/>
        </w:rPr>
        <w:t xml:space="preserve">The review noted </w:t>
      </w:r>
      <w:r w:rsidRPr="00AA057E">
        <w:rPr>
          <w:color w:val="262626" w:themeColor="text1" w:themeTint="D9"/>
          <w:lang w:val="en-AU"/>
        </w:rPr>
        <w:t xml:space="preserve">PNG Government’s strong political and bureaucratic support for the Precinct and </w:t>
      </w:r>
      <w:r w:rsidR="00751C3B" w:rsidRPr="00AA057E">
        <w:rPr>
          <w:color w:val="262626" w:themeColor="text1" w:themeTint="D9"/>
          <w:lang w:val="en-AU"/>
        </w:rPr>
        <w:t xml:space="preserve">its </w:t>
      </w:r>
      <w:r w:rsidRPr="00AA057E">
        <w:rPr>
          <w:color w:val="262626" w:themeColor="text1" w:themeTint="D9"/>
          <w:lang w:val="en-AU"/>
        </w:rPr>
        <w:t>recognition as an important program</w:t>
      </w:r>
      <w:r w:rsidR="006F1FD6" w:rsidRPr="00AA057E">
        <w:rPr>
          <w:color w:val="262626" w:themeColor="text1" w:themeTint="D9"/>
          <w:lang w:val="en-AU"/>
        </w:rPr>
        <w:t xml:space="preserve"> in helping public servants</w:t>
      </w:r>
      <w:r w:rsidR="00A76861" w:rsidRPr="00AA057E">
        <w:rPr>
          <w:color w:val="262626" w:themeColor="text1" w:themeTint="D9"/>
          <w:lang w:val="en-AU"/>
        </w:rPr>
        <w:t xml:space="preserve"> </w:t>
      </w:r>
      <w:r w:rsidR="006F1FD6" w:rsidRPr="00AA057E">
        <w:rPr>
          <w:color w:val="262626" w:themeColor="text1" w:themeTint="D9"/>
          <w:lang w:val="en-AU"/>
        </w:rPr>
        <w:t>better manage government resources</w:t>
      </w:r>
      <w:r w:rsidR="00B66876" w:rsidRPr="00AA057E">
        <w:rPr>
          <w:color w:val="262626" w:themeColor="text1" w:themeTint="D9"/>
          <w:lang w:val="en-AU"/>
        </w:rPr>
        <w:t>, especially within the provinces and districts</w:t>
      </w:r>
      <w:r w:rsidR="006F1FD6" w:rsidRPr="00AA057E">
        <w:rPr>
          <w:color w:val="262626" w:themeColor="text1" w:themeTint="D9"/>
          <w:lang w:val="en-AU"/>
        </w:rPr>
        <w:t>.</w:t>
      </w:r>
      <w:r w:rsidR="00751C3B" w:rsidRPr="00AA057E">
        <w:rPr>
          <w:color w:val="262626" w:themeColor="text1" w:themeTint="D9"/>
          <w:lang w:val="en-AU"/>
        </w:rPr>
        <w:t xml:space="preserve"> </w:t>
      </w:r>
      <w:r w:rsidRPr="00AA057E">
        <w:rPr>
          <w:color w:val="262626" w:themeColor="text1" w:themeTint="D9"/>
          <w:lang w:val="en-AU"/>
        </w:rPr>
        <w:t xml:space="preserve">  </w:t>
      </w:r>
    </w:p>
    <w:p w:rsidR="00751C3B" w:rsidRPr="00AA057E" w:rsidRDefault="00751C3B" w:rsidP="00CF4953">
      <w:pPr>
        <w:rPr>
          <w:color w:val="262626" w:themeColor="text1" w:themeTint="D9"/>
          <w:lang w:val="en-AU"/>
        </w:rPr>
      </w:pPr>
      <w:r w:rsidRPr="00AA057E">
        <w:rPr>
          <w:color w:val="262626" w:themeColor="text1" w:themeTint="D9"/>
          <w:lang w:val="en-AU"/>
        </w:rPr>
        <w:t xml:space="preserve">The review </w:t>
      </w:r>
      <w:r w:rsidR="008D1618" w:rsidRPr="00AA057E">
        <w:rPr>
          <w:color w:val="262626" w:themeColor="text1" w:themeTint="D9"/>
          <w:lang w:val="en-AU"/>
        </w:rPr>
        <w:t>report frame</w:t>
      </w:r>
      <w:r w:rsidR="0084663C" w:rsidRPr="00AA057E">
        <w:rPr>
          <w:color w:val="262626" w:themeColor="text1" w:themeTint="D9"/>
          <w:lang w:val="en-AU"/>
        </w:rPr>
        <w:t>d</w:t>
      </w:r>
      <w:r w:rsidR="008D1618" w:rsidRPr="00AA057E">
        <w:rPr>
          <w:color w:val="262626" w:themeColor="text1" w:themeTint="D9"/>
          <w:lang w:val="en-AU"/>
        </w:rPr>
        <w:t xml:space="preserve"> </w:t>
      </w:r>
      <w:r w:rsidRPr="00AA057E">
        <w:rPr>
          <w:color w:val="262626" w:themeColor="text1" w:themeTint="D9"/>
          <w:lang w:val="en-AU"/>
        </w:rPr>
        <w:t>discussion</w:t>
      </w:r>
      <w:r w:rsidR="008D1618" w:rsidRPr="00AA057E">
        <w:rPr>
          <w:color w:val="262626" w:themeColor="text1" w:themeTint="D9"/>
          <w:lang w:val="en-AU"/>
        </w:rPr>
        <w:t>s</w:t>
      </w:r>
      <w:r w:rsidRPr="00AA057E">
        <w:rPr>
          <w:color w:val="262626" w:themeColor="text1" w:themeTint="D9"/>
          <w:lang w:val="en-AU"/>
        </w:rPr>
        <w:t xml:space="preserve"> with the PNG Government and the Precinct’s Executive Advisory Board</w:t>
      </w:r>
      <w:r w:rsidR="008D1618" w:rsidRPr="00AA057E">
        <w:rPr>
          <w:color w:val="262626" w:themeColor="text1" w:themeTint="D9"/>
          <w:lang w:val="en-AU"/>
        </w:rPr>
        <w:t xml:space="preserve"> on Precinct’s</w:t>
      </w:r>
      <w:r w:rsidR="00FC7297" w:rsidRPr="00AA057E">
        <w:rPr>
          <w:color w:val="262626" w:themeColor="text1" w:themeTint="D9"/>
          <w:lang w:val="en-AU"/>
        </w:rPr>
        <w:t xml:space="preserve"> future direction</w:t>
      </w:r>
      <w:r w:rsidRPr="00AA057E">
        <w:rPr>
          <w:color w:val="262626" w:themeColor="text1" w:themeTint="D9"/>
          <w:lang w:val="en-AU"/>
        </w:rPr>
        <w:t xml:space="preserve">. </w:t>
      </w:r>
      <w:r w:rsidR="00FC7297" w:rsidRPr="00AA057E">
        <w:rPr>
          <w:color w:val="262626" w:themeColor="text1" w:themeTint="D9"/>
          <w:lang w:val="en-AU"/>
        </w:rPr>
        <w:t xml:space="preserve">This </w:t>
      </w:r>
      <w:r w:rsidR="008D1618" w:rsidRPr="00AA057E">
        <w:rPr>
          <w:color w:val="262626" w:themeColor="text1" w:themeTint="D9"/>
          <w:lang w:val="en-AU"/>
        </w:rPr>
        <w:t xml:space="preserve">has included careful consideration to </w:t>
      </w:r>
      <w:r w:rsidR="00FC7297" w:rsidRPr="00AA057E">
        <w:rPr>
          <w:color w:val="262626" w:themeColor="text1" w:themeTint="D9"/>
          <w:lang w:val="en-AU"/>
        </w:rPr>
        <w:t xml:space="preserve">ensure </w:t>
      </w:r>
      <w:r w:rsidR="00E4454F" w:rsidRPr="00AA057E">
        <w:rPr>
          <w:color w:val="262626" w:themeColor="text1" w:themeTint="D9"/>
          <w:lang w:val="en-AU"/>
        </w:rPr>
        <w:t xml:space="preserve">the </w:t>
      </w:r>
      <w:r w:rsidRPr="00AA057E">
        <w:rPr>
          <w:color w:val="262626" w:themeColor="text1" w:themeTint="D9"/>
          <w:lang w:val="en-AU"/>
        </w:rPr>
        <w:t xml:space="preserve">outcomes </w:t>
      </w:r>
      <w:r w:rsidR="00862564" w:rsidRPr="00AA057E">
        <w:rPr>
          <w:color w:val="262626" w:themeColor="text1" w:themeTint="D9"/>
          <w:lang w:val="en-AU"/>
        </w:rPr>
        <w:t xml:space="preserve">are </w:t>
      </w:r>
      <w:r w:rsidR="00E0583E" w:rsidRPr="00AA057E">
        <w:rPr>
          <w:color w:val="262626" w:themeColor="text1" w:themeTint="D9"/>
          <w:lang w:val="en-AU"/>
        </w:rPr>
        <w:t xml:space="preserve">relevant and </w:t>
      </w:r>
      <w:r w:rsidR="008D1618" w:rsidRPr="00AA057E">
        <w:rPr>
          <w:color w:val="262626" w:themeColor="text1" w:themeTint="D9"/>
          <w:lang w:val="en-AU"/>
        </w:rPr>
        <w:t>achievable</w:t>
      </w:r>
      <w:r w:rsidRPr="00AA057E">
        <w:rPr>
          <w:color w:val="262626" w:themeColor="text1" w:themeTint="D9"/>
          <w:lang w:val="en-AU"/>
        </w:rPr>
        <w:t xml:space="preserve"> </w:t>
      </w:r>
      <w:r w:rsidR="00862564" w:rsidRPr="00AA057E">
        <w:rPr>
          <w:color w:val="262626" w:themeColor="text1" w:themeTint="D9"/>
          <w:lang w:val="en-AU"/>
        </w:rPr>
        <w:t>by the end of investment (April 2022)</w:t>
      </w:r>
      <w:r w:rsidR="006F1FD6" w:rsidRPr="00AA057E">
        <w:rPr>
          <w:color w:val="262626" w:themeColor="text1" w:themeTint="D9"/>
          <w:lang w:val="en-AU"/>
        </w:rPr>
        <w:t xml:space="preserve">. </w:t>
      </w:r>
      <w:r w:rsidRPr="00AA057E">
        <w:rPr>
          <w:color w:val="262626" w:themeColor="text1" w:themeTint="D9"/>
          <w:lang w:val="en-AU"/>
        </w:rPr>
        <w:t xml:space="preserve">The </w:t>
      </w:r>
      <w:r w:rsidR="009907F0" w:rsidRPr="00AA057E">
        <w:rPr>
          <w:color w:val="262626" w:themeColor="text1" w:themeTint="D9"/>
          <w:lang w:val="en-AU"/>
        </w:rPr>
        <w:t>PNG </w:t>
      </w:r>
      <w:r w:rsidRPr="00AA057E">
        <w:rPr>
          <w:color w:val="262626" w:themeColor="text1" w:themeTint="D9"/>
          <w:lang w:val="en-AU"/>
        </w:rPr>
        <w:t xml:space="preserve">Government confirmed that </w:t>
      </w:r>
      <w:r w:rsidRPr="00AA057E">
        <w:rPr>
          <w:color w:val="262626" w:themeColor="text1" w:themeTint="D9"/>
          <w:u w:val="single"/>
          <w:lang w:val="en-AU"/>
        </w:rPr>
        <w:t>sustainability and consolidation</w:t>
      </w:r>
      <w:r w:rsidRPr="00AA057E">
        <w:rPr>
          <w:color w:val="262626" w:themeColor="text1" w:themeTint="D9"/>
          <w:lang w:val="en-AU"/>
        </w:rPr>
        <w:t xml:space="preserve"> should be the focus for the remaining term of this investment</w:t>
      </w:r>
      <w:r w:rsidR="00862564" w:rsidRPr="00AA057E">
        <w:rPr>
          <w:color w:val="262626" w:themeColor="text1" w:themeTint="D9"/>
          <w:lang w:val="en-AU"/>
        </w:rPr>
        <w:t xml:space="preserve"> </w:t>
      </w:r>
      <w:r w:rsidR="00F94AAE" w:rsidRPr="00AA057E">
        <w:rPr>
          <w:color w:val="262626" w:themeColor="text1" w:themeTint="D9"/>
          <w:lang w:val="en-AU"/>
        </w:rPr>
        <w:t>with</w:t>
      </w:r>
      <w:r w:rsidR="00B66876" w:rsidRPr="00AA057E">
        <w:rPr>
          <w:color w:val="262626" w:themeColor="text1" w:themeTint="D9"/>
          <w:lang w:val="en-AU"/>
        </w:rPr>
        <w:t xml:space="preserve"> </w:t>
      </w:r>
      <w:r w:rsidRPr="00AA057E">
        <w:rPr>
          <w:color w:val="262626" w:themeColor="text1" w:themeTint="D9"/>
          <w:lang w:val="en-AU"/>
        </w:rPr>
        <w:t>strengthen</w:t>
      </w:r>
      <w:r w:rsidR="00F94AAE" w:rsidRPr="00AA057E">
        <w:rPr>
          <w:color w:val="262626" w:themeColor="text1" w:themeTint="D9"/>
          <w:lang w:val="en-AU"/>
        </w:rPr>
        <w:t>ing</w:t>
      </w:r>
      <w:r w:rsidRPr="00AA057E">
        <w:rPr>
          <w:color w:val="262626" w:themeColor="text1" w:themeTint="D9"/>
          <w:lang w:val="en-AU"/>
        </w:rPr>
        <w:t xml:space="preserve"> and build</w:t>
      </w:r>
      <w:r w:rsidR="00F94AAE" w:rsidRPr="00AA057E">
        <w:rPr>
          <w:color w:val="262626" w:themeColor="text1" w:themeTint="D9"/>
          <w:lang w:val="en-AU"/>
        </w:rPr>
        <w:t>ing</w:t>
      </w:r>
      <w:r w:rsidRPr="00AA057E">
        <w:rPr>
          <w:color w:val="262626" w:themeColor="text1" w:themeTint="D9"/>
          <w:lang w:val="en-AU"/>
        </w:rPr>
        <w:t xml:space="preserve"> </w:t>
      </w:r>
      <w:r w:rsidR="001F5092" w:rsidRPr="00AA057E">
        <w:rPr>
          <w:color w:val="262626" w:themeColor="text1" w:themeTint="D9"/>
          <w:lang w:val="en-AU"/>
        </w:rPr>
        <w:t xml:space="preserve">core competencies </w:t>
      </w:r>
      <w:r w:rsidR="00862564" w:rsidRPr="00AA057E">
        <w:rPr>
          <w:color w:val="262626" w:themeColor="text1" w:themeTint="D9"/>
          <w:lang w:val="en-AU"/>
        </w:rPr>
        <w:t xml:space="preserve">and leadership </w:t>
      </w:r>
      <w:r w:rsidR="0084663C" w:rsidRPr="00AA057E">
        <w:rPr>
          <w:color w:val="262626" w:themeColor="text1" w:themeTint="D9"/>
          <w:lang w:val="en-AU"/>
        </w:rPr>
        <w:t xml:space="preserve">within </w:t>
      </w:r>
      <w:r w:rsidRPr="00AA057E">
        <w:rPr>
          <w:color w:val="262626" w:themeColor="text1" w:themeTint="D9"/>
          <w:lang w:val="en-AU"/>
        </w:rPr>
        <w:t xml:space="preserve">the public service as </w:t>
      </w:r>
      <w:r w:rsidR="00F94AAE" w:rsidRPr="00AA057E">
        <w:rPr>
          <w:color w:val="262626" w:themeColor="text1" w:themeTint="D9"/>
          <w:lang w:val="en-AU"/>
        </w:rPr>
        <w:t>the</w:t>
      </w:r>
      <w:r w:rsidRPr="00AA057E">
        <w:rPr>
          <w:color w:val="262626" w:themeColor="text1" w:themeTint="D9"/>
          <w:lang w:val="en-AU"/>
        </w:rPr>
        <w:t xml:space="preserve"> primary </w:t>
      </w:r>
      <w:r w:rsidR="00862564" w:rsidRPr="00AA057E">
        <w:rPr>
          <w:color w:val="262626" w:themeColor="text1" w:themeTint="D9"/>
          <w:lang w:val="en-AU"/>
        </w:rPr>
        <w:t>purpose</w:t>
      </w:r>
      <w:r w:rsidRPr="00AA057E">
        <w:rPr>
          <w:color w:val="262626" w:themeColor="text1" w:themeTint="D9"/>
          <w:lang w:val="en-AU"/>
        </w:rPr>
        <w:t xml:space="preserve">.  In line with this, the program will focus on </w:t>
      </w:r>
      <w:r w:rsidR="00F94AAE" w:rsidRPr="00AA057E">
        <w:rPr>
          <w:color w:val="262626" w:themeColor="text1" w:themeTint="D9"/>
          <w:lang w:val="en-AU"/>
        </w:rPr>
        <w:t xml:space="preserve">capacity strengthening in basic and intermediate public service skills and </w:t>
      </w:r>
      <w:r w:rsidRPr="00AA057E">
        <w:rPr>
          <w:color w:val="262626" w:themeColor="text1" w:themeTint="D9"/>
          <w:lang w:val="en-AU"/>
        </w:rPr>
        <w:t>values-based leadership</w:t>
      </w:r>
      <w:r w:rsidR="00F94AAE" w:rsidRPr="00AA057E">
        <w:rPr>
          <w:color w:val="262626" w:themeColor="text1" w:themeTint="D9"/>
          <w:lang w:val="en-AU"/>
        </w:rPr>
        <w:t>.</w:t>
      </w:r>
      <w:r w:rsidRPr="00AA057E">
        <w:rPr>
          <w:color w:val="262626" w:themeColor="text1" w:themeTint="D9"/>
          <w:lang w:val="en-AU"/>
        </w:rPr>
        <w:t xml:space="preserve"> </w:t>
      </w:r>
      <w:r w:rsidR="004E33F2" w:rsidRPr="00AA057E">
        <w:rPr>
          <w:color w:val="262626" w:themeColor="text1" w:themeTint="D9"/>
          <w:lang w:val="en-AU"/>
        </w:rPr>
        <w:t>We will build on the success of earlier work</w:t>
      </w:r>
      <w:r w:rsidR="004E33F2" w:rsidRPr="00AA057E" w:rsidDel="002C4C18">
        <w:rPr>
          <w:color w:val="262626" w:themeColor="text1" w:themeTint="D9"/>
          <w:lang w:val="en-AU"/>
        </w:rPr>
        <w:t xml:space="preserve"> </w:t>
      </w:r>
      <w:r w:rsidR="004E33F2" w:rsidRPr="00AA057E">
        <w:rPr>
          <w:color w:val="262626" w:themeColor="text1" w:themeTint="D9"/>
          <w:lang w:val="en-AU"/>
        </w:rPr>
        <w:t xml:space="preserve">by supporting quality subnational professional development.  </w:t>
      </w:r>
    </w:p>
    <w:p w:rsidR="00CF4953" w:rsidRPr="00AA057E" w:rsidRDefault="00403A85" w:rsidP="00CF4953">
      <w:pPr>
        <w:rPr>
          <w:color w:val="262626" w:themeColor="text1" w:themeTint="D9"/>
          <w:lang w:val="en-AU"/>
        </w:rPr>
      </w:pPr>
      <w:r w:rsidRPr="00AA057E" w:rsidDel="001F5092">
        <w:rPr>
          <w:color w:val="262626" w:themeColor="text1" w:themeTint="D9"/>
          <w:lang w:val="en-AU"/>
        </w:rPr>
        <w:t xml:space="preserve">We agree with the Review’s findings that it is not enough to </w:t>
      </w:r>
      <w:r w:rsidR="00F8596F">
        <w:rPr>
          <w:color w:val="262626" w:themeColor="text1" w:themeTint="D9"/>
          <w:lang w:val="en-AU"/>
        </w:rPr>
        <w:t xml:space="preserve">train </w:t>
      </w:r>
      <w:r w:rsidRPr="00AA057E" w:rsidDel="001F5092">
        <w:rPr>
          <w:color w:val="262626" w:themeColor="text1" w:themeTint="D9"/>
          <w:lang w:val="en-AU"/>
        </w:rPr>
        <w:t>individuals</w:t>
      </w:r>
      <w:r w:rsidR="000161CA">
        <w:rPr>
          <w:color w:val="262626" w:themeColor="text1" w:themeTint="D9"/>
          <w:lang w:val="en-AU"/>
        </w:rPr>
        <w:t>, and that f</w:t>
      </w:r>
      <w:r w:rsidRPr="00AA057E" w:rsidDel="001F5092">
        <w:rPr>
          <w:color w:val="262626" w:themeColor="text1" w:themeTint="D9"/>
          <w:lang w:val="en-AU"/>
        </w:rPr>
        <w:t>ocus</w:t>
      </w:r>
      <w:r w:rsidR="00F8596F">
        <w:rPr>
          <w:color w:val="262626" w:themeColor="text1" w:themeTint="D9"/>
          <w:lang w:val="en-AU"/>
        </w:rPr>
        <w:t>sing</w:t>
      </w:r>
      <w:r w:rsidRPr="00AA057E" w:rsidDel="001F5092">
        <w:rPr>
          <w:color w:val="262626" w:themeColor="text1" w:themeTint="D9"/>
          <w:lang w:val="en-AU"/>
        </w:rPr>
        <w:t xml:space="preserve"> on their work within the context of an organisation’s wider objectives</w:t>
      </w:r>
      <w:r w:rsidR="00F8596F">
        <w:rPr>
          <w:color w:val="262626" w:themeColor="text1" w:themeTint="D9"/>
          <w:lang w:val="en-AU"/>
        </w:rPr>
        <w:t xml:space="preserve"> is required to support change</w:t>
      </w:r>
      <w:r w:rsidRPr="00AA057E" w:rsidDel="001F5092">
        <w:rPr>
          <w:color w:val="262626" w:themeColor="text1" w:themeTint="D9"/>
          <w:lang w:val="en-AU"/>
        </w:rPr>
        <w:t>.  We embrace a focus on continuous professional development programs</w:t>
      </w:r>
      <w:r w:rsidR="0084663C" w:rsidRPr="00AA057E">
        <w:rPr>
          <w:color w:val="262626" w:themeColor="text1" w:themeTint="D9"/>
          <w:lang w:val="en-AU"/>
        </w:rPr>
        <w:t>,</w:t>
      </w:r>
      <w:r w:rsidRPr="00AA057E" w:rsidDel="001F5092">
        <w:rPr>
          <w:color w:val="262626" w:themeColor="text1" w:themeTint="D9"/>
          <w:lang w:val="en-AU"/>
        </w:rPr>
        <w:t xml:space="preserve"> including on-the-job support (mentoring, coaching, alumni, etc) and considerations of academic pathways</w:t>
      </w:r>
      <w:r w:rsidR="000161CA">
        <w:rPr>
          <w:color w:val="262626" w:themeColor="text1" w:themeTint="D9"/>
          <w:lang w:val="en-AU"/>
        </w:rPr>
        <w:t xml:space="preserve">. We </w:t>
      </w:r>
      <w:r w:rsidR="002C4C18" w:rsidRPr="00AA057E">
        <w:rPr>
          <w:color w:val="262626" w:themeColor="text1" w:themeTint="D9"/>
          <w:lang w:val="en-AU"/>
        </w:rPr>
        <w:t>will focus on targeting cohorts</w:t>
      </w:r>
      <w:r w:rsidR="0084663C" w:rsidRPr="00AA057E">
        <w:rPr>
          <w:color w:val="262626" w:themeColor="text1" w:themeTint="D9"/>
          <w:lang w:val="en-AU"/>
        </w:rPr>
        <w:t xml:space="preserve"> </w:t>
      </w:r>
      <w:r w:rsidR="002C4C18" w:rsidRPr="00AA057E">
        <w:rPr>
          <w:color w:val="262626" w:themeColor="text1" w:themeTint="D9"/>
          <w:lang w:val="en-AU"/>
        </w:rPr>
        <w:t xml:space="preserve">of public </w:t>
      </w:r>
      <w:r w:rsidR="002C4C18" w:rsidRPr="00AA057E">
        <w:rPr>
          <w:color w:val="262626" w:themeColor="text1" w:themeTint="D9"/>
          <w:lang w:val="en-AU"/>
        </w:rPr>
        <w:lastRenderedPageBreak/>
        <w:t>servants</w:t>
      </w:r>
      <w:r w:rsidR="0084663C" w:rsidRPr="00AA057E">
        <w:rPr>
          <w:color w:val="262626" w:themeColor="text1" w:themeTint="D9"/>
          <w:lang w:val="en-AU"/>
        </w:rPr>
        <w:t xml:space="preserve"> (rather than individuals)</w:t>
      </w:r>
      <w:r w:rsidR="002C4C18" w:rsidRPr="00AA057E">
        <w:rPr>
          <w:color w:val="262626" w:themeColor="text1" w:themeTint="D9"/>
          <w:lang w:val="en-AU"/>
        </w:rPr>
        <w:t>.  This recognises the Review’s finding that behaviour change requires collective action by individuals, their colleagues, managers, senior leaders and change in the institutional environment where they operate.</w:t>
      </w:r>
      <w:r w:rsidR="0084663C" w:rsidRPr="00AA057E">
        <w:rPr>
          <w:color w:val="262626" w:themeColor="text1" w:themeTint="D9"/>
          <w:lang w:val="en-AU"/>
        </w:rPr>
        <w:t xml:space="preserve"> </w:t>
      </w:r>
    </w:p>
    <w:p w:rsidR="00811975" w:rsidRPr="00AA057E" w:rsidRDefault="004E33F2" w:rsidP="00E4454F">
      <w:pPr>
        <w:rPr>
          <w:color w:val="262626" w:themeColor="text1" w:themeTint="D9"/>
          <w:lang w:val="en-AU"/>
        </w:rPr>
      </w:pPr>
      <w:r w:rsidRPr="00AA057E">
        <w:rPr>
          <w:color w:val="262626" w:themeColor="text1" w:themeTint="D9"/>
          <w:lang w:val="en-AU"/>
        </w:rPr>
        <w:t>W</w:t>
      </w:r>
      <w:r w:rsidR="00E4454F" w:rsidRPr="00AA057E" w:rsidDel="001F5092">
        <w:rPr>
          <w:color w:val="262626" w:themeColor="text1" w:themeTint="D9"/>
          <w:lang w:val="en-AU"/>
        </w:rPr>
        <w:t xml:space="preserve">e do not </w:t>
      </w:r>
      <w:r w:rsidR="008E77DD" w:rsidRPr="00AA057E">
        <w:rPr>
          <w:color w:val="262626" w:themeColor="text1" w:themeTint="D9"/>
          <w:lang w:val="en-AU"/>
        </w:rPr>
        <w:t>agree with Review</w:t>
      </w:r>
      <w:r w:rsidRPr="00AA057E">
        <w:rPr>
          <w:color w:val="262626" w:themeColor="text1" w:themeTint="D9"/>
          <w:lang w:val="en-AU"/>
        </w:rPr>
        <w:t xml:space="preserve">’s </w:t>
      </w:r>
      <w:r w:rsidR="008E77DD" w:rsidRPr="00AA057E">
        <w:rPr>
          <w:color w:val="262626" w:themeColor="text1" w:themeTint="D9"/>
          <w:lang w:val="en-AU"/>
        </w:rPr>
        <w:t xml:space="preserve">recommendation that </w:t>
      </w:r>
      <w:r w:rsidR="00E4454F" w:rsidRPr="00AA057E" w:rsidDel="001F5092">
        <w:rPr>
          <w:color w:val="262626" w:themeColor="text1" w:themeTint="D9"/>
          <w:lang w:val="en-AU"/>
        </w:rPr>
        <w:t xml:space="preserve">this </w:t>
      </w:r>
      <w:r w:rsidR="00E4454F" w:rsidRPr="00AA057E">
        <w:rPr>
          <w:color w:val="262626" w:themeColor="text1" w:themeTint="D9"/>
          <w:lang w:val="en-AU"/>
        </w:rPr>
        <w:t xml:space="preserve">investment </w:t>
      </w:r>
      <w:r w:rsidR="008E77DD" w:rsidRPr="00AA057E">
        <w:rPr>
          <w:color w:val="262626" w:themeColor="text1" w:themeTint="D9"/>
          <w:lang w:val="en-AU"/>
        </w:rPr>
        <w:t xml:space="preserve">is </w:t>
      </w:r>
      <w:r w:rsidR="00E4454F" w:rsidRPr="00AA057E" w:rsidDel="001F5092">
        <w:rPr>
          <w:color w:val="262626" w:themeColor="text1" w:themeTint="D9"/>
          <w:lang w:val="en-AU"/>
        </w:rPr>
        <w:t xml:space="preserve">a suitable vehicle for </w:t>
      </w:r>
      <w:r w:rsidR="00284481">
        <w:rPr>
          <w:color w:val="262626" w:themeColor="text1" w:themeTint="D9"/>
          <w:lang w:val="en-AU"/>
        </w:rPr>
        <w:t xml:space="preserve">more ambitious </w:t>
      </w:r>
      <w:r w:rsidR="00E4454F" w:rsidRPr="00AA057E">
        <w:rPr>
          <w:color w:val="262626" w:themeColor="text1" w:themeTint="D9"/>
          <w:lang w:val="en-AU"/>
        </w:rPr>
        <w:t xml:space="preserve">public sector reform </w:t>
      </w:r>
      <w:r w:rsidR="00E4454F" w:rsidRPr="00AA057E" w:rsidDel="001F5092">
        <w:rPr>
          <w:color w:val="262626" w:themeColor="text1" w:themeTint="D9"/>
          <w:lang w:val="en-AU"/>
        </w:rPr>
        <w:t>activities</w:t>
      </w:r>
      <w:r w:rsidR="00182852" w:rsidRPr="00AA057E">
        <w:rPr>
          <w:color w:val="262626" w:themeColor="text1" w:themeTint="D9"/>
          <w:lang w:val="en-AU"/>
        </w:rPr>
        <w:t xml:space="preserve">. </w:t>
      </w:r>
      <w:r w:rsidR="00284481">
        <w:rPr>
          <w:color w:val="262626" w:themeColor="text1" w:themeTint="D9"/>
          <w:lang w:val="en-AU"/>
        </w:rPr>
        <w:t xml:space="preserve">We consider it important to now </w:t>
      </w:r>
      <w:r w:rsidR="002F02E7" w:rsidRPr="00AA057E">
        <w:rPr>
          <w:color w:val="262626" w:themeColor="text1" w:themeTint="D9"/>
          <w:lang w:val="en-AU"/>
        </w:rPr>
        <w:t>consolidate the investment</w:t>
      </w:r>
      <w:r w:rsidRPr="00AA057E">
        <w:rPr>
          <w:color w:val="262626" w:themeColor="text1" w:themeTint="D9"/>
          <w:lang w:val="en-AU"/>
        </w:rPr>
        <w:t xml:space="preserve"> </w:t>
      </w:r>
      <w:r w:rsidR="00284481">
        <w:rPr>
          <w:color w:val="262626" w:themeColor="text1" w:themeTint="D9"/>
          <w:lang w:val="en-AU"/>
        </w:rPr>
        <w:t>r</w:t>
      </w:r>
      <w:r w:rsidR="000161CA">
        <w:rPr>
          <w:color w:val="262626" w:themeColor="text1" w:themeTint="D9"/>
          <w:lang w:val="en-AU"/>
        </w:rPr>
        <w:t xml:space="preserve">ather than expand its ambitions, </w:t>
      </w:r>
      <w:r w:rsidR="00284481">
        <w:rPr>
          <w:color w:val="262626" w:themeColor="text1" w:themeTint="D9"/>
          <w:lang w:val="en-AU"/>
        </w:rPr>
        <w:t xml:space="preserve">noting </w:t>
      </w:r>
      <w:r w:rsidRPr="00AA057E">
        <w:rPr>
          <w:color w:val="262626" w:themeColor="text1" w:themeTint="D9"/>
          <w:lang w:val="en-AU"/>
        </w:rPr>
        <w:t>the remaining timeframe of the investment (to April 2022)</w:t>
      </w:r>
      <w:r w:rsidR="008E77DD" w:rsidRPr="00AA057E">
        <w:rPr>
          <w:color w:val="262626" w:themeColor="text1" w:themeTint="D9"/>
          <w:lang w:val="en-AU"/>
        </w:rPr>
        <w:t xml:space="preserve">.  </w:t>
      </w:r>
      <w:r w:rsidR="002F02E7" w:rsidRPr="00AA057E">
        <w:rPr>
          <w:color w:val="262626" w:themeColor="text1" w:themeTint="D9"/>
          <w:lang w:val="en-AU"/>
        </w:rPr>
        <w:t xml:space="preserve">However, we will ensure where possible </w:t>
      </w:r>
      <w:r w:rsidRPr="00AA057E">
        <w:rPr>
          <w:color w:val="262626" w:themeColor="text1" w:themeTint="D9"/>
          <w:lang w:val="en-AU"/>
        </w:rPr>
        <w:t>that</w:t>
      </w:r>
      <w:r w:rsidRPr="00AA057E" w:rsidDel="001F5092">
        <w:rPr>
          <w:color w:val="262626" w:themeColor="text1" w:themeTint="D9"/>
          <w:lang w:val="en-AU"/>
        </w:rPr>
        <w:t xml:space="preserve"> </w:t>
      </w:r>
      <w:r w:rsidR="00E4454F" w:rsidRPr="00AA057E" w:rsidDel="001F5092">
        <w:rPr>
          <w:color w:val="262626" w:themeColor="text1" w:themeTint="D9"/>
          <w:lang w:val="en-AU"/>
        </w:rPr>
        <w:t xml:space="preserve">Precinct </w:t>
      </w:r>
      <w:r w:rsidR="008E77DD" w:rsidRPr="00AA057E">
        <w:rPr>
          <w:color w:val="262626" w:themeColor="text1" w:themeTint="D9"/>
          <w:lang w:val="en-AU"/>
        </w:rPr>
        <w:t xml:space="preserve">activities </w:t>
      </w:r>
      <w:r w:rsidR="00E4454F" w:rsidRPr="00AA057E" w:rsidDel="001F5092">
        <w:rPr>
          <w:color w:val="262626" w:themeColor="text1" w:themeTint="D9"/>
          <w:lang w:val="en-AU"/>
        </w:rPr>
        <w:t>complement the institutional strengthening provided through other investments.</w:t>
      </w:r>
      <w:r w:rsidR="00E4454F" w:rsidRPr="00AA057E">
        <w:rPr>
          <w:color w:val="262626" w:themeColor="text1" w:themeTint="D9"/>
          <w:lang w:val="en-AU"/>
        </w:rPr>
        <w:t xml:space="preserve"> </w:t>
      </w:r>
      <w:r w:rsidR="009907F0" w:rsidRPr="00AA057E">
        <w:rPr>
          <w:color w:val="262626" w:themeColor="text1" w:themeTint="D9"/>
          <w:lang w:val="en-AU"/>
        </w:rPr>
        <w:t xml:space="preserve">We </w:t>
      </w:r>
      <w:r w:rsidRPr="00AA057E">
        <w:rPr>
          <w:color w:val="262626" w:themeColor="text1" w:themeTint="D9"/>
          <w:lang w:val="en-AU"/>
        </w:rPr>
        <w:t xml:space="preserve">are </w:t>
      </w:r>
      <w:r w:rsidR="009907F0" w:rsidRPr="00AA057E">
        <w:rPr>
          <w:color w:val="262626" w:themeColor="text1" w:themeTint="D9"/>
          <w:lang w:val="en-AU"/>
        </w:rPr>
        <w:t xml:space="preserve">also </w:t>
      </w:r>
      <w:r w:rsidRPr="00AA057E">
        <w:rPr>
          <w:color w:val="262626" w:themeColor="text1" w:themeTint="D9"/>
          <w:lang w:val="en-AU"/>
        </w:rPr>
        <w:t>undertaking a</w:t>
      </w:r>
      <w:r w:rsidR="00324CD5" w:rsidRPr="00AA057E">
        <w:rPr>
          <w:color w:val="262626" w:themeColor="text1" w:themeTint="D9"/>
          <w:lang w:val="en-AU"/>
        </w:rPr>
        <w:t xml:space="preserve"> </w:t>
      </w:r>
      <w:r w:rsidR="00AA057E" w:rsidRPr="00AA057E">
        <w:rPr>
          <w:color w:val="262626" w:themeColor="text1" w:themeTint="D9"/>
          <w:lang w:val="en-AU"/>
        </w:rPr>
        <w:t>t</w:t>
      </w:r>
      <w:r w:rsidR="009907F0" w:rsidRPr="00AA057E">
        <w:rPr>
          <w:color w:val="262626" w:themeColor="text1" w:themeTint="D9"/>
          <w:lang w:val="en-AU"/>
        </w:rPr>
        <w:t xml:space="preserve">racer </w:t>
      </w:r>
      <w:r w:rsidR="00AA057E" w:rsidRPr="00AA057E">
        <w:rPr>
          <w:color w:val="262626" w:themeColor="text1" w:themeTint="D9"/>
          <w:lang w:val="en-AU"/>
        </w:rPr>
        <w:t>s</w:t>
      </w:r>
      <w:r w:rsidR="009907F0" w:rsidRPr="00AA057E">
        <w:rPr>
          <w:color w:val="262626" w:themeColor="text1" w:themeTint="D9"/>
          <w:lang w:val="en-AU"/>
        </w:rPr>
        <w:t xml:space="preserve">tudy </w:t>
      </w:r>
      <w:r w:rsidRPr="00AA057E">
        <w:rPr>
          <w:color w:val="262626" w:themeColor="text1" w:themeTint="D9"/>
          <w:lang w:val="en-AU"/>
        </w:rPr>
        <w:t xml:space="preserve">of Precinct trainees that </w:t>
      </w:r>
      <w:r w:rsidR="009907F0" w:rsidRPr="00AA057E">
        <w:rPr>
          <w:color w:val="262626" w:themeColor="text1" w:themeTint="D9"/>
          <w:lang w:val="en-AU"/>
        </w:rPr>
        <w:t xml:space="preserve">will </w:t>
      </w:r>
      <w:r w:rsidRPr="00AA057E">
        <w:rPr>
          <w:color w:val="262626" w:themeColor="text1" w:themeTint="D9"/>
          <w:lang w:val="en-AU"/>
        </w:rPr>
        <w:t>provide</w:t>
      </w:r>
      <w:r w:rsidR="009907F0" w:rsidRPr="00AA057E">
        <w:rPr>
          <w:color w:val="262626" w:themeColor="text1" w:themeTint="D9"/>
          <w:lang w:val="en-AU"/>
        </w:rPr>
        <w:t xml:space="preserve"> useful evidence for the PNG Government on the incentives and barriers for change within the PNG public sector context from across different regions</w:t>
      </w:r>
      <w:r w:rsidRPr="00AA057E">
        <w:rPr>
          <w:color w:val="262626" w:themeColor="text1" w:themeTint="D9"/>
          <w:lang w:val="en-AU"/>
        </w:rPr>
        <w:t xml:space="preserve"> and </w:t>
      </w:r>
      <w:r w:rsidR="00324CD5" w:rsidRPr="00AA057E">
        <w:rPr>
          <w:color w:val="262626" w:themeColor="text1" w:themeTint="D9"/>
          <w:lang w:val="en-AU"/>
        </w:rPr>
        <w:t xml:space="preserve">may </w:t>
      </w:r>
      <w:r w:rsidRPr="00AA057E">
        <w:rPr>
          <w:color w:val="262626" w:themeColor="text1" w:themeTint="D9"/>
          <w:lang w:val="en-AU"/>
        </w:rPr>
        <w:t>inform future investments</w:t>
      </w:r>
      <w:r w:rsidR="00324CD5" w:rsidRPr="00AA057E">
        <w:rPr>
          <w:color w:val="262626" w:themeColor="text1" w:themeTint="D9"/>
          <w:lang w:val="en-AU"/>
        </w:rPr>
        <w:t>.</w:t>
      </w:r>
    </w:p>
    <w:p w:rsidR="002C4C18" w:rsidRPr="00AA057E" w:rsidRDefault="002C4C18" w:rsidP="002C4C18">
      <w:pPr>
        <w:rPr>
          <w:color w:val="262626" w:themeColor="text1" w:themeTint="D9"/>
          <w:lang w:val="en-AU"/>
        </w:rPr>
      </w:pPr>
      <w:r w:rsidRPr="00AA057E">
        <w:rPr>
          <w:color w:val="262626" w:themeColor="text1" w:themeTint="D9"/>
          <w:lang w:val="en-AU"/>
        </w:rPr>
        <w:t xml:space="preserve">Consistent with PNG Government’s advice and increased focus on sustainability, the provision of professional development </w:t>
      </w:r>
      <w:r w:rsidR="004E33F2" w:rsidRPr="00AA057E">
        <w:rPr>
          <w:color w:val="262626" w:themeColor="text1" w:themeTint="D9"/>
          <w:lang w:val="en-AU"/>
        </w:rPr>
        <w:t xml:space="preserve">will </w:t>
      </w:r>
      <w:r w:rsidRPr="00AA057E">
        <w:rPr>
          <w:color w:val="262626" w:themeColor="text1" w:themeTint="D9"/>
          <w:lang w:val="en-AU"/>
        </w:rPr>
        <w:t xml:space="preserve">fall under the auspices of the </w:t>
      </w:r>
      <w:r w:rsidR="004E33F2" w:rsidRPr="00AA057E">
        <w:rPr>
          <w:color w:val="262626" w:themeColor="text1" w:themeTint="D9"/>
          <w:lang w:val="en-AU"/>
        </w:rPr>
        <w:t>PILAG</w:t>
      </w:r>
      <w:r w:rsidRPr="00AA057E">
        <w:rPr>
          <w:color w:val="262626" w:themeColor="text1" w:themeTint="D9"/>
          <w:lang w:val="en-AU"/>
        </w:rPr>
        <w:t xml:space="preserve"> and other selected PNG training institutions.  Where appropriate, we will continue to support partnerships with Australian institutions that focus specifically on capacity development.  </w:t>
      </w:r>
    </w:p>
    <w:p w:rsidR="00F441DC" w:rsidRPr="00AA057E" w:rsidRDefault="007729A7" w:rsidP="00F53D0C">
      <w:pPr>
        <w:rPr>
          <w:color w:val="262626" w:themeColor="text1" w:themeTint="D9"/>
          <w:lang w:val="en-AU"/>
        </w:rPr>
      </w:pPr>
      <w:r w:rsidRPr="00AA057E">
        <w:rPr>
          <w:color w:val="262626" w:themeColor="text1" w:themeTint="D9"/>
          <w:lang w:val="en-AU"/>
        </w:rPr>
        <w:t>The 21 recommendations provide practical and useful suggestions</w:t>
      </w:r>
      <w:r w:rsidR="00D45C4F" w:rsidRPr="00AA057E">
        <w:rPr>
          <w:color w:val="262626" w:themeColor="text1" w:themeTint="D9"/>
          <w:lang w:val="en-AU"/>
        </w:rPr>
        <w:t xml:space="preserve">.  </w:t>
      </w:r>
      <w:r w:rsidR="004E33F2" w:rsidRPr="00AA057E">
        <w:rPr>
          <w:color w:val="262626" w:themeColor="text1" w:themeTint="D9"/>
          <w:lang w:val="en-AU"/>
        </w:rPr>
        <w:t>S</w:t>
      </w:r>
      <w:r w:rsidRPr="00AA057E">
        <w:rPr>
          <w:color w:val="262626" w:themeColor="text1" w:themeTint="D9"/>
          <w:lang w:val="en-AU"/>
        </w:rPr>
        <w:t xml:space="preserve">ome </w:t>
      </w:r>
      <w:r w:rsidR="00840780" w:rsidRPr="00AA057E">
        <w:rPr>
          <w:color w:val="262626" w:themeColor="text1" w:themeTint="D9"/>
          <w:lang w:val="en-AU"/>
        </w:rPr>
        <w:t>recommendations</w:t>
      </w:r>
      <w:r w:rsidR="00CF67BA" w:rsidRPr="00AA057E">
        <w:rPr>
          <w:color w:val="262626" w:themeColor="text1" w:themeTint="D9"/>
          <w:lang w:val="en-AU"/>
        </w:rPr>
        <w:t>, however,</w:t>
      </w:r>
      <w:r w:rsidRPr="00AA057E">
        <w:rPr>
          <w:color w:val="262626" w:themeColor="text1" w:themeTint="D9"/>
          <w:lang w:val="en-AU"/>
        </w:rPr>
        <w:t xml:space="preserve"> </w:t>
      </w:r>
      <w:r w:rsidR="00F94AAE" w:rsidRPr="00AA057E">
        <w:rPr>
          <w:color w:val="262626" w:themeColor="text1" w:themeTint="D9"/>
          <w:lang w:val="en-AU"/>
        </w:rPr>
        <w:t xml:space="preserve">are </w:t>
      </w:r>
      <w:r w:rsidR="00CF67BA" w:rsidRPr="00AA057E">
        <w:rPr>
          <w:color w:val="262626" w:themeColor="text1" w:themeTint="D9"/>
          <w:lang w:val="en-AU"/>
        </w:rPr>
        <w:t xml:space="preserve">outside </w:t>
      </w:r>
      <w:r w:rsidR="004E33F2" w:rsidRPr="00AA057E">
        <w:rPr>
          <w:color w:val="262626" w:themeColor="text1" w:themeTint="D9"/>
          <w:lang w:val="en-AU"/>
        </w:rPr>
        <w:t>DFAT’s mandate</w:t>
      </w:r>
      <w:r w:rsidR="00CF67BA" w:rsidRPr="00AA057E">
        <w:rPr>
          <w:color w:val="262626" w:themeColor="text1" w:themeTint="D9"/>
          <w:lang w:val="en-AU"/>
        </w:rPr>
        <w:t>.</w:t>
      </w:r>
      <w:r w:rsidR="004E33F2" w:rsidRPr="00AA057E">
        <w:rPr>
          <w:color w:val="262626" w:themeColor="text1" w:themeTint="D9"/>
          <w:lang w:val="en-AU"/>
        </w:rPr>
        <w:t xml:space="preserve"> </w:t>
      </w:r>
      <w:r w:rsidR="00F94AAE" w:rsidRPr="00AA057E">
        <w:rPr>
          <w:color w:val="262626" w:themeColor="text1" w:themeTint="D9"/>
          <w:lang w:val="en-AU"/>
        </w:rPr>
        <w:t>The Management Response</w:t>
      </w:r>
      <w:r w:rsidR="00CF67BA" w:rsidRPr="00AA057E">
        <w:rPr>
          <w:color w:val="262626" w:themeColor="text1" w:themeTint="D9"/>
          <w:lang w:val="en-AU"/>
        </w:rPr>
        <w:t xml:space="preserve"> therefore</w:t>
      </w:r>
      <w:r w:rsidR="00F94AAE" w:rsidRPr="00AA057E">
        <w:rPr>
          <w:color w:val="262626" w:themeColor="text1" w:themeTint="D9"/>
          <w:lang w:val="en-AU"/>
        </w:rPr>
        <w:t xml:space="preserve"> focuses on DFAT’s role in supporting </w:t>
      </w:r>
      <w:r w:rsidR="00B66876" w:rsidRPr="00AA057E">
        <w:rPr>
          <w:color w:val="262626" w:themeColor="text1" w:themeTint="D9"/>
          <w:lang w:val="en-AU"/>
        </w:rPr>
        <w:t xml:space="preserve">the </w:t>
      </w:r>
      <w:r w:rsidR="00F94AAE" w:rsidRPr="00AA057E">
        <w:rPr>
          <w:color w:val="262626" w:themeColor="text1" w:themeTint="D9"/>
          <w:lang w:val="en-AU"/>
        </w:rPr>
        <w:t xml:space="preserve">PNG </w:t>
      </w:r>
      <w:r w:rsidR="00B66876" w:rsidRPr="00AA057E">
        <w:rPr>
          <w:color w:val="262626" w:themeColor="text1" w:themeTint="D9"/>
          <w:lang w:val="en-AU"/>
        </w:rPr>
        <w:t xml:space="preserve">Government </w:t>
      </w:r>
      <w:r w:rsidR="00F94AAE" w:rsidRPr="00AA057E">
        <w:rPr>
          <w:color w:val="262626" w:themeColor="text1" w:themeTint="D9"/>
          <w:lang w:val="en-AU"/>
        </w:rPr>
        <w:t>to consider and implement those recommendations</w:t>
      </w:r>
      <w:r w:rsidR="00B66876" w:rsidRPr="00AA057E">
        <w:rPr>
          <w:color w:val="262626" w:themeColor="text1" w:themeTint="D9"/>
          <w:lang w:val="en-AU"/>
        </w:rPr>
        <w:t xml:space="preserve"> (as they determine to be appropriate)</w:t>
      </w:r>
      <w:r w:rsidR="00F94AAE" w:rsidRPr="00AA057E">
        <w:rPr>
          <w:color w:val="262626" w:themeColor="text1" w:themeTint="D9"/>
          <w:lang w:val="en-AU"/>
        </w:rPr>
        <w:t>.</w:t>
      </w:r>
      <w:r w:rsidR="00D45C4F" w:rsidRPr="00AA057E">
        <w:rPr>
          <w:color w:val="262626" w:themeColor="text1" w:themeTint="D9"/>
          <w:lang w:val="en-AU"/>
        </w:rPr>
        <w:t xml:space="preserve">  </w:t>
      </w:r>
      <w:r w:rsidR="00CF67BA" w:rsidRPr="00AA057E">
        <w:rPr>
          <w:color w:val="262626" w:themeColor="text1" w:themeTint="D9"/>
          <w:lang w:val="en-AU"/>
        </w:rPr>
        <w:t xml:space="preserve">While </w:t>
      </w:r>
      <w:r w:rsidR="009003E4" w:rsidRPr="00AA057E">
        <w:rPr>
          <w:color w:val="262626" w:themeColor="text1" w:themeTint="D9"/>
          <w:lang w:val="en-AU"/>
        </w:rPr>
        <w:t>DFAT has prepared th</w:t>
      </w:r>
      <w:r w:rsidR="00CF67BA" w:rsidRPr="00AA057E">
        <w:rPr>
          <w:color w:val="262626" w:themeColor="text1" w:themeTint="D9"/>
          <w:lang w:val="en-AU"/>
        </w:rPr>
        <w:t>e</w:t>
      </w:r>
      <w:r w:rsidR="009003E4" w:rsidRPr="00AA057E">
        <w:rPr>
          <w:color w:val="262626" w:themeColor="text1" w:themeTint="D9"/>
          <w:lang w:val="en-AU"/>
        </w:rPr>
        <w:t xml:space="preserve"> management response in consultation</w:t>
      </w:r>
      <w:r w:rsidR="004E4041" w:rsidRPr="00AA057E">
        <w:rPr>
          <w:color w:val="262626" w:themeColor="text1" w:themeTint="D9"/>
          <w:lang w:val="en-AU"/>
        </w:rPr>
        <w:t xml:space="preserve"> with</w:t>
      </w:r>
      <w:r w:rsidR="009003E4" w:rsidRPr="00AA057E">
        <w:rPr>
          <w:color w:val="262626" w:themeColor="text1" w:themeTint="D9"/>
          <w:lang w:val="en-AU"/>
        </w:rPr>
        <w:t xml:space="preserve"> PNG Government stakeholder</w:t>
      </w:r>
      <w:r w:rsidR="00E303C6" w:rsidRPr="00AA057E">
        <w:rPr>
          <w:color w:val="262626" w:themeColor="text1" w:themeTint="D9"/>
          <w:lang w:val="en-AU"/>
        </w:rPr>
        <w:t>s (</w:t>
      </w:r>
      <w:r w:rsidR="009003E4" w:rsidRPr="00AA057E">
        <w:rPr>
          <w:color w:val="262626" w:themeColor="text1" w:themeTint="D9"/>
          <w:lang w:val="en-AU"/>
        </w:rPr>
        <w:t>DPM and DHE</w:t>
      </w:r>
      <w:r w:rsidR="00E303C6" w:rsidRPr="00AA057E">
        <w:rPr>
          <w:color w:val="262626" w:themeColor="text1" w:themeTint="D9"/>
          <w:lang w:val="en-AU"/>
        </w:rPr>
        <w:t>RST) and the</w:t>
      </w:r>
      <w:r w:rsidR="00D45C4F" w:rsidRPr="00AA057E">
        <w:rPr>
          <w:color w:val="262626" w:themeColor="text1" w:themeTint="D9"/>
          <w:lang w:val="en-AU"/>
        </w:rPr>
        <w:t xml:space="preserve"> </w:t>
      </w:r>
      <w:r w:rsidR="009003E4" w:rsidRPr="00AA057E">
        <w:rPr>
          <w:color w:val="262626" w:themeColor="text1" w:themeTint="D9"/>
          <w:lang w:val="en-AU"/>
        </w:rPr>
        <w:t>Executive Advisory Board</w:t>
      </w:r>
      <w:r w:rsidR="00D30C79" w:rsidRPr="00AA057E">
        <w:rPr>
          <w:color w:val="262626" w:themeColor="text1" w:themeTint="D9"/>
          <w:lang w:val="en-AU"/>
        </w:rPr>
        <w:t xml:space="preserve">, the </w:t>
      </w:r>
      <w:r w:rsidR="009003E4" w:rsidRPr="00AA057E">
        <w:rPr>
          <w:color w:val="262626" w:themeColor="text1" w:themeTint="D9"/>
          <w:lang w:val="en-AU"/>
        </w:rPr>
        <w:t xml:space="preserve">views </w:t>
      </w:r>
      <w:r w:rsidR="00D30C79" w:rsidRPr="00AA057E">
        <w:rPr>
          <w:color w:val="262626" w:themeColor="text1" w:themeTint="D9"/>
          <w:lang w:val="en-AU"/>
        </w:rPr>
        <w:t xml:space="preserve">expressed </w:t>
      </w:r>
      <w:r w:rsidR="004147BD" w:rsidRPr="00AA057E">
        <w:rPr>
          <w:color w:val="262626" w:themeColor="text1" w:themeTint="D9"/>
          <w:lang w:val="en-AU"/>
        </w:rPr>
        <w:t xml:space="preserve">in </w:t>
      </w:r>
      <w:r w:rsidR="00D52D1B">
        <w:rPr>
          <w:color w:val="262626" w:themeColor="text1" w:themeTint="D9"/>
          <w:lang w:val="en-AU"/>
        </w:rPr>
        <w:t xml:space="preserve">the response </w:t>
      </w:r>
      <w:r w:rsidR="009003E4" w:rsidRPr="00AA057E">
        <w:rPr>
          <w:color w:val="262626" w:themeColor="text1" w:themeTint="D9"/>
          <w:lang w:val="en-AU"/>
        </w:rPr>
        <w:t>remain those of DFAT</w:t>
      </w:r>
      <w:r w:rsidR="00D45C4F" w:rsidRPr="00AA057E">
        <w:rPr>
          <w:color w:val="262626" w:themeColor="text1" w:themeTint="D9"/>
          <w:lang w:val="en-AU"/>
        </w:rPr>
        <w:t>.</w:t>
      </w:r>
    </w:p>
    <w:p w:rsidR="00FB6532" w:rsidRPr="00AA057E" w:rsidRDefault="009003E4" w:rsidP="00F53D0C">
      <w:pPr>
        <w:rPr>
          <w:color w:val="262626" w:themeColor="text1" w:themeTint="D9"/>
        </w:rPr>
      </w:pPr>
      <w:r w:rsidRPr="00AA057E">
        <w:rPr>
          <w:color w:val="262626" w:themeColor="text1" w:themeTint="D9"/>
          <w:lang w:val="en-AU"/>
        </w:rPr>
        <w:t xml:space="preserve">Overall, </w:t>
      </w:r>
      <w:r w:rsidR="00D94034" w:rsidRPr="00AA057E">
        <w:rPr>
          <w:color w:val="262626" w:themeColor="text1" w:themeTint="D9"/>
          <w:lang w:val="en-AU"/>
        </w:rPr>
        <w:t xml:space="preserve">we </w:t>
      </w:r>
      <w:r w:rsidRPr="00AA057E">
        <w:rPr>
          <w:color w:val="262626" w:themeColor="text1" w:themeTint="D9"/>
          <w:lang w:val="en-AU"/>
        </w:rPr>
        <w:t>agree with 1</w:t>
      </w:r>
      <w:r w:rsidR="00284024">
        <w:rPr>
          <w:color w:val="262626" w:themeColor="text1" w:themeTint="D9"/>
          <w:lang w:val="en-AU"/>
        </w:rPr>
        <w:t>8</w:t>
      </w:r>
      <w:r w:rsidRPr="00AA057E">
        <w:rPr>
          <w:color w:val="262626" w:themeColor="text1" w:themeTint="D9"/>
          <w:lang w:val="en-AU"/>
        </w:rPr>
        <w:t xml:space="preserve"> recommendations, </w:t>
      </w:r>
      <w:r w:rsidR="00D94034" w:rsidRPr="00AA057E">
        <w:rPr>
          <w:color w:val="262626" w:themeColor="text1" w:themeTint="D9"/>
          <w:lang w:val="en-AU"/>
        </w:rPr>
        <w:t>partial</w:t>
      </w:r>
      <w:r w:rsidR="00CF67BA" w:rsidRPr="00AA057E">
        <w:rPr>
          <w:color w:val="262626" w:themeColor="text1" w:themeTint="D9"/>
          <w:lang w:val="en-AU"/>
        </w:rPr>
        <w:t>ly</w:t>
      </w:r>
      <w:r w:rsidR="00D94034" w:rsidRPr="00AA057E">
        <w:rPr>
          <w:color w:val="262626" w:themeColor="text1" w:themeTint="D9"/>
          <w:lang w:val="en-AU"/>
        </w:rPr>
        <w:t xml:space="preserve"> agree with</w:t>
      </w:r>
      <w:r w:rsidR="00F94AAE" w:rsidRPr="00AA057E">
        <w:rPr>
          <w:color w:val="262626" w:themeColor="text1" w:themeTint="D9"/>
          <w:lang w:val="en-AU"/>
        </w:rPr>
        <w:t xml:space="preserve"> </w:t>
      </w:r>
      <w:r w:rsidR="00284024">
        <w:rPr>
          <w:color w:val="262626" w:themeColor="text1" w:themeTint="D9"/>
          <w:lang w:val="en-AU"/>
        </w:rPr>
        <w:t>two</w:t>
      </w:r>
      <w:r w:rsidR="00F52898" w:rsidRPr="00AA057E">
        <w:rPr>
          <w:color w:val="262626" w:themeColor="text1" w:themeTint="D9"/>
          <w:lang w:val="en-AU"/>
        </w:rPr>
        <w:t xml:space="preserve"> recommendations </w:t>
      </w:r>
      <w:r w:rsidR="00D94034" w:rsidRPr="00AA057E">
        <w:rPr>
          <w:color w:val="262626" w:themeColor="text1" w:themeTint="D9"/>
          <w:lang w:val="en-AU"/>
        </w:rPr>
        <w:t>(18, 22</w:t>
      </w:r>
      <w:r w:rsidRPr="00AA057E">
        <w:rPr>
          <w:color w:val="262626" w:themeColor="text1" w:themeTint="D9"/>
          <w:lang w:val="en-AU"/>
        </w:rPr>
        <w:t>)</w:t>
      </w:r>
      <w:r w:rsidR="00F52898" w:rsidRPr="00AA057E">
        <w:rPr>
          <w:color w:val="262626" w:themeColor="text1" w:themeTint="D9"/>
          <w:lang w:val="en-AU"/>
        </w:rPr>
        <w:t xml:space="preserve"> and disagree with one (10)</w:t>
      </w:r>
      <w:r w:rsidR="00D45C4F" w:rsidRPr="00AA057E">
        <w:rPr>
          <w:color w:val="262626" w:themeColor="text1" w:themeTint="D9"/>
          <w:lang w:val="en-AU"/>
        </w:rPr>
        <w:t xml:space="preserve">.  </w:t>
      </w:r>
      <w:r w:rsidR="00413589" w:rsidRPr="00AA057E">
        <w:rPr>
          <w:color w:val="262626" w:themeColor="text1" w:themeTint="D9"/>
          <w:lang w:val="en-AU"/>
        </w:rPr>
        <w:t xml:space="preserve">These recommendations, </w:t>
      </w:r>
      <w:r w:rsidR="000136C6">
        <w:rPr>
          <w:color w:val="262626" w:themeColor="text1" w:themeTint="D9"/>
          <w:lang w:val="en-AU"/>
        </w:rPr>
        <w:t>and this management response</w:t>
      </w:r>
      <w:r w:rsidR="00413589" w:rsidRPr="00AA057E">
        <w:rPr>
          <w:color w:val="262626" w:themeColor="text1" w:themeTint="D9"/>
          <w:lang w:val="en-AU"/>
        </w:rPr>
        <w:t xml:space="preserve">, </w:t>
      </w:r>
      <w:r w:rsidR="007F1508" w:rsidRPr="00AA057E">
        <w:rPr>
          <w:color w:val="262626" w:themeColor="text1" w:themeTint="D9"/>
          <w:lang w:val="en-AU"/>
        </w:rPr>
        <w:t xml:space="preserve">have </w:t>
      </w:r>
      <w:r w:rsidR="00413589" w:rsidRPr="00AA057E">
        <w:rPr>
          <w:color w:val="262626" w:themeColor="text1" w:themeTint="D9"/>
          <w:lang w:val="en-AU"/>
        </w:rPr>
        <w:t>inform</w:t>
      </w:r>
      <w:r w:rsidR="007F1508" w:rsidRPr="00AA057E">
        <w:rPr>
          <w:color w:val="262626" w:themeColor="text1" w:themeTint="D9"/>
          <w:lang w:val="en-AU"/>
        </w:rPr>
        <w:t>ed</w:t>
      </w:r>
      <w:r w:rsidR="00413589" w:rsidRPr="00AA057E">
        <w:rPr>
          <w:color w:val="262626" w:themeColor="text1" w:themeTint="D9"/>
          <w:lang w:val="en-AU"/>
        </w:rPr>
        <w:t xml:space="preserve"> the </w:t>
      </w:r>
      <w:r w:rsidR="00B66876" w:rsidRPr="00AA057E">
        <w:rPr>
          <w:color w:val="262626" w:themeColor="text1" w:themeTint="D9"/>
          <w:lang w:val="en-AU"/>
        </w:rPr>
        <w:t xml:space="preserve">ongoing </w:t>
      </w:r>
      <w:r w:rsidR="00F441DC" w:rsidRPr="00AA057E">
        <w:rPr>
          <w:color w:val="262626" w:themeColor="text1" w:themeTint="D9"/>
          <w:lang w:val="en-AU"/>
        </w:rPr>
        <w:t xml:space="preserve">readjustment </w:t>
      </w:r>
      <w:r w:rsidR="00413589" w:rsidRPr="00AA057E">
        <w:rPr>
          <w:color w:val="262626" w:themeColor="text1" w:themeTint="D9"/>
          <w:lang w:val="en-AU"/>
        </w:rPr>
        <w:t>of the Precinct investment.</w:t>
      </w:r>
    </w:p>
    <w:p w:rsidR="00413589" w:rsidRPr="00AA057E" w:rsidRDefault="00413589" w:rsidP="00CF4953">
      <w:pPr>
        <w:rPr>
          <w:color w:val="262626" w:themeColor="text1" w:themeTint="D9"/>
          <w:lang w:val="en-AU"/>
        </w:rPr>
      </w:pPr>
    </w:p>
    <w:p w:rsidR="001A2D19" w:rsidRPr="00AA057E" w:rsidRDefault="001A2D19">
      <w:pPr>
        <w:suppressAutoHyphens w:val="0"/>
        <w:spacing w:before="0" w:after="120" w:line="440" w:lineRule="atLeast"/>
        <w:rPr>
          <w:rFonts w:asciiTheme="majorHAnsi" w:hAnsiTheme="majorHAnsi"/>
          <w:color w:val="262626" w:themeColor="text1" w:themeTint="D9"/>
          <w:lang w:val="en-AU"/>
        </w:rPr>
      </w:pPr>
    </w:p>
    <w:p w:rsidR="001A2D19" w:rsidRPr="00AA057E" w:rsidRDefault="001A2D19">
      <w:pPr>
        <w:suppressAutoHyphens w:val="0"/>
        <w:spacing w:before="0" w:after="120" w:line="440" w:lineRule="atLeast"/>
        <w:sectPr w:rsidR="001A2D19" w:rsidRPr="00AA057E" w:rsidSect="0090650A">
          <w:headerReference w:type="even" r:id="rId8"/>
          <w:headerReference w:type="default" r:id="rId9"/>
          <w:footerReference w:type="even" r:id="rId10"/>
          <w:footerReference w:type="default" r:id="rId11"/>
          <w:headerReference w:type="first" r:id="rId12"/>
          <w:footerReference w:type="first" r:id="rId13"/>
          <w:pgSz w:w="11906" w:h="16838" w:code="9"/>
          <w:pgMar w:top="1560" w:right="1134" w:bottom="1701" w:left="1134" w:header="567" w:footer="567" w:gutter="0"/>
          <w:cols w:space="708"/>
          <w:titlePg/>
          <w:docGrid w:linePitch="360"/>
        </w:sectPr>
      </w:pPr>
    </w:p>
    <w:p w:rsidR="00CF4953" w:rsidRPr="00AA057E" w:rsidRDefault="0031432C" w:rsidP="00903F43">
      <w:pPr>
        <w:pStyle w:val="Heading3"/>
        <w:spacing w:before="0"/>
      </w:pPr>
      <w:r w:rsidRPr="00AA057E">
        <w:lastRenderedPageBreak/>
        <w:t>Individual m</w:t>
      </w:r>
      <w:r w:rsidR="00C10415" w:rsidRPr="00AA057E">
        <w:t xml:space="preserve">anagement response to the recommendations </w:t>
      </w:r>
    </w:p>
    <w:tbl>
      <w:tblPr>
        <w:tblStyle w:val="DFATTable1"/>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5529"/>
        <w:gridCol w:w="992"/>
        <w:gridCol w:w="3827"/>
        <w:gridCol w:w="3544"/>
        <w:gridCol w:w="1275"/>
      </w:tblGrid>
      <w:tr w:rsidR="00F901FA" w:rsidRPr="00AA057E" w:rsidTr="00870A6D">
        <w:trPr>
          <w:cnfStyle w:val="100000000000" w:firstRow="1" w:lastRow="0" w:firstColumn="0" w:lastColumn="0" w:oddVBand="0" w:evenVBand="0" w:oddHBand="0" w:evenHBand="0" w:firstRowFirstColumn="0" w:firstRowLastColumn="0" w:lastRowFirstColumn="0" w:lastRowLastColumn="0"/>
          <w:trHeight w:val="170"/>
        </w:trPr>
        <w:tc>
          <w:tcPr>
            <w:tcW w:w="5529" w:type="dxa"/>
            <w:hideMark/>
          </w:tcPr>
          <w:p w:rsidR="00AE4E36" w:rsidRPr="00AA057E" w:rsidRDefault="00AE4E36" w:rsidP="00A72A6E">
            <w:pPr>
              <w:pStyle w:val="TableHeaderRow"/>
              <w:spacing w:before="0" w:after="0" w:line="240" w:lineRule="auto"/>
              <w:rPr>
                <w:sz w:val="21"/>
              </w:rPr>
            </w:pPr>
            <w:r w:rsidRPr="00AA057E">
              <w:rPr>
                <w:sz w:val="21"/>
              </w:rPr>
              <w:t>Recommendation</w:t>
            </w:r>
          </w:p>
        </w:tc>
        <w:tc>
          <w:tcPr>
            <w:tcW w:w="992" w:type="dxa"/>
            <w:hideMark/>
          </w:tcPr>
          <w:p w:rsidR="00AE4E36" w:rsidRPr="00AA057E" w:rsidRDefault="00AE4E36" w:rsidP="00A72A6E">
            <w:pPr>
              <w:pStyle w:val="TableHeaderRow"/>
              <w:spacing w:before="0" w:after="0" w:line="240" w:lineRule="auto"/>
              <w:rPr>
                <w:sz w:val="21"/>
              </w:rPr>
            </w:pPr>
            <w:r w:rsidRPr="00AA057E">
              <w:rPr>
                <w:sz w:val="21"/>
              </w:rPr>
              <w:t xml:space="preserve">Response </w:t>
            </w:r>
          </w:p>
        </w:tc>
        <w:tc>
          <w:tcPr>
            <w:tcW w:w="3827" w:type="dxa"/>
            <w:hideMark/>
          </w:tcPr>
          <w:p w:rsidR="00AE4E36" w:rsidRPr="00AA057E" w:rsidRDefault="00AE4E36" w:rsidP="00903F43">
            <w:pPr>
              <w:pStyle w:val="TableHeaderRow"/>
              <w:spacing w:before="0" w:after="0" w:line="240" w:lineRule="auto"/>
              <w:ind w:right="114"/>
              <w:rPr>
                <w:sz w:val="21"/>
              </w:rPr>
            </w:pPr>
            <w:r w:rsidRPr="00AA057E">
              <w:rPr>
                <w:sz w:val="21"/>
              </w:rPr>
              <w:t xml:space="preserve">Explanation </w:t>
            </w:r>
          </w:p>
        </w:tc>
        <w:tc>
          <w:tcPr>
            <w:tcW w:w="3544" w:type="dxa"/>
            <w:hideMark/>
          </w:tcPr>
          <w:p w:rsidR="00AE4E36" w:rsidRPr="00AA057E" w:rsidRDefault="00AE4E36" w:rsidP="00A72A6E">
            <w:pPr>
              <w:pStyle w:val="TableHeaderRow"/>
              <w:spacing w:before="0" w:after="0" w:line="240" w:lineRule="auto"/>
              <w:rPr>
                <w:sz w:val="21"/>
              </w:rPr>
            </w:pPr>
            <w:r w:rsidRPr="00AA057E">
              <w:rPr>
                <w:sz w:val="21"/>
              </w:rPr>
              <w:t xml:space="preserve">Action plan </w:t>
            </w:r>
          </w:p>
        </w:tc>
        <w:tc>
          <w:tcPr>
            <w:tcW w:w="1275" w:type="dxa"/>
            <w:hideMark/>
          </w:tcPr>
          <w:p w:rsidR="00AE4E36" w:rsidRPr="00AA057E" w:rsidRDefault="00AE4E36" w:rsidP="00A72A6E">
            <w:pPr>
              <w:pStyle w:val="TableHeaderRow"/>
              <w:spacing w:before="0" w:after="0" w:line="240" w:lineRule="auto"/>
              <w:rPr>
                <w:sz w:val="21"/>
              </w:rPr>
            </w:pPr>
            <w:r w:rsidRPr="00AA057E">
              <w:rPr>
                <w:sz w:val="21"/>
              </w:rPr>
              <w:t>Timeframe</w:t>
            </w:r>
          </w:p>
        </w:tc>
      </w:tr>
      <w:tr w:rsidR="00F901FA"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90650A" w:rsidRPr="00AA057E" w:rsidRDefault="007221FF"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w:t>
            </w:r>
            <w:r w:rsidR="0090650A" w:rsidRPr="00AA057E">
              <w:rPr>
                <w:color w:val="262626" w:themeColor="text1" w:themeTint="D9"/>
                <w:sz w:val="21"/>
                <w:szCs w:val="21"/>
                <w:lang w:val="en-AU"/>
              </w:rPr>
              <w:t>1</w:t>
            </w:r>
            <w:r w:rsidRPr="00AA057E">
              <w:rPr>
                <w:color w:val="262626" w:themeColor="text1" w:themeTint="D9"/>
                <w:sz w:val="21"/>
                <w:szCs w:val="21"/>
                <w:lang w:val="en-AU"/>
              </w:rPr>
              <w:t xml:space="preserve"> – </w:t>
            </w:r>
            <w:r w:rsidR="0090650A" w:rsidRPr="00AA057E">
              <w:rPr>
                <w:color w:val="262626" w:themeColor="text1" w:themeTint="D9"/>
                <w:sz w:val="21"/>
                <w:szCs w:val="21"/>
              </w:rPr>
              <w:t xml:space="preserve">School of Business &amp; Public Policy </w:t>
            </w:r>
          </w:p>
          <w:p w:rsidR="0090650A" w:rsidRPr="00AA057E" w:rsidRDefault="0090650A" w:rsidP="00903F43">
            <w:pPr>
              <w:pStyle w:val="BodyText"/>
              <w:spacing w:before="40" w:after="0" w:line="240" w:lineRule="auto"/>
              <w:ind w:left="82" w:right="118"/>
              <w:rPr>
                <w:color w:val="262626" w:themeColor="text1" w:themeTint="D9"/>
                <w:sz w:val="21"/>
                <w:szCs w:val="21"/>
              </w:rPr>
            </w:pPr>
            <w:r w:rsidRPr="00AA057E">
              <w:rPr>
                <w:rFonts w:asciiTheme="minorHAnsi" w:hAnsiTheme="minorHAnsi"/>
                <w:color w:val="262626" w:themeColor="text1" w:themeTint="D9"/>
                <w:sz w:val="21"/>
                <w:szCs w:val="21"/>
              </w:rPr>
              <w:t>U</w:t>
            </w:r>
            <w:r w:rsidR="007E4A59" w:rsidRPr="00AA057E">
              <w:rPr>
                <w:rFonts w:ascii="Calibri Light" w:hAnsi="Calibri Light" w:cs="Calibri Light"/>
                <w:color w:val="262626" w:themeColor="text1" w:themeTint="D9"/>
                <w:sz w:val="21"/>
                <w:szCs w:val="21"/>
              </w:rPr>
              <w:t>pdate the SBPP Precinct strategy to move from SBPP capacity substitution towards greater capacity development by building academic staff capacity</w:t>
            </w:r>
            <w:r w:rsidR="004533B5">
              <w:rPr>
                <w:rFonts w:ascii="Calibri Light" w:hAnsi="Calibri Light" w:cs="Calibri Light"/>
                <w:color w:val="262626" w:themeColor="text1" w:themeTint="D9"/>
                <w:sz w:val="21"/>
                <w:szCs w:val="21"/>
              </w:rPr>
              <w:t>.</w:t>
            </w:r>
            <w:r w:rsidR="00A705CA" w:rsidRPr="00AA057E">
              <w:rPr>
                <w:rFonts w:ascii="Calibri Light" w:hAnsi="Calibri Light" w:cs="Calibri Light"/>
                <w:color w:val="262626" w:themeColor="text1" w:themeTint="D9"/>
                <w:sz w:val="21"/>
                <w:szCs w:val="21"/>
              </w:rPr>
              <w:t xml:space="preserve"> </w:t>
            </w:r>
            <w:r w:rsidR="007E4A59" w:rsidRPr="00AA057E">
              <w:rPr>
                <w:rFonts w:ascii="Calibri Light" w:hAnsi="Calibri Light" w:cs="Calibri Light"/>
                <w:color w:val="262626" w:themeColor="text1" w:themeTint="D9"/>
                <w:sz w:val="21"/>
                <w:szCs w:val="21"/>
              </w:rPr>
              <w:t>(</w:t>
            </w:r>
            <w:r w:rsidR="007221FF" w:rsidRPr="00AA057E">
              <w:rPr>
                <w:rFonts w:ascii="Calibri Light" w:hAnsi="Calibri Light" w:cs="Calibri Light"/>
                <w:color w:val="262626" w:themeColor="text1" w:themeTint="D9"/>
                <w:sz w:val="21"/>
                <w:szCs w:val="21"/>
              </w:rPr>
              <w:t xml:space="preserve">For consideration by </w:t>
            </w:r>
            <w:r w:rsidR="007E4A59" w:rsidRPr="00AA057E">
              <w:rPr>
                <w:rFonts w:ascii="Calibri Light" w:hAnsi="Calibri Light" w:cs="Calibri Light"/>
                <w:color w:val="262626" w:themeColor="text1" w:themeTint="D9"/>
                <w:sz w:val="21"/>
                <w:szCs w:val="21"/>
              </w:rPr>
              <w:t>DHERST, UPNG, and SBPP</w:t>
            </w:r>
            <w:r w:rsidR="00013091">
              <w:rPr>
                <w:rFonts w:ascii="Calibri Light" w:hAnsi="Calibri Light" w:cs="Calibri Light"/>
                <w:color w:val="262626" w:themeColor="text1" w:themeTint="D9"/>
                <w:sz w:val="21"/>
                <w:szCs w:val="21"/>
              </w:rPr>
              <w:t>.</w:t>
            </w:r>
            <w:r w:rsidR="007E4A59" w:rsidRPr="00AA057E">
              <w:rPr>
                <w:rFonts w:ascii="Calibri Light" w:hAnsi="Calibri Light" w:cs="Calibri Light"/>
                <w:color w:val="262626" w:themeColor="text1" w:themeTint="D9"/>
                <w:sz w:val="21"/>
                <w:szCs w:val="21"/>
              </w:rPr>
              <w:t>)</w:t>
            </w:r>
          </w:p>
        </w:tc>
        <w:tc>
          <w:tcPr>
            <w:tcW w:w="992" w:type="dxa"/>
            <w:shd w:val="clear" w:color="auto" w:fill="ACD08C" w:themeFill="accent3"/>
          </w:tcPr>
          <w:p w:rsidR="0090650A" w:rsidRPr="00AA057E" w:rsidRDefault="0090650A" w:rsidP="00B941A8">
            <w:pPr>
              <w:pStyle w:val="BodyText"/>
              <w:spacing w:before="0" w:after="0" w:line="240" w:lineRule="auto"/>
              <w:rPr>
                <w:b/>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D424DE" w:rsidRPr="00AA057E" w:rsidRDefault="00CF67BA" w:rsidP="00903F43">
            <w:pPr>
              <w:pStyle w:val="BodyText"/>
              <w:spacing w:before="0" w:after="0" w:line="240" w:lineRule="auto"/>
              <w:ind w:left="79" w:right="114"/>
              <w:rPr>
                <w:rFonts w:asciiTheme="minorHAnsi" w:hAnsiTheme="minorHAnsi"/>
                <w:color w:val="262626" w:themeColor="text1" w:themeTint="D9"/>
                <w:sz w:val="21"/>
              </w:rPr>
            </w:pPr>
            <w:r w:rsidRPr="00AA057E">
              <w:rPr>
                <w:rFonts w:asciiTheme="minorHAnsi" w:hAnsiTheme="minorHAnsi"/>
                <w:color w:val="262626" w:themeColor="text1" w:themeTint="D9"/>
                <w:sz w:val="21"/>
              </w:rPr>
              <w:t xml:space="preserve">Due to </w:t>
            </w:r>
            <w:r w:rsidR="00D140D1" w:rsidRPr="00AA057E">
              <w:rPr>
                <w:rFonts w:asciiTheme="minorHAnsi" w:hAnsiTheme="minorHAnsi" w:cstheme="minorHAnsi"/>
                <w:color w:val="262626" w:themeColor="text1" w:themeTint="D9"/>
                <w:sz w:val="21"/>
                <w:szCs w:val="21"/>
              </w:rPr>
              <w:t xml:space="preserve">the </w:t>
            </w:r>
            <w:r w:rsidR="00D140D1" w:rsidRPr="00AA057E">
              <w:rPr>
                <w:rFonts w:asciiTheme="minorHAnsi" w:hAnsiTheme="minorHAnsi"/>
                <w:color w:val="262626" w:themeColor="text1" w:themeTint="D9"/>
                <w:sz w:val="21"/>
              </w:rPr>
              <w:t xml:space="preserve">limited </w:t>
            </w:r>
            <w:r w:rsidR="00D140D1" w:rsidRPr="00AA057E">
              <w:rPr>
                <w:rFonts w:asciiTheme="minorHAnsi" w:hAnsiTheme="minorHAnsi" w:cstheme="minorHAnsi"/>
                <w:color w:val="262626" w:themeColor="text1" w:themeTint="D9"/>
                <w:sz w:val="21"/>
                <w:szCs w:val="21"/>
              </w:rPr>
              <w:t>number of Economics and Public Policy academics</w:t>
            </w:r>
            <w:r w:rsidR="00D140D1" w:rsidRPr="00AA057E">
              <w:rPr>
                <w:rFonts w:asciiTheme="minorHAnsi" w:hAnsiTheme="minorHAnsi"/>
                <w:color w:val="262626" w:themeColor="text1" w:themeTint="D9"/>
                <w:sz w:val="21"/>
              </w:rPr>
              <w:t xml:space="preserve"> </w:t>
            </w:r>
            <w:r w:rsidRPr="00AA057E">
              <w:rPr>
                <w:rFonts w:asciiTheme="minorHAnsi" w:hAnsiTheme="minorHAnsi"/>
                <w:color w:val="262626" w:themeColor="text1" w:themeTint="D9"/>
                <w:sz w:val="21"/>
              </w:rPr>
              <w:t>within SBPP at the start of the investment, ANU focused on bu</w:t>
            </w:r>
            <w:r w:rsidR="00D424DE" w:rsidRPr="00AA057E">
              <w:rPr>
                <w:rFonts w:asciiTheme="minorHAnsi" w:hAnsiTheme="minorHAnsi"/>
                <w:color w:val="262626" w:themeColor="text1" w:themeTint="D9"/>
                <w:sz w:val="21"/>
              </w:rPr>
              <w:t xml:space="preserve">ilding the capacity of students. </w:t>
            </w:r>
            <w:r w:rsidR="003E2E08" w:rsidRPr="00AA057E">
              <w:rPr>
                <w:rFonts w:asciiTheme="minorHAnsi" w:hAnsiTheme="minorHAnsi"/>
                <w:color w:val="262626" w:themeColor="text1" w:themeTint="D9"/>
                <w:sz w:val="21"/>
              </w:rPr>
              <w:t>DFAT recognises</w:t>
            </w:r>
            <w:r w:rsidR="00D424DE" w:rsidRPr="00AA057E">
              <w:rPr>
                <w:rFonts w:asciiTheme="minorHAnsi" w:hAnsiTheme="minorHAnsi"/>
                <w:color w:val="262626" w:themeColor="text1" w:themeTint="D9"/>
                <w:sz w:val="21"/>
              </w:rPr>
              <w:t xml:space="preserve"> this work has helped develop a pipeline of future UPNG academics. </w:t>
            </w:r>
          </w:p>
          <w:p w:rsidR="00D424DE" w:rsidRPr="00AA057E" w:rsidRDefault="00D424DE" w:rsidP="00903F43">
            <w:pPr>
              <w:pStyle w:val="BodyText"/>
              <w:spacing w:before="0" w:after="0" w:line="240" w:lineRule="auto"/>
              <w:ind w:left="79" w:right="114"/>
              <w:rPr>
                <w:rFonts w:asciiTheme="minorHAnsi" w:hAnsiTheme="minorHAnsi"/>
                <w:color w:val="262626" w:themeColor="text1" w:themeTint="D9"/>
                <w:sz w:val="21"/>
              </w:rPr>
            </w:pPr>
          </w:p>
          <w:p w:rsidR="007E4A59" w:rsidRPr="00AA057E" w:rsidRDefault="003E2E08" w:rsidP="00903F43">
            <w:pPr>
              <w:pStyle w:val="BodyText"/>
              <w:spacing w:before="0" w:after="0" w:line="240" w:lineRule="auto"/>
              <w:ind w:left="79" w:right="114"/>
              <w:rPr>
                <w:rFonts w:asciiTheme="minorHAnsi" w:hAnsiTheme="minorHAnsi"/>
                <w:color w:val="262626" w:themeColor="text1" w:themeTint="D9"/>
                <w:sz w:val="21"/>
              </w:rPr>
            </w:pPr>
            <w:r>
              <w:rPr>
                <w:rFonts w:asciiTheme="minorHAnsi" w:hAnsiTheme="minorHAnsi"/>
                <w:color w:val="262626" w:themeColor="text1" w:themeTint="D9"/>
                <w:sz w:val="21"/>
              </w:rPr>
              <w:t>We</w:t>
            </w:r>
            <w:r w:rsidR="00B0773D">
              <w:rPr>
                <w:rFonts w:asciiTheme="minorHAnsi" w:hAnsiTheme="minorHAnsi"/>
                <w:color w:val="262626" w:themeColor="text1" w:themeTint="D9"/>
                <w:sz w:val="21"/>
              </w:rPr>
              <w:t xml:space="preserve"> </w:t>
            </w:r>
            <w:r w:rsidR="00D424DE" w:rsidRPr="00AA057E">
              <w:rPr>
                <w:rFonts w:asciiTheme="minorHAnsi" w:hAnsiTheme="minorHAnsi"/>
                <w:color w:val="262626" w:themeColor="text1" w:themeTint="D9"/>
                <w:sz w:val="21"/>
              </w:rPr>
              <w:t xml:space="preserve">also </w:t>
            </w:r>
            <w:r w:rsidR="00CF67BA" w:rsidRPr="00AA057E">
              <w:rPr>
                <w:rFonts w:asciiTheme="minorHAnsi" w:hAnsiTheme="minorHAnsi"/>
                <w:color w:val="262626" w:themeColor="text1" w:themeTint="D9"/>
                <w:sz w:val="21"/>
              </w:rPr>
              <w:t>acknowledge</w:t>
            </w:r>
            <w:r>
              <w:rPr>
                <w:rFonts w:asciiTheme="minorHAnsi" w:hAnsiTheme="minorHAnsi"/>
                <w:color w:val="262626" w:themeColor="text1" w:themeTint="D9"/>
                <w:sz w:val="21"/>
              </w:rPr>
              <w:t>, however, that</w:t>
            </w:r>
            <w:r w:rsidR="00D424DE" w:rsidRPr="00AA057E">
              <w:rPr>
                <w:rFonts w:asciiTheme="minorHAnsi" w:hAnsiTheme="minorHAnsi"/>
                <w:color w:val="262626" w:themeColor="text1" w:themeTint="D9"/>
                <w:sz w:val="21"/>
              </w:rPr>
              <w:t xml:space="preserve"> </w:t>
            </w:r>
            <w:r w:rsidR="00B941A8" w:rsidRPr="00AA057E">
              <w:rPr>
                <w:rFonts w:asciiTheme="minorHAnsi" w:hAnsiTheme="minorHAnsi"/>
                <w:color w:val="262626" w:themeColor="text1" w:themeTint="D9"/>
                <w:sz w:val="21"/>
              </w:rPr>
              <w:t>t</w:t>
            </w:r>
            <w:r w:rsidR="00C50A05" w:rsidRPr="00AA057E">
              <w:rPr>
                <w:rFonts w:asciiTheme="minorHAnsi" w:hAnsiTheme="minorHAnsi"/>
                <w:color w:val="262626" w:themeColor="text1" w:themeTint="D9"/>
                <w:sz w:val="21"/>
              </w:rPr>
              <w:t xml:space="preserve">he context has changed since the </w:t>
            </w:r>
            <w:r w:rsidR="00E40E71" w:rsidRPr="00AA057E">
              <w:rPr>
                <w:rFonts w:asciiTheme="minorHAnsi" w:hAnsiTheme="minorHAnsi"/>
                <w:color w:val="262626" w:themeColor="text1" w:themeTint="D9"/>
                <w:sz w:val="21"/>
              </w:rPr>
              <w:t>program was established</w:t>
            </w:r>
            <w:r w:rsidR="00B941A8" w:rsidRPr="00AA057E">
              <w:rPr>
                <w:rFonts w:asciiTheme="minorHAnsi" w:hAnsiTheme="minorHAnsi"/>
                <w:color w:val="262626" w:themeColor="text1" w:themeTint="D9"/>
                <w:sz w:val="21"/>
              </w:rPr>
              <w:t xml:space="preserve"> and </w:t>
            </w:r>
            <w:r w:rsidR="00C26515" w:rsidRPr="00AA057E">
              <w:rPr>
                <w:rFonts w:asciiTheme="minorHAnsi" w:hAnsiTheme="minorHAnsi"/>
                <w:color w:val="262626" w:themeColor="text1" w:themeTint="D9"/>
                <w:sz w:val="21"/>
              </w:rPr>
              <w:t xml:space="preserve">agree </w:t>
            </w:r>
            <w:r w:rsidR="00E40E71" w:rsidRPr="00AA057E">
              <w:rPr>
                <w:rFonts w:asciiTheme="minorHAnsi" w:hAnsiTheme="minorHAnsi"/>
                <w:color w:val="262626" w:themeColor="text1" w:themeTint="D9"/>
                <w:sz w:val="21"/>
              </w:rPr>
              <w:t xml:space="preserve">on the need to move towards </w:t>
            </w:r>
            <w:r w:rsidR="00C26515" w:rsidRPr="00AA057E">
              <w:rPr>
                <w:rFonts w:asciiTheme="minorHAnsi" w:hAnsiTheme="minorHAnsi"/>
                <w:color w:val="262626" w:themeColor="text1" w:themeTint="D9"/>
                <w:sz w:val="21"/>
              </w:rPr>
              <w:t>capacity development</w:t>
            </w:r>
            <w:r w:rsidR="00D45C4F" w:rsidRPr="00AA057E">
              <w:rPr>
                <w:rFonts w:asciiTheme="minorHAnsi" w:hAnsiTheme="minorHAnsi"/>
                <w:color w:val="262626" w:themeColor="text1" w:themeTint="D9"/>
                <w:sz w:val="21"/>
              </w:rPr>
              <w:t xml:space="preserve">.  </w:t>
            </w:r>
          </w:p>
        </w:tc>
        <w:tc>
          <w:tcPr>
            <w:tcW w:w="3544" w:type="dxa"/>
          </w:tcPr>
          <w:p w:rsidR="0090650A" w:rsidRPr="00AA057E" w:rsidRDefault="00D56BD8" w:rsidP="00903F43">
            <w:pPr>
              <w:pStyle w:val="BodyText"/>
              <w:spacing w:before="0" w:after="0" w:line="240" w:lineRule="auto"/>
              <w:ind w:left="81" w:right="110"/>
              <w:rPr>
                <w:rFonts w:asciiTheme="minorHAnsi" w:hAnsiTheme="minorHAnsi"/>
                <w:i/>
                <w:color w:val="262626" w:themeColor="text1" w:themeTint="D9"/>
                <w:sz w:val="21"/>
              </w:rPr>
            </w:pPr>
            <w:r w:rsidRPr="00AA057E">
              <w:rPr>
                <w:rFonts w:asciiTheme="minorHAnsi" w:hAnsiTheme="minorHAnsi"/>
                <w:color w:val="262626" w:themeColor="text1" w:themeTint="D9"/>
                <w:sz w:val="21"/>
              </w:rPr>
              <w:t>DFAT has extended the SBPP/ANU Crawford School Grant to December 2020</w:t>
            </w:r>
            <w:r w:rsidR="00A76861" w:rsidRPr="00AA057E">
              <w:rPr>
                <w:rFonts w:asciiTheme="minorHAnsi" w:hAnsiTheme="minorHAnsi"/>
                <w:color w:val="262626" w:themeColor="text1" w:themeTint="D9"/>
                <w:sz w:val="21"/>
              </w:rPr>
              <w:t xml:space="preserve"> during which time </w:t>
            </w:r>
            <w:r w:rsidRPr="00AA057E">
              <w:rPr>
                <w:rFonts w:asciiTheme="minorHAnsi" w:hAnsiTheme="minorHAnsi"/>
                <w:color w:val="262626" w:themeColor="text1" w:themeTint="D9"/>
                <w:sz w:val="21"/>
              </w:rPr>
              <w:t>DFAT will consider the nature of its support to the tertiary sector more broadly. These review findings will inform any future support.</w:t>
            </w:r>
            <w:r w:rsidRPr="00AA057E">
              <w:rPr>
                <w:rFonts w:asciiTheme="minorHAnsi" w:hAnsiTheme="minorHAnsi"/>
              </w:rPr>
              <w:t xml:space="preserve">   </w:t>
            </w:r>
          </w:p>
        </w:tc>
        <w:tc>
          <w:tcPr>
            <w:tcW w:w="1275" w:type="dxa"/>
          </w:tcPr>
          <w:p w:rsidR="0090650A" w:rsidRPr="00AA057E" w:rsidRDefault="00312D81" w:rsidP="007221FF">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F901FA" w:rsidRPr="00AA057E" w:rsidTr="00903F43">
        <w:tc>
          <w:tcPr>
            <w:tcW w:w="5529" w:type="dxa"/>
          </w:tcPr>
          <w:p w:rsidR="007E4A59" w:rsidRPr="00AA057E" w:rsidRDefault="007221FF"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w:t>
            </w:r>
            <w:r w:rsidR="007E4A59" w:rsidRPr="00AA057E">
              <w:rPr>
                <w:color w:val="262626" w:themeColor="text1" w:themeTint="D9"/>
                <w:sz w:val="21"/>
                <w:szCs w:val="21"/>
                <w:lang w:val="en-AU"/>
              </w:rPr>
              <w:t xml:space="preserve">2 </w:t>
            </w:r>
            <w:r w:rsidRPr="00AA057E">
              <w:rPr>
                <w:color w:val="262626" w:themeColor="text1" w:themeTint="D9"/>
                <w:sz w:val="21"/>
                <w:szCs w:val="21"/>
                <w:lang w:val="en-AU"/>
              </w:rPr>
              <w:t xml:space="preserve">– </w:t>
            </w:r>
            <w:r w:rsidR="007E4A59" w:rsidRPr="00AA057E">
              <w:rPr>
                <w:color w:val="262626" w:themeColor="text1" w:themeTint="D9"/>
                <w:sz w:val="21"/>
                <w:szCs w:val="21"/>
              </w:rPr>
              <w:t xml:space="preserve">School of Business &amp; Public Policy </w:t>
            </w:r>
          </w:p>
          <w:p w:rsidR="007E4A59" w:rsidRPr="00AA057E" w:rsidRDefault="007E4A59" w:rsidP="00903F43">
            <w:pPr>
              <w:pStyle w:val="BodyText"/>
              <w:spacing w:before="40" w:after="0" w:line="240" w:lineRule="auto"/>
              <w:ind w:left="82" w:right="118"/>
              <w:rPr>
                <w:rFonts w:ascii="Calibri Light" w:hAnsi="Calibri Light" w:cs="Calibri Light"/>
                <w:color w:val="262626" w:themeColor="text1" w:themeTint="D9"/>
                <w:sz w:val="21"/>
                <w:szCs w:val="21"/>
              </w:rPr>
            </w:pPr>
            <w:r w:rsidRPr="00AA057E">
              <w:rPr>
                <w:rFonts w:asciiTheme="minorHAnsi" w:hAnsiTheme="minorHAnsi"/>
                <w:color w:val="262626" w:themeColor="text1" w:themeTint="D9"/>
                <w:sz w:val="21"/>
                <w:szCs w:val="21"/>
              </w:rPr>
              <w:t>Launch and implement the SBPP strategic plan (with UPNG support) within the larger UPNG strategic plan and environment</w:t>
            </w:r>
            <w:r w:rsidR="00D45C4F" w:rsidRPr="00AA057E">
              <w:rPr>
                <w:rFonts w:asciiTheme="minorHAnsi" w:hAnsiTheme="minorHAnsi"/>
                <w:color w:val="262626" w:themeColor="text1" w:themeTint="D9"/>
                <w:sz w:val="21"/>
                <w:szCs w:val="21"/>
              </w:rPr>
              <w:t xml:space="preserve">.  </w:t>
            </w:r>
            <w:r w:rsidRPr="00AA057E">
              <w:rPr>
                <w:rFonts w:asciiTheme="minorHAnsi" w:hAnsiTheme="minorHAnsi"/>
                <w:color w:val="262626" w:themeColor="text1" w:themeTint="D9"/>
                <w:sz w:val="21"/>
                <w:szCs w:val="21"/>
              </w:rPr>
              <w:t>(</w:t>
            </w:r>
            <w:r w:rsidR="007221FF" w:rsidRPr="00AA057E">
              <w:rPr>
                <w:rFonts w:ascii="Calibri Light" w:hAnsi="Calibri Light" w:cs="Calibri Light"/>
                <w:color w:val="262626" w:themeColor="text1" w:themeTint="D9"/>
                <w:sz w:val="21"/>
                <w:szCs w:val="21"/>
              </w:rPr>
              <w:t xml:space="preserve">For consideration by </w:t>
            </w:r>
            <w:r w:rsidRPr="00AA057E">
              <w:rPr>
                <w:rFonts w:asciiTheme="minorHAnsi" w:hAnsiTheme="minorHAnsi"/>
                <w:color w:val="262626" w:themeColor="text1" w:themeTint="D9"/>
                <w:sz w:val="21"/>
                <w:szCs w:val="21"/>
              </w:rPr>
              <w:t>SBPP and UPNG</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7E4A59" w:rsidRPr="00AA057E" w:rsidRDefault="007E4A59" w:rsidP="00F20D63">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7E4A59" w:rsidRPr="00AA057E" w:rsidRDefault="00B941A8"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agrees </w:t>
            </w:r>
            <w:r w:rsidR="005173AF" w:rsidRPr="00AA057E">
              <w:rPr>
                <w:rFonts w:ascii="Calibri Light" w:hAnsi="Calibri Light" w:cs="Calibri Light"/>
                <w:color w:val="262626" w:themeColor="text1" w:themeTint="D9"/>
                <w:sz w:val="21"/>
                <w:szCs w:val="21"/>
              </w:rPr>
              <w:t xml:space="preserve">that </w:t>
            </w:r>
            <w:r w:rsidRPr="00AA057E">
              <w:rPr>
                <w:rFonts w:ascii="Calibri Light" w:hAnsi="Calibri Light" w:cs="Calibri Light"/>
                <w:color w:val="262626" w:themeColor="text1" w:themeTint="D9"/>
                <w:sz w:val="21"/>
                <w:szCs w:val="21"/>
              </w:rPr>
              <w:t>where possible the lessons learnt from SBPP</w:t>
            </w:r>
            <w:r w:rsidR="005173AF" w:rsidRPr="00AA057E">
              <w:rPr>
                <w:rFonts w:ascii="Calibri Light" w:hAnsi="Calibri Light" w:cs="Calibri Light"/>
                <w:color w:val="262626" w:themeColor="text1" w:themeTint="D9"/>
                <w:sz w:val="21"/>
                <w:szCs w:val="21"/>
              </w:rPr>
              <w:t>’s</w:t>
            </w:r>
            <w:r w:rsidRPr="00AA057E">
              <w:rPr>
                <w:rFonts w:ascii="Calibri Light" w:hAnsi="Calibri Light" w:cs="Calibri Light"/>
                <w:color w:val="262626" w:themeColor="text1" w:themeTint="D9"/>
                <w:sz w:val="21"/>
                <w:szCs w:val="21"/>
              </w:rPr>
              <w:t xml:space="preserve"> strategic plan</w:t>
            </w:r>
            <w:r w:rsidR="00B94D15" w:rsidRPr="00AA057E">
              <w:rPr>
                <w:rFonts w:ascii="Calibri Light" w:hAnsi="Calibri Light" w:cs="Calibri Light"/>
                <w:color w:val="262626" w:themeColor="text1" w:themeTint="D9"/>
                <w:sz w:val="21"/>
                <w:szCs w:val="21"/>
              </w:rPr>
              <w:t>ning</w:t>
            </w:r>
            <w:r w:rsidRPr="00AA057E">
              <w:rPr>
                <w:rFonts w:ascii="Calibri Light" w:hAnsi="Calibri Light" w:cs="Calibri Light"/>
                <w:color w:val="262626" w:themeColor="text1" w:themeTint="D9"/>
                <w:sz w:val="21"/>
                <w:szCs w:val="21"/>
              </w:rPr>
              <w:t xml:space="preserve"> </w:t>
            </w:r>
            <w:r w:rsidR="00741C01" w:rsidRPr="00AA057E">
              <w:rPr>
                <w:rFonts w:ascii="Calibri Light" w:hAnsi="Calibri Light" w:cs="Calibri Light"/>
                <w:color w:val="262626" w:themeColor="text1" w:themeTint="D9"/>
                <w:sz w:val="21"/>
                <w:szCs w:val="21"/>
              </w:rPr>
              <w:t xml:space="preserve">process </w:t>
            </w:r>
            <w:r w:rsidR="00B94D15" w:rsidRPr="00AA057E">
              <w:rPr>
                <w:rFonts w:ascii="Calibri Light" w:hAnsi="Calibri Light" w:cs="Calibri Light"/>
                <w:color w:val="262626" w:themeColor="text1" w:themeTint="D9"/>
                <w:sz w:val="21"/>
                <w:szCs w:val="21"/>
              </w:rPr>
              <w:t>c</w:t>
            </w:r>
            <w:r w:rsidR="00741C01" w:rsidRPr="00AA057E">
              <w:rPr>
                <w:rFonts w:ascii="Calibri Light" w:hAnsi="Calibri Light" w:cs="Calibri Light"/>
                <w:color w:val="262626" w:themeColor="text1" w:themeTint="D9"/>
                <w:sz w:val="21"/>
                <w:szCs w:val="21"/>
              </w:rPr>
              <w:t xml:space="preserve">ould be </w:t>
            </w:r>
            <w:r w:rsidRPr="00AA057E">
              <w:rPr>
                <w:rFonts w:ascii="Calibri Light" w:hAnsi="Calibri Light" w:cs="Calibri Light"/>
                <w:color w:val="262626" w:themeColor="text1" w:themeTint="D9"/>
                <w:sz w:val="21"/>
                <w:szCs w:val="21"/>
              </w:rPr>
              <w:t xml:space="preserve">incorporated </w:t>
            </w:r>
            <w:r w:rsidR="00250248" w:rsidRPr="00AA057E">
              <w:rPr>
                <w:rFonts w:ascii="Calibri Light" w:hAnsi="Calibri Light" w:cs="Calibri Light"/>
                <w:color w:val="262626" w:themeColor="text1" w:themeTint="D9"/>
                <w:sz w:val="21"/>
                <w:szCs w:val="21"/>
              </w:rPr>
              <w:t xml:space="preserve">into </w:t>
            </w:r>
            <w:r w:rsidR="00D7251B" w:rsidRPr="00AA057E">
              <w:rPr>
                <w:rFonts w:ascii="Calibri Light" w:hAnsi="Calibri Light" w:cs="Calibri Light"/>
                <w:color w:val="262626" w:themeColor="text1" w:themeTint="D9"/>
                <w:sz w:val="21"/>
                <w:szCs w:val="21"/>
              </w:rPr>
              <w:t xml:space="preserve">the </w:t>
            </w:r>
            <w:r w:rsidR="00617530" w:rsidRPr="00AA057E">
              <w:rPr>
                <w:rFonts w:ascii="Calibri Light" w:hAnsi="Calibri Light" w:cs="Calibri Light"/>
                <w:color w:val="262626" w:themeColor="text1" w:themeTint="D9"/>
                <w:sz w:val="21"/>
                <w:szCs w:val="21"/>
              </w:rPr>
              <w:t xml:space="preserve">wider </w:t>
            </w:r>
            <w:r w:rsidR="00D30C79" w:rsidRPr="00AA057E">
              <w:rPr>
                <w:rFonts w:ascii="Calibri Light" w:hAnsi="Calibri Light" w:cs="Calibri Light"/>
                <w:color w:val="262626" w:themeColor="text1" w:themeTint="D9"/>
                <w:sz w:val="21"/>
                <w:szCs w:val="21"/>
              </w:rPr>
              <w:t>u</w:t>
            </w:r>
            <w:r w:rsidR="00617530" w:rsidRPr="00AA057E">
              <w:rPr>
                <w:rFonts w:ascii="Calibri Light" w:hAnsi="Calibri Light" w:cs="Calibri Light"/>
                <w:color w:val="262626" w:themeColor="text1" w:themeTint="D9"/>
                <w:sz w:val="21"/>
                <w:szCs w:val="21"/>
              </w:rPr>
              <w:t xml:space="preserve">niversity </w:t>
            </w:r>
            <w:r w:rsidR="00741C01" w:rsidRPr="00AA057E">
              <w:rPr>
                <w:rFonts w:ascii="Calibri Light" w:hAnsi="Calibri Light" w:cs="Calibri Light"/>
                <w:color w:val="262626" w:themeColor="text1" w:themeTint="D9"/>
                <w:sz w:val="21"/>
                <w:szCs w:val="21"/>
              </w:rPr>
              <w:t xml:space="preserve">environment.  </w:t>
            </w:r>
          </w:p>
        </w:tc>
        <w:tc>
          <w:tcPr>
            <w:tcW w:w="3544" w:type="dxa"/>
          </w:tcPr>
          <w:p w:rsidR="007E4A59" w:rsidRPr="00AA057E" w:rsidRDefault="001E5BD0"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Recognising this is a decision for the university</w:t>
            </w:r>
            <w:r w:rsidR="00B94D15" w:rsidRPr="00AA057E">
              <w:rPr>
                <w:rFonts w:ascii="Calibri Light" w:hAnsi="Calibri Light" w:cs="Calibri Light"/>
                <w:color w:val="262626" w:themeColor="text1" w:themeTint="D9"/>
                <w:sz w:val="21"/>
                <w:szCs w:val="21"/>
              </w:rPr>
              <w:t>,</w:t>
            </w:r>
            <w:r w:rsidRPr="00AA057E">
              <w:rPr>
                <w:rFonts w:ascii="Calibri Light" w:hAnsi="Calibri Light" w:cs="Calibri Light"/>
                <w:color w:val="262626" w:themeColor="text1" w:themeTint="D9"/>
                <w:sz w:val="21"/>
                <w:szCs w:val="21"/>
              </w:rPr>
              <w:t xml:space="preserve"> DFAT will </w:t>
            </w:r>
            <w:r w:rsidR="00741C01" w:rsidRPr="00AA057E">
              <w:rPr>
                <w:rFonts w:ascii="Calibri Light" w:hAnsi="Calibri Light" w:cs="Calibri Light"/>
                <w:color w:val="262626" w:themeColor="text1" w:themeTint="D9"/>
                <w:sz w:val="21"/>
                <w:szCs w:val="21"/>
              </w:rPr>
              <w:t xml:space="preserve">continue to </w:t>
            </w:r>
            <w:r w:rsidRPr="00AA057E">
              <w:rPr>
                <w:rFonts w:ascii="Calibri Light" w:hAnsi="Calibri Light" w:cs="Calibri Light"/>
                <w:color w:val="262626" w:themeColor="text1" w:themeTint="D9"/>
                <w:sz w:val="21"/>
                <w:szCs w:val="21"/>
              </w:rPr>
              <w:t>discuss with (and support as appropriate) the university in implementing this recommendation</w:t>
            </w:r>
            <w:r w:rsidR="00B94D15" w:rsidRPr="00AA057E">
              <w:rPr>
                <w:rFonts w:ascii="Calibri Light" w:hAnsi="Calibri Light" w:cs="Calibri Light"/>
                <w:color w:val="262626" w:themeColor="text1" w:themeTint="D9"/>
                <w:sz w:val="21"/>
                <w:szCs w:val="21"/>
              </w:rPr>
              <w:t>.</w:t>
            </w:r>
          </w:p>
        </w:tc>
        <w:tc>
          <w:tcPr>
            <w:tcW w:w="1275" w:type="dxa"/>
          </w:tcPr>
          <w:p w:rsidR="007E4A59" w:rsidRPr="00AA057E" w:rsidRDefault="00250248" w:rsidP="007E4A59">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Ongoing </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rPr>
            </w:pPr>
            <w:r w:rsidRPr="00AA057E">
              <w:rPr>
                <w:color w:val="262626" w:themeColor="text1" w:themeTint="D9"/>
                <w:sz w:val="21"/>
                <w:szCs w:val="21"/>
                <w:lang w:val="en-AU"/>
              </w:rPr>
              <w:t xml:space="preserve">R3 – </w:t>
            </w:r>
            <w:r w:rsidRPr="00AA057E">
              <w:rPr>
                <w:color w:val="262626" w:themeColor="text1" w:themeTint="D9"/>
                <w:sz w:val="21"/>
                <w:szCs w:val="21"/>
              </w:rPr>
              <w:t>School of Business &amp; Public Policy</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Ensure the new SBPP courses are aligned with university-wide program specification documents as outlined by the University Senate, and that they comply with the PNG National Qualification Framework, to pave the way for the PILAG pathway.  (</w:t>
            </w:r>
            <w:r w:rsidRPr="00AA057E">
              <w:rPr>
                <w:rFonts w:ascii="Calibri Light" w:hAnsi="Calibri Light" w:cs="Calibri Light"/>
                <w:color w:val="262626" w:themeColor="text1" w:themeTint="D9"/>
                <w:sz w:val="21"/>
                <w:szCs w:val="21"/>
              </w:rPr>
              <w:t xml:space="preserve">For consideration by </w:t>
            </w:r>
            <w:r w:rsidRPr="00AA057E">
              <w:rPr>
                <w:rFonts w:asciiTheme="minorHAnsi" w:hAnsiTheme="minorHAnsi"/>
                <w:color w:val="262626" w:themeColor="text1" w:themeTint="D9"/>
                <w:sz w:val="21"/>
                <w:szCs w:val="21"/>
              </w:rPr>
              <w:t>SBPP and UPNG</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agrees SBPP continue to align courses with the wider university requirements and the PNG National Qualification Framework.  </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We understand the university’s governance structure has approved all new SBPP courses developed through the investment, and UPNG is working to ensure alignment with the </w:t>
            </w:r>
            <w:r w:rsidRPr="00AA057E">
              <w:rPr>
                <w:rFonts w:asciiTheme="minorHAnsi" w:hAnsiTheme="minorHAnsi"/>
                <w:color w:val="262626" w:themeColor="text1" w:themeTint="D9"/>
                <w:sz w:val="21"/>
                <w:szCs w:val="21"/>
              </w:rPr>
              <w:t xml:space="preserve">PNG National Qualification Framework, recognising it will provide academic pathways across the tertiary sector. DFAT will continue to monitor and work with partners to progress, as appropriate.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End 2020</w:t>
            </w:r>
          </w:p>
        </w:tc>
      </w:tr>
      <w:tr w:rsidR="005256ED" w:rsidRPr="00AA057E" w:rsidTr="00903F43">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R4 – </w:t>
            </w:r>
            <w:r w:rsidRPr="00AA057E">
              <w:rPr>
                <w:color w:val="262626" w:themeColor="text1" w:themeTint="D9"/>
                <w:sz w:val="21"/>
                <w:szCs w:val="21"/>
              </w:rPr>
              <w:t xml:space="preserve">School of Business &amp; Public Policy </w:t>
            </w:r>
          </w:p>
          <w:p w:rsidR="005256ED" w:rsidRPr="00AA057E" w:rsidRDefault="005256ED" w:rsidP="00903F43">
            <w:pPr>
              <w:pStyle w:val="BodyText"/>
              <w:spacing w:before="40" w:after="0" w:line="240" w:lineRule="auto"/>
              <w:ind w:left="82" w:right="118"/>
              <w:rPr>
                <w:color w:val="262626" w:themeColor="text1" w:themeTint="D9"/>
                <w:sz w:val="21"/>
                <w:szCs w:val="21"/>
                <w:lang w:val="en-AU"/>
              </w:rPr>
            </w:pPr>
            <w:r w:rsidRPr="00AA057E">
              <w:rPr>
                <w:rFonts w:asciiTheme="minorHAnsi" w:hAnsiTheme="minorHAnsi"/>
                <w:color w:val="262626" w:themeColor="text1" w:themeTint="D9"/>
                <w:sz w:val="21"/>
                <w:szCs w:val="21"/>
              </w:rPr>
              <w:t>Conduct a mapping exercise of gender equity and social inclusion in the SBPP component, and an analysis of barriers to/enablers of improved inclusion within SBPP.  Use these analyses to update the SBPP Precinct strategy.  (</w:t>
            </w:r>
            <w:r w:rsidRPr="00AA057E">
              <w:rPr>
                <w:rFonts w:ascii="Calibri Light" w:hAnsi="Calibri Light" w:cs="Calibri Light"/>
                <w:color w:val="262626" w:themeColor="text1" w:themeTint="D9"/>
                <w:sz w:val="21"/>
                <w:szCs w:val="21"/>
              </w:rPr>
              <w:t xml:space="preserve">For consideration by </w:t>
            </w:r>
            <w:r w:rsidRPr="00AA057E">
              <w:rPr>
                <w:rFonts w:asciiTheme="minorHAnsi" w:hAnsiTheme="minorHAnsi"/>
                <w:color w:val="262626" w:themeColor="text1" w:themeTint="D9"/>
                <w:sz w:val="21"/>
                <w:szCs w:val="21"/>
              </w:rPr>
              <w:t>SBPP, UPNG, DHERST, and DFAT/AHC</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The SBPP Gender Equity and Social Inclusion (GESI) Review was completed in November 2018 and finalised in February 2019.  The report maps the findings across four themes – leadership and accountability; diversity and inclusion in practice; safety and security; and </w:t>
            </w:r>
            <w:r w:rsidRPr="00AA057E">
              <w:rPr>
                <w:rFonts w:ascii="Calibri Light" w:hAnsi="Calibri Light" w:cs="Calibri Light"/>
                <w:color w:val="262626" w:themeColor="text1" w:themeTint="D9"/>
                <w:sz w:val="21"/>
                <w:szCs w:val="21"/>
              </w:rPr>
              <w:lastRenderedPageBreak/>
              <w:t xml:space="preserve">disability inclusion – and makes recommendations for the UPNG leadership.  </w:t>
            </w:r>
          </w:p>
        </w:tc>
        <w:tc>
          <w:tcPr>
            <w:tcW w:w="3544" w:type="dxa"/>
          </w:tcPr>
          <w:p w:rsidR="005256ED" w:rsidRPr="00AA057E" w:rsidRDefault="005256ED" w:rsidP="00903F43">
            <w:pPr>
              <w:pStyle w:val="BodyText"/>
              <w:spacing w:before="0" w:after="0" w:line="240" w:lineRule="auto"/>
              <w:ind w:left="81" w:right="110"/>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lastRenderedPageBreak/>
              <w:t xml:space="preserve">Mapping exercise complete.  </w:t>
            </w:r>
          </w:p>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will continue to fund a Gender Inclusive Advisor to support UPNG to take forward the GESI review recommendations.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Ongoing</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R5 – </w:t>
            </w:r>
            <w:r w:rsidRPr="00AA057E">
              <w:rPr>
                <w:color w:val="262626" w:themeColor="text1" w:themeTint="D9"/>
                <w:sz w:val="21"/>
                <w:szCs w:val="21"/>
              </w:rPr>
              <w:t>Pacific Institute of Leadership &amp; Governance</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Put in place the leadership, staff and systems required to implement the PILAG Act for PILAG to succeed in its transformation</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 xml:space="preserve"> (</w:t>
            </w:r>
            <w:r w:rsidRPr="00AA057E">
              <w:rPr>
                <w:rFonts w:ascii="Calibri Light" w:hAnsi="Calibri Light" w:cs="Calibri Light"/>
                <w:color w:val="262626" w:themeColor="text1" w:themeTint="D9"/>
                <w:sz w:val="21"/>
                <w:szCs w:val="21"/>
              </w:rPr>
              <w:t xml:space="preserve">For consideration by </w:t>
            </w:r>
            <w:r w:rsidRPr="00AA057E">
              <w:rPr>
                <w:rFonts w:asciiTheme="minorHAnsi" w:hAnsiTheme="minorHAnsi"/>
                <w:color w:val="262626" w:themeColor="text1" w:themeTint="D9"/>
                <w:sz w:val="21"/>
                <w:szCs w:val="21"/>
              </w:rPr>
              <w:t>DPM and PILAG Board</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DFAT recognises and supports the PNG Government’s vision that PILAG remains a core public service training provider delivering high quality and modern public service capacity strengthening.</w:t>
            </w:r>
            <w:r w:rsidR="00B0773D">
              <w:rPr>
                <w:rFonts w:ascii="Calibri Light" w:hAnsi="Calibri Light" w:cs="Calibri Light"/>
                <w:color w:val="262626" w:themeColor="text1" w:themeTint="D9"/>
                <w:sz w:val="21"/>
                <w:szCs w:val="21"/>
              </w:rPr>
              <w:t xml:space="preserve"> </w:t>
            </w:r>
            <w:r w:rsidR="00B0773D" w:rsidRPr="00AA057E">
              <w:rPr>
                <w:rFonts w:ascii="Calibri Light" w:hAnsi="Calibri Light" w:cs="Calibri Light"/>
                <w:color w:val="262626" w:themeColor="text1" w:themeTint="D9"/>
                <w:sz w:val="21"/>
                <w:szCs w:val="21"/>
              </w:rPr>
              <w:t xml:space="preserve">We acknowledge the reform agenda to strengthen PILAG, led by the Institute’s </w:t>
            </w:r>
            <w:r w:rsidR="00B0773D">
              <w:rPr>
                <w:rFonts w:ascii="Calibri Light" w:hAnsi="Calibri Light" w:cs="Calibri Light"/>
                <w:color w:val="262626" w:themeColor="text1" w:themeTint="D9"/>
                <w:sz w:val="21"/>
                <w:szCs w:val="21"/>
              </w:rPr>
              <w:t xml:space="preserve">new </w:t>
            </w:r>
            <w:r w:rsidR="00B0773D" w:rsidRPr="00AA057E">
              <w:rPr>
                <w:rFonts w:ascii="Calibri Light" w:hAnsi="Calibri Light" w:cs="Calibri Light"/>
                <w:color w:val="262626" w:themeColor="text1" w:themeTint="D9"/>
                <w:sz w:val="21"/>
                <w:szCs w:val="21"/>
              </w:rPr>
              <w:t xml:space="preserve">Chief Executive Officer </w:t>
            </w:r>
            <w:r w:rsidR="00B0773D">
              <w:rPr>
                <w:rFonts w:ascii="Calibri Light" w:hAnsi="Calibri Light" w:cs="Calibri Light"/>
                <w:color w:val="262626" w:themeColor="text1" w:themeTint="D9"/>
                <w:sz w:val="21"/>
                <w:szCs w:val="21"/>
              </w:rPr>
              <w:t>appointed in February 2019.</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PILAG</w:t>
            </w:r>
            <w:r w:rsidRPr="00AA057E" w:rsidDel="002F02E7">
              <w:rPr>
                <w:rFonts w:ascii="Calibri Light" w:hAnsi="Calibri Light" w:cs="Calibri Light"/>
                <w:color w:val="262626" w:themeColor="text1" w:themeTint="D9"/>
                <w:sz w:val="21"/>
                <w:szCs w:val="21"/>
              </w:rPr>
              <w:t xml:space="preserve"> </w:t>
            </w:r>
            <w:r w:rsidRPr="00AA057E">
              <w:rPr>
                <w:rFonts w:ascii="Calibri Light" w:hAnsi="Calibri Light" w:cs="Calibri Light"/>
                <w:color w:val="262626" w:themeColor="text1" w:themeTint="D9"/>
                <w:sz w:val="21"/>
                <w:szCs w:val="21"/>
              </w:rPr>
              <w:t xml:space="preserve">remains a core institution for the Precinct investment. While recognising this is a recommendation for DPM and PILAG, DFAT will continue to discuss with, and support, PILAG in strengthening the institute.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5256ED" w:rsidRPr="00AA057E" w:rsidTr="00903F43">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R6 – </w:t>
            </w:r>
            <w:r w:rsidRPr="00AA057E">
              <w:rPr>
                <w:color w:val="262626" w:themeColor="text1" w:themeTint="D9"/>
                <w:sz w:val="21"/>
                <w:szCs w:val="21"/>
              </w:rPr>
              <w:t>Pacific Institute of Leadership &amp; Governance</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Update the Precinct PILAG strategy for PILAG to strengthen its training capacity and become a quality-assured tertiary training institution.  (</w:t>
            </w:r>
            <w:r w:rsidRPr="00AA057E">
              <w:rPr>
                <w:rFonts w:ascii="Calibri Light" w:hAnsi="Calibri Light" w:cs="Calibri Light"/>
                <w:color w:val="262626" w:themeColor="text1" w:themeTint="D9"/>
                <w:sz w:val="21"/>
                <w:szCs w:val="21"/>
              </w:rPr>
              <w:t xml:space="preserve">For consideration by </w:t>
            </w:r>
            <w:r w:rsidRPr="00AA057E">
              <w:rPr>
                <w:rFonts w:asciiTheme="minorHAnsi" w:hAnsiTheme="minorHAnsi"/>
                <w:color w:val="262626" w:themeColor="text1" w:themeTint="D9"/>
                <w:sz w:val="21"/>
                <w:szCs w:val="21"/>
              </w:rPr>
              <w:t>PILAG, DPM, and DHERST</w:t>
            </w:r>
            <w:r w:rsidR="008E37A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recognises and supports the PNG Government’s vision that PILAG remains a core public service training provider delivering high quality and modern public service capacity strengthening.  </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The adjusted design shifts our support from direct implementation towards supporting PILAG’s delivery capability, as directed by the CEO</w:t>
            </w:r>
            <w:r w:rsidR="00525A47" w:rsidRPr="00AA057E">
              <w:rPr>
                <w:rFonts w:ascii="Calibri Light" w:hAnsi="Calibri Light" w:cs="Calibri Light"/>
                <w:color w:val="262626" w:themeColor="text1" w:themeTint="D9"/>
                <w:sz w:val="21"/>
                <w:szCs w:val="21"/>
              </w:rPr>
              <w:t xml:space="preserve"> and his </w:t>
            </w:r>
            <w:r w:rsidR="00525A47">
              <w:rPr>
                <w:rFonts w:ascii="Calibri Light" w:hAnsi="Calibri Light" w:cs="Calibri Light"/>
                <w:color w:val="262626" w:themeColor="text1" w:themeTint="D9"/>
                <w:sz w:val="21"/>
                <w:szCs w:val="21"/>
              </w:rPr>
              <w:t xml:space="preserve">leadership </w:t>
            </w:r>
            <w:r w:rsidR="00525A47" w:rsidRPr="00AA057E">
              <w:rPr>
                <w:rFonts w:ascii="Calibri Light" w:hAnsi="Calibri Light" w:cs="Calibri Light"/>
                <w:color w:val="262626" w:themeColor="text1" w:themeTint="D9"/>
                <w:sz w:val="21"/>
                <w:szCs w:val="21"/>
              </w:rPr>
              <w:t>team</w:t>
            </w:r>
            <w:r w:rsidRPr="00AA057E">
              <w:rPr>
                <w:rFonts w:ascii="Calibri Light" w:hAnsi="Calibri Light" w:cs="Calibri Light"/>
                <w:color w:val="262626" w:themeColor="text1" w:themeTint="D9"/>
                <w:sz w:val="21"/>
                <w:szCs w:val="21"/>
              </w:rPr>
              <w:t>.</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R7 – </w:t>
            </w:r>
            <w:r w:rsidRPr="00AA057E">
              <w:rPr>
                <w:color w:val="262626" w:themeColor="text1" w:themeTint="D9"/>
                <w:sz w:val="21"/>
                <w:szCs w:val="21"/>
              </w:rPr>
              <w:t>Pacific Institute of Leadership &amp; Governance</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 xml:space="preserve">Conduct a mapping exercise of gender equity and social inclusion in the PILAG component and in vocational trainings supported by the Precinct, and an analysis of barriers to/enablers of improved gender and social </w:t>
            </w:r>
            <w:r w:rsidRPr="00AA057E">
              <w:rPr>
                <w:rFonts w:asciiTheme="minorHAnsi" w:hAnsiTheme="minorHAnsi" w:cstheme="minorHAnsi"/>
                <w:color w:val="262626" w:themeColor="text1" w:themeTint="D9"/>
                <w:sz w:val="21"/>
                <w:szCs w:val="21"/>
              </w:rPr>
              <w:t>inclusion.  Use them to update the PILAG component and vocational trainings.  (</w:t>
            </w:r>
            <w:r w:rsidRPr="00AA057E">
              <w:rPr>
                <w:rFonts w:asciiTheme="minorHAnsi" w:hAnsiTheme="minorHAnsi"/>
                <w:color w:val="262626" w:themeColor="text1" w:themeTint="D9"/>
                <w:sz w:val="21"/>
              </w:rPr>
              <w:t xml:space="preserve">For consideration by </w:t>
            </w:r>
            <w:r w:rsidRPr="00AA057E">
              <w:rPr>
                <w:rFonts w:asciiTheme="minorHAnsi" w:hAnsiTheme="minorHAnsi" w:cstheme="minorHAnsi"/>
                <w:color w:val="262626" w:themeColor="text1" w:themeTint="D9"/>
                <w:sz w:val="21"/>
                <w:szCs w:val="21"/>
              </w:rPr>
              <w:t xml:space="preserve">PILAG, DPM, and </w:t>
            </w:r>
            <w:r w:rsidRPr="00AA057E">
              <w:rPr>
                <w:rFonts w:asciiTheme="minorHAnsi" w:hAnsiTheme="minorHAnsi"/>
                <w:color w:val="262626" w:themeColor="text1" w:themeTint="D9"/>
                <w:sz w:val="21"/>
              </w:rPr>
              <w:t>DFAT/AHC</w:t>
            </w:r>
            <w:r w:rsidR="008E37A4">
              <w:rPr>
                <w:rFonts w:asciiTheme="minorHAnsi" w:hAnsiTheme="minorHAnsi"/>
                <w:color w:val="262626" w:themeColor="text1" w:themeTint="D9"/>
                <w:sz w:val="21"/>
              </w:rPr>
              <w:t>.</w:t>
            </w:r>
            <w:r w:rsidRPr="00AA057E">
              <w:rPr>
                <w:rFonts w:asciiTheme="minorHAnsi" w:hAnsiTheme="minorHAnsi" w:cs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The Gender Equity and Social Inclusion Review was completed in November 2018 and finalised in February 2019.  The report maps the findings across four themes – leadership and accountability; diversity and inclusion in practice; safety and security; and disability inclusion – and makes recommendations for the PILAG leadership.  </w:t>
            </w:r>
          </w:p>
        </w:tc>
        <w:tc>
          <w:tcPr>
            <w:tcW w:w="3544" w:type="dxa"/>
          </w:tcPr>
          <w:p w:rsidR="005256ED" w:rsidRPr="00AA057E" w:rsidRDefault="005256ED" w:rsidP="00903F43">
            <w:pPr>
              <w:pStyle w:val="BodyText"/>
              <w:spacing w:before="0" w:after="0" w:line="240" w:lineRule="auto"/>
              <w:ind w:left="81" w:right="110"/>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 xml:space="preserve">Mapping exercise complete.  </w:t>
            </w:r>
          </w:p>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will continue to fund a Gender Inclusive Advisor to support PILAG to take forward the GESI review recommendations.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Ongoing</w:t>
            </w:r>
          </w:p>
        </w:tc>
      </w:tr>
      <w:tr w:rsidR="005256ED" w:rsidRPr="00AA057E" w:rsidTr="00903F43">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R8 – </w:t>
            </w:r>
            <w:r w:rsidRPr="00AA057E">
              <w:rPr>
                <w:color w:val="262626" w:themeColor="text1" w:themeTint="D9"/>
                <w:sz w:val="21"/>
                <w:szCs w:val="21"/>
              </w:rPr>
              <w:t xml:space="preserve">Pathways </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Design and fund the range of activities essential to complement individual training so that Precinct courses and events participants (from the public sector, the private sector, or civil society) are supported once they return to their workplaces: involve managers from the start, and implement already planned alumni networks, as well as coaching and mentoring schemes (</w:t>
            </w:r>
            <w:r w:rsidRPr="00AA057E">
              <w:rPr>
                <w:rFonts w:ascii="Calibri Light" w:hAnsi="Calibri Light" w:cs="Calibri Light"/>
                <w:color w:val="262626" w:themeColor="text1" w:themeTint="D9"/>
                <w:sz w:val="21"/>
                <w:szCs w:val="21"/>
              </w:rPr>
              <w:t>For consideration by</w:t>
            </w:r>
            <w:r w:rsidRPr="00AA057E">
              <w:rPr>
                <w:rFonts w:asciiTheme="minorHAnsi" w:hAnsiTheme="minorHAnsi"/>
                <w:color w:val="262626" w:themeColor="text1" w:themeTint="D9"/>
                <w:sz w:val="21"/>
                <w:szCs w:val="21"/>
              </w:rPr>
              <w:t xml:space="preserve"> DPM, PILAG, and DFAT/AHC</w:t>
            </w:r>
            <w:r w:rsidR="003E6D84">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agrees that complementary activities and pathways are essential to ensure training effectiveness.  </w:t>
            </w:r>
          </w:p>
        </w:tc>
        <w:tc>
          <w:tcPr>
            <w:tcW w:w="3544" w:type="dxa"/>
          </w:tcPr>
          <w:p w:rsidR="005256ED" w:rsidRPr="00AA057E" w:rsidRDefault="005256ED" w:rsidP="00903F43">
            <w:pPr>
              <w:suppressAutoHyphens w:val="0"/>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The adjusted </w:t>
            </w:r>
            <w:r w:rsidR="003E2E08" w:rsidRPr="00AA057E">
              <w:rPr>
                <w:rFonts w:ascii="Calibri Light" w:hAnsi="Calibri Light" w:cs="Calibri Light"/>
                <w:color w:val="262626" w:themeColor="text1" w:themeTint="D9"/>
                <w:sz w:val="21"/>
                <w:szCs w:val="21"/>
              </w:rPr>
              <w:t>design re</w:t>
            </w:r>
            <w:r w:rsidRPr="00AA057E">
              <w:rPr>
                <w:rFonts w:ascii="Calibri Light" w:hAnsi="Calibri Light" w:cs="Calibri Light"/>
                <w:color w:val="262626" w:themeColor="text1" w:themeTint="D9"/>
                <w:sz w:val="21"/>
                <w:szCs w:val="21"/>
              </w:rPr>
              <w:t>-orients the investment towards supporting continuous professional development programs focus</w:t>
            </w:r>
            <w:r w:rsidR="00525A47">
              <w:rPr>
                <w:rFonts w:ascii="Calibri Light" w:hAnsi="Calibri Light" w:cs="Calibri Light"/>
                <w:color w:val="262626" w:themeColor="text1" w:themeTint="D9"/>
                <w:sz w:val="21"/>
                <w:szCs w:val="21"/>
              </w:rPr>
              <w:t>ed</w:t>
            </w:r>
            <w:r w:rsidRPr="00AA057E">
              <w:rPr>
                <w:rFonts w:ascii="Calibri Light" w:hAnsi="Calibri Light" w:cs="Calibri Light"/>
                <w:color w:val="262626" w:themeColor="text1" w:themeTint="D9"/>
                <w:sz w:val="21"/>
                <w:szCs w:val="21"/>
              </w:rPr>
              <w:t xml:space="preserve"> </w:t>
            </w:r>
            <w:r w:rsidR="00525A47">
              <w:rPr>
                <w:rFonts w:ascii="Calibri Light" w:hAnsi="Calibri Light" w:cs="Calibri Light"/>
                <w:color w:val="262626" w:themeColor="text1" w:themeTint="D9"/>
                <w:sz w:val="21"/>
                <w:szCs w:val="21"/>
              </w:rPr>
              <w:t xml:space="preserve">on </w:t>
            </w:r>
            <w:r w:rsidRPr="00AA057E">
              <w:rPr>
                <w:rFonts w:ascii="Calibri Light" w:hAnsi="Calibri Light" w:cs="Calibri Light"/>
                <w:color w:val="262626" w:themeColor="text1" w:themeTint="D9"/>
                <w:sz w:val="21"/>
                <w:szCs w:val="21"/>
              </w:rPr>
              <w:t>developing cohorts</w:t>
            </w:r>
            <w:r w:rsidR="00525A47">
              <w:rPr>
                <w:rFonts w:ascii="Calibri Light" w:hAnsi="Calibri Light" w:cs="Calibri Light"/>
                <w:color w:val="262626" w:themeColor="text1" w:themeTint="D9"/>
                <w:sz w:val="21"/>
                <w:szCs w:val="21"/>
              </w:rPr>
              <w:t xml:space="preserve"> rather than training for individuals</w:t>
            </w:r>
            <w:r w:rsidRPr="00AA057E">
              <w:rPr>
                <w:rFonts w:ascii="Calibri Light" w:hAnsi="Calibri Light" w:cs="Calibri Light"/>
                <w:color w:val="262626" w:themeColor="text1" w:themeTint="D9"/>
                <w:sz w:val="21"/>
                <w:szCs w:val="21"/>
              </w:rPr>
              <w:t xml:space="preserve">.  This approach recognises that behaviour change requires collective action by individuals, their colleagues, managers, senior leaders and change in the institutional </w:t>
            </w:r>
            <w:r w:rsidRPr="00AA057E">
              <w:rPr>
                <w:rFonts w:ascii="Calibri Light" w:hAnsi="Calibri Light" w:cs="Calibri Light"/>
                <w:color w:val="262626" w:themeColor="text1" w:themeTint="D9"/>
                <w:sz w:val="21"/>
                <w:szCs w:val="21"/>
              </w:rPr>
              <w:lastRenderedPageBreak/>
              <w:t xml:space="preserve">environment where they operate. The adjusted design will use on the job support (mentoring, coaching, alumni, etc).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lastRenderedPageBreak/>
              <w:t>Early 2020</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widowControl w:val="0"/>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 xml:space="preserve">R9 – </w:t>
            </w:r>
            <w:r w:rsidRPr="00AA057E">
              <w:rPr>
                <w:color w:val="262626" w:themeColor="text1" w:themeTint="D9"/>
                <w:sz w:val="21"/>
                <w:szCs w:val="21"/>
              </w:rPr>
              <w:t>Pathways</w:t>
            </w:r>
          </w:p>
          <w:p w:rsidR="005256ED" w:rsidRPr="00AA057E" w:rsidRDefault="005256ED" w:rsidP="00903F43">
            <w:pPr>
              <w:pStyle w:val="BodyText"/>
              <w:widowControl w:val="0"/>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Revisit the Precinct’s overall theory of change so it is better aligned with the academic evidence and lessons learned about the value of training and regarding how to build sustainable public service capacity (particularly taking into account the individual, organisational, and institutional levels).  (</w:t>
            </w:r>
            <w:r w:rsidRPr="00AA057E">
              <w:rPr>
                <w:rFonts w:ascii="Calibri Light" w:hAnsi="Calibri Light" w:cs="Calibri Light"/>
                <w:color w:val="262626" w:themeColor="text1" w:themeTint="D9"/>
                <w:sz w:val="21"/>
                <w:szCs w:val="21"/>
              </w:rPr>
              <w:t>For consideration by</w:t>
            </w:r>
            <w:r w:rsidRPr="00AA057E">
              <w:rPr>
                <w:rFonts w:asciiTheme="minorHAnsi" w:hAnsiTheme="minorHAnsi"/>
                <w:color w:val="262626" w:themeColor="text1" w:themeTint="D9"/>
                <w:sz w:val="21"/>
                <w:szCs w:val="21"/>
              </w:rPr>
              <w:t xml:space="preserve"> JSC and DFAT/AHC</w:t>
            </w:r>
            <w:r w:rsidR="003A1702">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widowControl w:val="0"/>
              <w:spacing w:before="0" w:after="0" w:line="240" w:lineRule="auto"/>
              <w:rPr>
                <w:b/>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widowControl w:val="0"/>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We recognise the academic evidence identified by the review team as well as the evidence collated through the Developmental Leadership Program.  We agreed with the Review’s findings that it is not enough to </w:t>
            </w:r>
            <w:r w:rsidR="003C2AD0">
              <w:rPr>
                <w:rFonts w:ascii="Calibri Light" w:hAnsi="Calibri Light" w:cs="Calibri Light"/>
                <w:color w:val="262626" w:themeColor="text1" w:themeTint="D9"/>
                <w:sz w:val="21"/>
                <w:szCs w:val="21"/>
              </w:rPr>
              <w:t xml:space="preserve">train </w:t>
            </w:r>
            <w:r w:rsidRPr="00AA057E">
              <w:rPr>
                <w:rFonts w:ascii="Calibri Light" w:hAnsi="Calibri Light" w:cs="Calibri Light"/>
                <w:color w:val="262626" w:themeColor="text1" w:themeTint="D9"/>
                <w:sz w:val="21"/>
                <w:szCs w:val="21"/>
              </w:rPr>
              <w:t>individuals</w:t>
            </w:r>
            <w:r w:rsidR="003C2AD0">
              <w:rPr>
                <w:rFonts w:ascii="Calibri Light" w:hAnsi="Calibri Light" w:cs="Calibri Light"/>
                <w:color w:val="262626" w:themeColor="text1" w:themeTint="D9"/>
                <w:sz w:val="21"/>
                <w:szCs w:val="21"/>
              </w:rPr>
              <w:t xml:space="preserve">. A broader  </w:t>
            </w:r>
            <w:r w:rsidRPr="00AA057E">
              <w:rPr>
                <w:rFonts w:ascii="Calibri Light" w:hAnsi="Calibri Light" w:cs="Calibri Light"/>
                <w:color w:val="262626" w:themeColor="text1" w:themeTint="D9"/>
                <w:sz w:val="21"/>
                <w:szCs w:val="21"/>
              </w:rPr>
              <w:t xml:space="preserve"> focus on their work within the context of an organisation’s wider objectives</w:t>
            </w:r>
            <w:r w:rsidR="003C2AD0">
              <w:rPr>
                <w:rFonts w:ascii="Calibri Light" w:hAnsi="Calibri Light" w:cs="Calibri Light"/>
                <w:color w:val="262626" w:themeColor="text1" w:themeTint="D9"/>
                <w:sz w:val="21"/>
                <w:szCs w:val="21"/>
              </w:rPr>
              <w:t xml:space="preserve"> is required to support change</w:t>
            </w:r>
            <w:r w:rsidRPr="00AA057E">
              <w:rPr>
                <w:rFonts w:ascii="Calibri Light" w:hAnsi="Calibri Light" w:cs="Calibri Light"/>
                <w:color w:val="262626" w:themeColor="text1" w:themeTint="D9"/>
                <w:sz w:val="21"/>
                <w:szCs w:val="21"/>
              </w:rPr>
              <w:t>.</w:t>
            </w:r>
          </w:p>
        </w:tc>
        <w:tc>
          <w:tcPr>
            <w:tcW w:w="3544" w:type="dxa"/>
          </w:tcPr>
          <w:p w:rsidR="005256ED" w:rsidRPr="00AA057E" w:rsidRDefault="005256ED" w:rsidP="00903F43">
            <w:pPr>
              <w:pStyle w:val="BodyText"/>
              <w:widowControl w:val="0"/>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We are working with partners to re-orient the investment towards targeting both individuals’ and teams’ needs.  The adjusted design includes a clear emphasises to support workplace teams and their performance (consistent with recommendation 14).  Regarding institutional capacity, we will ensure Precinct activities align with other institutional strengthening investments.</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August 2019</w:t>
            </w:r>
          </w:p>
        </w:tc>
      </w:tr>
      <w:tr w:rsidR="005256ED" w:rsidRPr="00AA057E" w:rsidTr="00903F43">
        <w:tc>
          <w:tcPr>
            <w:tcW w:w="5529" w:type="dxa"/>
          </w:tcPr>
          <w:p w:rsidR="005256ED" w:rsidRPr="003E2E08" w:rsidRDefault="005256ED" w:rsidP="00903F43">
            <w:pPr>
              <w:pStyle w:val="BodyText"/>
              <w:spacing w:before="0" w:after="0" w:line="240" w:lineRule="auto"/>
              <w:ind w:left="82" w:right="118"/>
              <w:rPr>
                <w:rFonts w:ascii="Calibri Light" w:hAnsi="Calibri Light" w:cs="Calibri Light"/>
                <w:b/>
                <w:color w:val="262626" w:themeColor="text1" w:themeTint="D9"/>
                <w:sz w:val="21"/>
                <w:szCs w:val="21"/>
              </w:rPr>
            </w:pPr>
            <w:r w:rsidRPr="003E2E08">
              <w:rPr>
                <w:rFonts w:ascii="Calibri Light" w:hAnsi="Calibri Light" w:cs="Calibri Light"/>
                <w:b/>
                <w:color w:val="262626" w:themeColor="text1" w:themeTint="D9"/>
                <w:sz w:val="21"/>
                <w:szCs w:val="21"/>
              </w:rPr>
              <w:t>R10 – Pathways</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Calibri Light" w:hAnsi="Calibri Light" w:cs="Calibri Light"/>
                <w:color w:val="262626" w:themeColor="text1" w:themeTint="D9"/>
                <w:sz w:val="21"/>
                <w:szCs w:val="21"/>
              </w:rPr>
              <w:t>Undertake political economy analyses to determine the policy areas or service delivery priorities which can benefit from Precinct support to improve public sector performance and integrity.  On that basis, identify coalitions or targeted reform initiatives that are amenable to Precinct support, testing approaches, learning regularly, and adjusting quickly.  (For consideration by JSC and DFAT/AHC</w:t>
            </w:r>
            <w:r w:rsidR="004533B5">
              <w:rPr>
                <w:rFonts w:ascii="Calibri Light" w:hAnsi="Calibri Light" w:cs="Calibri Light"/>
                <w:color w:val="262626" w:themeColor="text1" w:themeTint="D9"/>
                <w:sz w:val="21"/>
                <w:szCs w:val="21"/>
              </w:rPr>
              <w:t>.</w:t>
            </w:r>
            <w:r w:rsidRPr="00AA057E">
              <w:rPr>
                <w:rFonts w:ascii="Calibri Light" w:hAnsi="Calibri Light" w:cs="Calibri Light"/>
                <w:color w:val="262626" w:themeColor="text1" w:themeTint="D9"/>
                <w:sz w:val="21"/>
                <w:szCs w:val="21"/>
              </w:rPr>
              <w:t>)</w:t>
            </w:r>
          </w:p>
        </w:tc>
        <w:tc>
          <w:tcPr>
            <w:tcW w:w="992" w:type="dxa"/>
            <w:shd w:val="clear" w:color="auto" w:fill="FF7575"/>
          </w:tcPr>
          <w:p w:rsidR="005256ED" w:rsidRPr="00AA057E" w:rsidRDefault="005256ED" w:rsidP="005256ED">
            <w:pPr>
              <w:pStyle w:val="BodyText"/>
              <w:spacing w:before="0" w:after="0" w:line="240" w:lineRule="auto"/>
              <w:rPr>
                <w:color w:val="262626" w:themeColor="text1" w:themeTint="D9"/>
                <w:sz w:val="21"/>
                <w:szCs w:val="21"/>
              </w:rPr>
            </w:pPr>
            <w:r w:rsidRPr="00AA057E">
              <w:rPr>
                <w:b/>
                <w:color w:val="262626" w:themeColor="text1" w:themeTint="D9"/>
                <w:sz w:val="21"/>
                <w:szCs w:val="21"/>
              </w:rPr>
              <w:t>Disagree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W</w:t>
            </w:r>
            <w:r w:rsidRPr="00AA057E" w:rsidDel="001F5092">
              <w:rPr>
                <w:rFonts w:ascii="Calibri Light" w:hAnsi="Calibri Light" w:cs="Calibri Light"/>
                <w:color w:val="262626" w:themeColor="text1" w:themeTint="D9"/>
                <w:sz w:val="21"/>
                <w:szCs w:val="21"/>
              </w:rPr>
              <w:t xml:space="preserve">e do not </w:t>
            </w:r>
            <w:r w:rsidRPr="00AA057E">
              <w:rPr>
                <w:rFonts w:ascii="Calibri Light" w:hAnsi="Calibri Light" w:cs="Calibri Light"/>
                <w:color w:val="262626" w:themeColor="text1" w:themeTint="D9"/>
                <w:sz w:val="21"/>
                <w:szCs w:val="21"/>
              </w:rPr>
              <w:t xml:space="preserve">agree that </w:t>
            </w:r>
            <w:r w:rsidRPr="00AA057E" w:rsidDel="001F5092">
              <w:rPr>
                <w:rFonts w:ascii="Calibri Light" w:hAnsi="Calibri Light" w:cs="Calibri Light"/>
                <w:color w:val="262626" w:themeColor="text1" w:themeTint="D9"/>
                <w:sz w:val="21"/>
                <w:szCs w:val="21"/>
              </w:rPr>
              <w:t xml:space="preserve">this </w:t>
            </w:r>
            <w:r w:rsidRPr="00AA057E">
              <w:rPr>
                <w:rFonts w:ascii="Calibri Light" w:hAnsi="Calibri Light" w:cs="Calibri Light"/>
                <w:color w:val="262626" w:themeColor="text1" w:themeTint="D9"/>
                <w:sz w:val="21"/>
                <w:szCs w:val="21"/>
              </w:rPr>
              <w:t xml:space="preserve">investment is </w:t>
            </w:r>
            <w:r w:rsidRPr="00AA057E" w:rsidDel="001F5092">
              <w:rPr>
                <w:rFonts w:ascii="Calibri Light" w:hAnsi="Calibri Light" w:cs="Calibri Light"/>
                <w:color w:val="262626" w:themeColor="text1" w:themeTint="D9"/>
                <w:sz w:val="21"/>
                <w:szCs w:val="21"/>
              </w:rPr>
              <w:t xml:space="preserve">a suitable vehicle </w:t>
            </w:r>
            <w:r w:rsidR="008F4E36">
              <w:rPr>
                <w:rFonts w:ascii="Calibri Light" w:hAnsi="Calibri Light" w:cs="Calibri Light"/>
                <w:color w:val="262626" w:themeColor="text1" w:themeTint="D9"/>
                <w:sz w:val="21"/>
                <w:szCs w:val="21"/>
              </w:rPr>
              <w:t xml:space="preserve">to pursue a more ambitious </w:t>
            </w:r>
            <w:r w:rsidRPr="00AA057E">
              <w:rPr>
                <w:rFonts w:ascii="Calibri Light" w:hAnsi="Calibri Light" w:cs="Calibri Light"/>
                <w:color w:val="262626" w:themeColor="text1" w:themeTint="D9"/>
                <w:sz w:val="21"/>
                <w:szCs w:val="21"/>
              </w:rPr>
              <w:t xml:space="preserve">public sector reform </w:t>
            </w:r>
            <w:r w:rsidR="008F4E36">
              <w:rPr>
                <w:rFonts w:ascii="Calibri Light" w:hAnsi="Calibri Light" w:cs="Calibri Light"/>
                <w:color w:val="262626" w:themeColor="text1" w:themeTint="D9"/>
                <w:sz w:val="21"/>
                <w:szCs w:val="21"/>
              </w:rPr>
              <w:t>agenda</w:t>
            </w:r>
            <w:r w:rsidRPr="00AA057E">
              <w:rPr>
                <w:rFonts w:ascii="Calibri Light" w:hAnsi="Calibri Light" w:cs="Calibri Light"/>
                <w:color w:val="262626" w:themeColor="text1" w:themeTint="D9"/>
                <w:sz w:val="21"/>
                <w:szCs w:val="21"/>
              </w:rPr>
              <w:t>.</w:t>
            </w:r>
            <w:r w:rsidR="008F4E36">
              <w:rPr>
                <w:rFonts w:ascii="Calibri Light" w:hAnsi="Calibri Light" w:cs="Calibri Light"/>
                <w:color w:val="262626" w:themeColor="text1" w:themeTint="D9"/>
                <w:sz w:val="21"/>
                <w:szCs w:val="21"/>
              </w:rPr>
              <w:t xml:space="preserve"> We consider the task now is to consolidate this investment to enhance its focus and effectiveness.</w:t>
            </w:r>
          </w:p>
        </w:tc>
        <w:tc>
          <w:tcPr>
            <w:tcW w:w="3544" w:type="dxa"/>
          </w:tcPr>
          <w:p w:rsidR="005256ED" w:rsidRPr="00AA057E" w:rsidRDefault="00D66165" w:rsidP="00903F43">
            <w:pPr>
              <w:pStyle w:val="BodyText"/>
              <w:spacing w:before="0" w:after="0" w:line="240" w:lineRule="auto"/>
              <w:ind w:left="81" w:right="110"/>
              <w:rPr>
                <w:rFonts w:ascii="Calibri Light" w:hAnsi="Calibri Light" w:cs="Calibri Light"/>
                <w:i/>
                <w:color w:val="262626" w:themeColor="text1" w:themeTint="D9"/>
                <w:sz w:val="21"/>
                <w:szCs w:val="21"/>
              </w:rPr>
            </w:pPr>
            <w:r>
              <w:rPr>
                <w:rFonts w:ascii="Calibri Light" w:hAnsi="Calibri Light" w:cs="Calibri Light"/>
                <w:color w:val="262626" w:themeColor="text1" w:themeTint="D9"/>
                <w:sz w:val="21"/>
                <w:szCs w:val="21"/>
              </w:rPr>
              <w:t>N/A.</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R11 – Strategy and management</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Organise a workshop on GESI Policy implementation to review progress (by December 2018) and adjust strategies within the Precinct (by June 2019).  Stakeholders may include all DPM and provincial staff engaged in National GESI Policy Implementation, civil society organisations, male and female political leaders, and any other participants DPM deem appropriate.  (</w:t>
            </w:r>
            <w:r w:rsidRPr="00AA057E">
              <w:rPr>
                <w:rFonts w:ascii="Calibri Light" w:hAnsi="Calibri Light" w:cs="Calibri Light"/>
                <w:color w:val="262626" w:themeColor="text1" w:themeTint="D9"/>
                <w:sz w:val="21"/>
                <w:szCs w:val="21"/>
              </w:rPr>
              <w:t>For consideration by</w:t>
            </w:r>
            <w:r w:rsidRPr="00AA057E">
              <w:rPr>
                <w:rFonts w:asciiTheme="minorHAnsi" w:hAnsiTheme="minorHAnsi"/>
                <w:color w:val="262626" w:themeColor="text1" w:themeTint="D9"/>
                <w:sz w:val="21"/>
                <w:szCs w:val="21"/>
              </w:rPr>
              <w:t xml:space="preserve"> DPM with DFAT/AHC support</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DFAT welcomes a PNG</w:t>
            </w:r>
            <w:r w:rsidR="00D66165">
              <w:rPr>
                <w:rFonts w:ascii="Calibri Light" w:hAnsi="Calibri Light" w:cs="Calibri Light"/>
                <w:color w:val="262626" w:themeColor="text1" w:themeTint="D9"/>
                <w:sz w:val="21"/>
                <w:szCs w:val="21"/>
              </w:rPr>
              <w:t xml:space="preserve"> </w:t>
            </w:r>
            <w:r w:rsidRPr="00AA057E">
              <w:rPr>
                <w:rFonts w:ascii="Calibri Light" w:hAnsi="Calibri Light" w:cs="Calibri Light"/>
                <w:color w:val="262626" w:themeColor="text1" w:themeTint="D9"/>
                <w:sz w:val="21"/>
                <w:szCs w:val="21"/>
              </w:rPr>
              <w:t>Government</w:t>
            </w:r>
            <w:r w:rsidR="00D66165">
              <w:rPr>
                <w:rFonts w:ascii="Calibri Light" w:hAnsi="Calibri Light" w:cs="Calibri Light"/>
                <w:color w:val="262626" w:themeColor="text1" w:themeTint="D9"/>
                <w:sz w:val="21"/>
                <w:szCs w:val="21"/>
              </w:rPr>
              <w:t>-</w:t>
            </w:r>
            <w:r w:rsidRPr="00AA057E">
              <w:rPr>
                <w:rFonts w:ascii="Calibri Light" w:hAnsi="Calibri Light" w:cs="Calibri Light"/>
                <w:color w:val="262626" w:themeColor="text1" w:themeTint="D9"/>
                <w:sz w:val="21"/>
                <w:szCs w:val="21"/>
              </w:rPr>
              <w:t>led review of National Public Service GESI Policy.</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is supporting DPM to lead a review of the National Public Service GESI Policy.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June 2020</w:t>
            </w:r>
          </w:p>
        </w:tc>
      </w:tr>
      <w:tr w:rsidR="005256ED" w:rsidRPr="00AA057E" w:rsidTr="00903F43">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R12 – Strategy and management</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lastRenderedPageBreak/>
              <w:t>Strengthen the LCF</w:t>
            </w:r>
            <w:r w:rsidRPr="00AA057E">
              <w:rPr>
                <w:rStyle w:val="FootnoteReference"/>
                <w:rFonts w:asciiTheme="minorHAnsi" w:hAnsiTheme="minorHAnsi"/>
                <w:color w:val="262626" w:themeColor="text1" w:themeTint="D9"/>
                <w:sz w:val="21"/>
                <w:szCs w:val="21"/>
              </w:rPr>
              <w:footnoteReference w:id="2"/>
            </w:r>
            <w:r w:rsidRPr="00AA057E">
              <w:rPr>
                <w:rFonts w:asciiTheme="minorHAnsi" w:hAnsiTheme="minorHAnsi"/>
                <w:color w:val="262626" w:themeColor="text1" w:themeTint="D9"/>
                <w:sz w:val="21"/>
                <w:szCs w:val="21"/>
              </w:rPr>
              <w:t xml:space="preserve"> to be more inclusive in its language through a PNG Government-led process.  (For consideration by DPM, DHERST, and other PNG government departments</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lastRenderedPageBreak/>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We welcome a PNG</w:t>
            </w:r>
            <w:r w:rsidR="004533B5">
              <w:rPr>
                <w:rFonts w:ascii="Calibri Light" w:hAnsi="Calibri Light" w:cs="Calibri Light"/>
                <w:color w:val="262626" w:themeColor="text1" w:themeTint="D9"/>
                <w:sz w:val="21"/>
                <w:szCs w:val="21"/>
              </w:rPr>
              <w:t xml:space="preserve"> </w:t>
            </w:r>
            <w:r w:rsidRPr="00AA057E">
              <w:rPr>
                <w:rFonts w:ascii="Calibri Light" w:hAnsi="Calibri Light" w:cs="Calibri Light"/>
                <w:color w:val="262626" w:themeColor="text1" w:themeTint="D9"/>
                <w:sz w:val="21"/>
                <w:szCs w:val="21"/>
              </w:rPr>
              <w:t>Government</w:t>
            </w:r>
            <w:r w:rsidR="004533B5">
              <w:rPr>
                <w:rFonts w:ascii="Calibri Light" w:hAnsi="Calibri Light" w:cs="Calibri Light"/>
                <w:color w:val="262626" w:themeColor="text1" w:themeTint="D9"/>
                <w:sz w:val="21"/>
                <w:szCs w:val="21"/>
              </w:rPr>
              <w:t>-</w:t>
            </w:r>
            <w:r w:rsidRPr="00AA057E">
              <w:rPr>
                <w:rFonts w:ascii="Calibri Light" w:hAnsi="Calibri Light" w:cs="Calibri Light"/>
                <w:color w:val="262626" w:themeColor="text1" w:themeTint="D9"/>
                <w:sz w:val="21"/>
                <w:szCs w:val="21"/>
              </w:rPr>
              <w:t xml:space="preserve">led process to strengthen the LCF to be more inclusive. </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to provide support for DPM to review the LCF Policy review and to update the whole-of-government </w:t>
            </w:r>
            <w:r w:rsidRPr="00AA057E">
              <w:rPr>
                <w:rFonts w:ascii="Calibri Light" w:hAnsi="Calibri Light" w:cs="Calibri Light"/>
                <w:color w:val="262626" w:themeColor="text1" w:themeTint="D9"/>
                <w:sz w:val="21"/>
                <w:szCs w:val="21"/>
              </w:rPr>
              <w:lastRenderedPageBreak/>
              <w:t>implementation plan through the Institutional Partnership between DPM and the Australian Public Service Commission.</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lastRenderedPageBreak/>
              <w:t>June 2020</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R13 – Strategy and management</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Strengthen the Precinct design through the conduct of a whole-of-Precinct gender and socially inclusive context analysis with all stakeholders to reveal the barriers and enablers of genuine transformative change within the national public service, as well as the provincial and district levels, including inclusion of persons with disability and based on ethnicity.  Use it to update the overall Precinct strategy, outcomes, outputs, and activities, realigning budgeting and MEL for GESI.  (For consideration by JSC and DFAT/AHC</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Theme="minorHAnsi" w:hAnsiTheme="minorHAnsi"/>
                <w:color w:val="262626" w:themeColor="text1" w:themeTint="D9"/>
                <w:sz w:val="21"/>
              </w:rPr>
            </w:pPr>
            <w:r w:rsidRPr="00AA057E">
              <w:rPr>
                <w:rFonts w:asciiTheme="minorHAnsi" w:hAnsiTheme="minorHAnsi" w:cstheme="minorHAnsi"/>
                <w:color w:val="262626" w:themeColor="text1" w:themeTint="D9"/>
                <w:sz w:val="21"/>
                <w:szCs w:val="21"/>
              </w:rPr>
              <w:t>We agree that the gender and socially inclusive context analysis should underpin the strengthening of the Precinct design.</w:t>
            </w:r>
          </w:p>
        </w:tc>
        <w:tc>
          <w:tcPr>
            <w:tcW w:w="3544" w:type="dxa"/>
          </w:tcPr>
          <w:p w:rsidR="005256ED" w:rsidRPr="00AA057E" w:rsidRDefault="005256ED" w:rsidP="00903F43">
            <w:pPr>
              <w:pStyle w:val="BodyText"/>
              <w:spacing w:before="0" w:after="0" w:line="240" w:lineRule="auto"/>
              <w:ind w:left="81" w:right="110"/>
              <w:rPr>
                <w:rFonts w:asciiTheme="minorHAnsi" w:hAnsiTheme="minorHAnsi"/>
                <w:color w:val="262626" w:themeColor="text1" w:themeTint="D9"/>
                <w:sz w:val="21"/>
              </w:rPr>
            </w:pPr>
            <w:r w:rsidRPr="00AA057E">
              <w:rPr>
                <w:rFonts w:asciiTheme="minorHAnsi" w:hAnsiTheme="minorHAnsi"/>
                <w:color w:val="262626" w:themeColor="text1" w:themeTint="D9"/>
                <w:sz w:val="21"/>
              </w:rPr>
              <w:t xml:space="preserve">A </w:t>
            </w:r>
            <w:r w:rsidRPr="00AA057E">
              <w:rPr>
                <w:rFonts w:asciiTheme="minorHAnsi" w:hAnsiTheme="minorHAnsi" w:cstheme="minorHAnsi"/>
                <w:color w:val="262626" w:themeColor="text1" w:themeTint="D9"/>
                <w:sz w:val="21"/>
                <w:szCs w:val="21"/>
              </w:rPr>
              <w:t>gender and socially inclusive context analysis has been completed</w:t>
            </w:r>
            <w:r w:rsidR="00251AFA" w:rsidRPr="00AA057E">
              <w:rPr>
                <w:rFonts w:asciiTheme="minorHAnsi" w:hAnsiTheme="minorHAnsi" w:cstheme="minorHAnsi"/>
                <w:color w:val="262626" w:themeColor="text1" w:themeTint="D9"/>
                <w:sz w:val="21"/>
                <w:szCs w:val="21"/>
              </w:rPr>
              <w:t xml:space="preserve">. It </w:t>
            </w:r>
            <w:r w:rsidRPr="00AA057E">
              <w:rPr>
                <w:rFonts w:asciiTheme="minorHAnsi" w:hAnsiTheme="minorHAnsi" w:cstheme="minorHAnsi"/>
                <w:color w:val="262626" w:themeColor="text1" w:themeTint="D9"/>
                <w:sz w:val="21"/>
                <w:szCs w:val="21"/>
              </w:rPr>
              <w:t xml:space="preserve">has </w:t>
            </w:r>
            <w:r w:rsidRPr="00AA057E">
              <w:rPr>
                <w:rFonts w:asciiTheme="minorHAnsi" w:hAnsiTheme="minorHAnsi"/>
                <w:color w:val="262626" w:themeColor="text1" w:themeTint="D9"/>
                <w:sz w:val="21"/>
              </w:rPr>
              <w:t>been used to update the Precinct strategy, outcomes, outputs and activities in the</w:t>
            </w:r>
            <w:r w:rsidRPr="00AA057E">
              <w:rPr>
                <w:rFonts w:asciiTheme="minorHAnsi" w:hAnsiTheme="minorHAnsi" w:cstheme="minorHAnsi"/>
                <w:color w:val="262626" w:themeColor="text1" w:themeTint="D9"/>
                <w:sz w:val="21"/>
                <w:szCs w:val="21"/>
              </w:rPr>
              <w:t xml:space="preserve"> readjusted design.</w:t>
            </w:r>
          </w:p>
          <w:p w:rsidR="005256ED" w:rsidRPr="00AA057E" w:rsidRDefault="005256ED" w:rsidP="00903F43">
            <w:pPr>
              <w:pStyle w:val="BodyText"/>
              <w:spacing w:before="0" w:after="0" w:line="240" w:lineRule="auto"/>
              <w:ind w:left="81" w:right="110"/>
              <w:rPr>
                <w:rFonts w:asciiTheme="minorHAnsi" w:hAnsiTheme="minorHAnsi"/>
                <w:color w:val="262626" w:themeColor="text1" w:themeTint="D9"/>
                <w:sz w:val="21"/>
              </w:rPr>
            </w:pP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Completed</w:t>
            </w:r>
          </w:p>
        </w:tc>
      </w:tr>
      <w:tr w:rsidR="005256ED" w:rsidRPr="00AA057E" w:rsidTr="00903F43">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R14 – Strategy and management</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Undertake a process of Precinct ‘design strengthening’ to make sure the program is fit for purpose with a coherent strategy (completed by June 2019): i) update the Precinct strategy, starting with the ultimate Precinct goal of how to improve the ‘delivery of equitable and inclusive government services to all citizens of the country’, rather than with a focus on leadership training; ii) undertake an updated inclusive context analysis and consultations with PNG stakeholders; iii) on the basis of the above, update the program goal, outcomes, theory of change, and assumptions, drawing on lessons learned from this and similar programs; and iv) approve an Updated Design and Implementation Brief.  (For consideration by JSC and DFAT/AHC</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5256ED" w:rsidRPr="00AA057E" w:rsidRDefault="005256ED"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Theme="minorHAnsi" w:hAnsiTheme="minorHAnsi"/>
                <w:color w:val="262626" w:themeColor="text1" w:themeTint="D9"/>
                <w:sz w:val="21"/>
                <w:szCs w:val="21"/>
              </w:rPr>
              <w:t xml:space="preserve">DFAT welcomed the opportunity to strengthen the Precinct design. </w:t>
            </w:r>
          </w:p>
        </w:tc>
        <w:tc>
          <w:tcPr>
            <w:tcW w:w="3544" w:type="dxa"/>
          </w:tcPr>
          <w:p w:rsidR="005256ED" w:rsidRPr="00AA057E" w:rsidRDefault="005256ED"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Theme="minorHAnsi" w:hAnsiTheme="minorHAnsi"/>
                <w:color w:val="262626" w:themeColor="text1" w:themeTint="D9"/>
                <w:sz w:val="21"/>
                <w:szCs w:val="21"/>
              </w:rPr>
              <w:t>DFAT engaged Abt Associates to strengthen the Precinct design.  They have undertaken extensive consultations with bilateral partners, core institutions and delivery partners in April-May 2019, which are highlighted in this management response and are reflected in the adjusted design.  The adjusted</w:t>
            </w:r>
            <w:r w:rsidRPr="00AA057E">
              <w:rPr>
                <w:rFonts w:ascii="Calibri Light" w:hAnsi="Calibri Light" w:cs="Calibri Light"/>
                <w:color w:val="262626" w:themeColor="text1" w:themeTint="D9"/>
                <w:sz w:val="21"/>
                <w:szCs w:val="21"/>
              </w:rPr>
              <w:t xml:space="preserve"> design will be considered by the revised Joint Steering Committee in early 2020.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5256ED"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5256ED" w:rsidRPr="00AA057E" w:rsidRDefault="005256ED"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R15 – Strategy and management</w:t>
            </w:r>
          </w:p>
          <w:p w:rsidR="005256ED" w:rsidRPr="00AA057E" w:rsidRDefault="005256ED"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 xml:space="preserve">Approve the current MEL framework proposal and tracer studies to complement quantitative measurements (immediate).  Use qualitative MEL information to adjust the program as part of the design strengthening and then over </w:t>
            </w:r>
            <w:r w:rsidRPr="00AA057E">
              <w:rPr>
                <w:rFonts w:asciiTheme="minorHAnsi" w:hAnsiTheme="minorHAnsi"/>
                <w:color w:val="262626" w:themeColor="text1" w:themeTint="D9"/>
                <w:sz w:val="21"/>
                <w:szCs w:val="21"/>
              </w:rPr>
              <w:lastRenderedPageBreak/>
              <w:t>time, including through ‘strategy testing’ workshops with all stakeholders</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 xml:space="preserve"> (For consideration by JSC and DFAT/AHC</w:t>
            </w:r>
            <w:r w:rsidR="00D66165">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5256ED" w:rsidRPr="00AA057E" w:rsidRDefault="005256ED" w:rsidP="005256ED">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lastRenderedPageBreak/>
              <w:t>Agree</w:t>
            </w:r>
          </w:p>
        </w:tc>
        <w:tc>
          <w:tcPr>
            <w:tcW w:w="3827" w:type="dxa"/>
          </w:tcPr>
          <w:p w:rsidR="005256ED" w:rsidRPr="00AA057E" w:rsidRDefault="005256ED" w:rsidP="00903F43">
            <w:pPr>
              <w:pStyle w:val="BodyText"/>
              <w:spacing w:before="0" w:after="0" w:line="240" w:lineRule="auto"/>
              <w:ind w:left="79" w:right="114"/>
              <w:rPr>
                <w:rFonts w:asciiTheme="minorHAnsi" w:hAnsiTheme="minorHAnsi"/>
                <w:color w:val="262626" w:themeColor="text1" w:themeTint="D9"/>
                <w:sz w:val="21"/>
                <w:szCs w:val="21"/>
              </w:rPr>
            </w:pPr>
            <w:r w:rsidRPr="00AA057E">
              <w:rPr>
                <w:rFonts w:ascii="Calibri Light" w:hAnsi="Calibri Light" w:cs="Calibri Light"/>
                <w:color w:val="262626" w:themeColor="text1" w:themeTint="D9"/>
                <w:sz w:val="21"/>
                <w:szCs w:val="21"/>
              </w:rPr>
              <w:t xml:space="preserve">DFAT agrees the use of qualitative MEL information is essential to inform the program and welcomes the opportunity to  strengthen this capability within the managing contractor.  </w:t>
            </w:r>
          </w:p>
        </w:tc>
        <w:tc>
          <w:tcPr>
            <w:tcW w:w="3544" w:type="dxa"/>
          </w:tcPr>
          <w:p w:rsidR="005256ED" w:rsidRPr="00AA057E" w:rsidRDefault="005256ED" w:rsidP="00903F43">
            <w:pPr>
              <w:pStyle w:val="BodyText"/>
              <w:spacing w:before="0" w:after="0" w:line="240" w:lineRule="auto"/>
              <w:ind w:left="81" w:right="110"/>
              <w:rPr>
                <w:rFonts w:asciiTheme="minorHAnsi" w:hAnsiTheme="minorHAnsi"/>
                <w:color w:val="262626" w:themeColor="text1" w:themeTint="D9"/>
                <w:sz w:val="21"/>
                <w:szCs w:val="21"/>
              </w:rPr>
            </w:pPr>
            <w:r w:rsidRPr="00AA057E">
              <w:rPr>
                <w:rFonts w:ascii="Calibri Light" w:hAnsi="Calibri Light" w:cs="Calibri Light"/>
                <w:color w:val="262626" w:themeColor="text1" w:themeTint="D9"/>
                <w:sz w:val="21"/>
                <w:szCs w:val="21"/>
              </w:rPr>
              <w:t xml:space="preserve">MEL framework proposal and tracer studies approved. The longitudinal </w:t>
            </w:r>
            <w:r w:rsidRPr="00AA057E">
              <w:rPr>
                <w:rFonts w:asciiTheme="minorHAnsi" w:hAnsiTheme="minorHAnsi"/>
                <w:color w:val="262626" w:themeColor="text1" w:themeTint="D9"/>
                <w:sz w:val="21"/>
                <w:szCs w:val="21"/>
              </w:rPr>
              <w:t xml:space="preserve">tracer study is underway and will gather evidence on the extent to which short and long-term training supported by, or provided through, </w:t>
            </w:r>
            <w:r w:rsidRPr="00AA057E">
              <w:rPr>
                <w:rFonts w:asciiTheme="minorHAnsi" w:hAnsiTheme="minorHAnsi"/>
                <w:color w:val="262626" w:themeColor="text1" w:themeTint="D9"/>
                <w:sz w:val="21"/>
                <w:szCs w:val="21"/>
              </w:rPr>
              <w:lastRenderedPageBreak/>
              <w:t xml:space="preserve">the Precinct has impacted the public service. It will also gather evidence to support continuous improvement in the Precinct. </w:t>
            </w:r>
            <w:r w:rsidRPr="00AA057E">
              <w:rPr>
                <w:rFonts w:ascii="Calibri Light" w:hAnsi="Calibri Light" w:cs="Calibri Light"/>
                <w:color w:val="262626" w:themeColor="text1" w:themeTint="D9"/>
                <w:sz w:val="21"/>
                <w:szCs w:val="21"/>
              </w:rPr>
              <w:t xml:space="preserve">DFAT will work with managing contractor and other stakeholder to ensure the evidence is used to ensure continuous improvement. </w:t>
            </w:r>
          </w:p>
        </w:tc>
        <w:tc>
          <w:tcPr>
            <w:tcW w:w="1275" w:type="dxa"/>
          </w:tcPr>
          <w:p w:rsidR="005256ED" w:rsidRPr="00AA057E" w:rsidRDefault="005256ED" w:rsidP="005256ED">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olor w:val="262626" w:themeColor="text1" w:themeTint="D9"/>
                <w:sz w:val="21"/>
              </w:rPr>
              <w:lastRenderedPageBreak/>
              <w:t>Completed</w:t>
            </w:r>
            <w:r w:rsidRPr="00AA057E">
              <w:rPr>
                <w:rFonts w:ascii="Calibri Light" w:hAnsi="Calibri Light" w:cs="Calibri Light"/>
                <w:color w:val="262626" w:themeColor="text1" w:themeTint="D9"/>
                <w:sz w:val="21"/>
                <w:szCs w:val="21"/>
              </w:rPr>
              <w:t xml:space="preserve"> </w:t>
            </w:r>
          </w:p>
        </w:tc>
      </w:tr>
      <w:tr w:rsidR="00DA47B3" w:rsidRPr="00AA057E" w:rsidTr="00903F43">
        <w:tc>
          <w:tcPr>
            <w:tcW w:w="5529" w:type="dxa"/>
          </w:tcPr>
          <w:p w:rsidR="00DA47B3" w:rsidRPr="00AA057E" w:rsidRDefault="00DA47B3"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R16 – Strategy and management</w:t>
            </w:r>
          </w:p>
          <w:p w:rsidR="00DA47B3" w:rsidRPr="00AA057E" w:rsidRDefault="00DA47B3"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Implement QTAG recommendations to improve Precinct and PSLR management and delivery.  In particular, improve understanding of roles, responsibilities, and ways of working across Precinct management and implementers.  (For consideration by AHC and Abt</w:t>
            </w:r>
            <w:r w:rsidR="00BB196B">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DA47B3" w:rsidRPr="00AA057E" w:rsidRDefault="00DA47B3" w:rsidP="00DA47B3">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DA47B3" w:rsidRPr="00AA057E" w:rsidRDefault="00DA47B3" w:rsidP="00903F43">
            <w:pPr>
              <w:pStyle w:val="BodyText"/>
              <w:spacing w:before="0" w:after="0" w:line="240" w:lineRule="auto"/>
              <w:ind w:left="79" w:right="114"/>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 xml:space="preserve">DFAT agrees more clarity on roles and responsibilities across Precinct management and implementers is needed.    </w:t>
            </w:r>
          </w:p>
        </w:tc>
        <w:tc>
          <w:tcPr>
            <w:tcW w:w="3544" w:type="dxa"/>
          </w:tcPr>
          <w:p w:rsidR="00DA47B3" w:rsidRPr="00AA057E" w:rsidRDefault="00DA47B3" w:rsidP="00903F43">
            <w:pPr>
              <w:pStyle w:val="BodyText"/>
              <w:spacing w:before="0" w:after="0" w:line="240" w:lineRule="auto"/>
              <w:ind w:left="81" w:right="110"/>
              <w:rPr>
                <w:rFonts w:asciiTheme="minorHAnsi" w:hAnsiTheme="minorHAnsi"/>
                <w:color w:val="262626" w:themeColor="text1" w:themeTint="D9"/>
                <w:sz w:val="21"/>
                <w:szCs w:val="21"/>
              </w:rPr>
            </w:pPr>
            <w:r w:rsidRPr="00AA057E">
              <w:rPr>
                <w:rFonts w:ascii="Calibri Light" w:hAnsi="Calibri Light" w:cs="Calibri Light"/>
                <w:color w:val="262626" w:themeColor="text1" w:themeTint="D9"/>
                <w:sz w:val="21"/>
                <w:szCs w:val="21"/>
              </w:rPr>
              <w:t xml:space="preserve">DFAT and Abt Associates have refined protocols around ways of working to ensure a greater understanding of roles, responsibilities and key deliverables. </w:t>
            </w:r>
          </w:p>
        </w:tc>
        <w:tc>
          <w:tcPr>
            <w:tcW w:w="1275" w:type="dxa"/>
          </w:tcPr>
          <w:p w:rsidR="00DA47B3" w:rsidRPr="00AA057E" w:rsidRDefault="00DA47B3" w:rsidP="00DA47B3">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Completed </w:t>
            </w:r>
          </w:p>
        </w:tc>
      </w:tr>
      <w:tr w:rsidR="00DA47B3" w:rsidRPr="00AA057E" w:rsidTr="00284024">
        <w:trPr>
          <w:cnfStyle w:val="000000100000" w:firstRow="0" w:lastRow="0" w:firstColumn="0" w:lastColumn="0" w:oddVBand="0" w:evenVBand="0" w:oddHBand="1" w:evenHBand="0" w:firstRowFirstColumn="0" w:firstRowLastColumn="0" w:lastRowFirstColumn="0" w:lastRowLastColumn="0"/>
        </w:trPr>
        <w:tc>
          <w:tcPr>
            <w:tcW w:w="5529" w:type="dxa"/>
          </w:tcPr>
          <w:p w:rsidR="00DA47B3" w:rsidRPr="00AA057E" w:rsidRDefault="00DA47B3"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R17 – Efficiency and value for money</w:t>
            </w:r>
          </w:p>
          <w:p w:rsidR="00DA47B3" w:rsidRPr="00AA057E" w:rsidRDefault="00DA47B3"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Prepare a plan and allocate responsibilities within AHC to improve Precinct collaboration with other Australian programs, in particular with: the Australian Awards Program and its PNG Australia Alumni Association; with the Decentralisation and Citizens Participation program; with the Institutional Partnership Program; and with AHC support for higher education.  (For consideration by AHC</w:t>
            </w:r>
            <w:r w:rsidR="00BB196B">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hemeFill="accent3"/>
          </w:tcPr>
          <w:p w:rsidR="00DA47B3" w:rsidRPr="00AA057E" w:rsidRDefault="00284024" w:rsidP="00284024">
            <w:pPr>
              <w:pStyle w:val="BodyText"/>
              <w:spacing w:before="0" w:after="0" w:line="240" w:lineRule="auto"/>
              <w:rPr>
                <w:color w:val="262626" w:themeColor="text1" w:themeTint="D9"/>
                <w:sz w:val="21"/>
                <w:szCs w:val="21"/>
              </w:rPr>
            </w:pPr>
            <w:r>
              <w:rPr>
                <w:rFonts w:asciiTheme="minorHAnsi" w:hAnsiTheme="minorHAnsi"/>
                <w:b/>
                <w:color w:val="262626" w:themeColor="text1" w:themeTint="D9"/>
                <w:sz w:val="21"/>
                <w:szCs w:val="21"/>
              </w:rPr>
              <w:t>Agree</w:t>
            </w:r>
          </w:p>
        </w:tc>
        <w:tc>
          <w:tcPr>
            <w:tcW w:w="3827" w:type="dxa"/>
          </w:tcPr>
          <w:p w:rsidR="00DA47B3" w:rsidRPr="00AA057E" w:rsidRDefault="00DA47B3" w:rsidP="00284024">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DFAT agrees there is considerable scope to improve collaboration with other Australian investments.  </w:t>
            </w:r>
          </w:p>
        </w:tc>
        <w:tc>
          <w:tcPr>
            <w:tcW w:w="3544" w:type="dxa"/>
          </w:tcPr>
          <w:p w:rsidR="00DA47B3" w:rsidRPr="00AA057E" w:rsidRDefault="00DA47B3"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Australia Awards and Abt Associates meet monthly to foster greater engagement between the investments. Likewise, with DFAT guidance, Abt is working to ensure greater cohesion across its partnerships (including the Economic Governance and Inclusive Growth, and </w:t>
            </w:r>
            <w:r w:rsidRPr="00AA057E">
              <w:rPr>
                <w:rFonts w:asciiTheme="minorHAnsi" w:hAnsiTheme="minorHAnsi"/>
                <w:color w:val="262626" w:themeColor="text1" w:themeTint="D9"/>
                <w:sz w:val="21"/>
                <w:szCs w:val="21"/>
              </w:rPr>
              <w:t xml:space="preserve">Decentralisation and Citizens Participation programs). </w:t>
            </w:r>
          </w:p>
        </w:tc>
        <w:tc>
          <w:tcPr>
            <w:tcW w:w="1275" w:type="dxa"/>
          </w:tcPr>
          <w:p w:rsidR="00DA47B3" w:rsidRPr="00AA057E" w:rsidRDefault="00DA47B3" w:rsidP="00DA47B3">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Completed </w:t>
            </w:r>
          </w:p>
        </w:tc>
      </w:tr>
      <w:tr w:rsidR="00DA47B3" w:rsidRPr="00AA057E" w:rsidTr="00903F43">
        <w:tc>
          <w:tcPr>
            <w:tcW w:w="5529" w:type="dxa"/>
          </w:tcPr>
          <w:p w:rsidR="00DA47B3" w:rsidRPr="00AA057E" w:rsidRDefault="00DA47B3"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R18 –Efficiency and value for money</w:t>
            </w:r>
          </w:p>
          <w:p w:rsidR="00DA47B3" w:rsidRPr="00AA057E" w:rsidRDefault="00DA47B3"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 xml:space="preserve">Consider options to restructure the governance arrangements to deepen PNG ownership of the program (by June 2019), including: a) give the Board a strategic decision and oversight mandate and include JSC senior officials (e.g.  Vice-Chancellor) alongside existing Board members; b) make the JSC a more operational body, reporting to the Board; c) relocate the Precinct Secretariat team from the Governance Partnership to DPM; d) include Department for National Planning and Monitoring and other PNG Government departments in Precinct governance arrangements, to help align with government priorities; e) ensure JSC meetings are fully led by the three co-chairs; and f) hold more frequent </w:t>
            </w:r>
            <w:r w:rsidRPr="00AA057E">
              <w:rPr>
                <w:rFonts w:asciiTheme="minorHAnsi" w:hAnsiTheme="minorHAnsi"/>
                <w:color w:val="262626" w:themeColor="text1" w:themeTint="D9"/>
                <w:sz w:val="21"/>
                <w:szCs w:val="21"/>
              </w:rPr>
              <w:lastRenderedPageBreak/>
              <w:t>Board meetings and joint meetings between the Board and JSC.  (For consideration by the Board, DPM, DHERST, and DFAT/AHC</w:t>
            </w:r>
            <w:r w:rsidR="00BB196B">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FFCC66"/>
          </w:tcPr>
          <w:p w:rsidR="00DA47B3" w:rsidRPr="00AA057E" w:rsidRDefault="00DA47B3" w:rsidP="00DA47B3">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lastRenderedPageBreak/>
              <w:t>Agree, partially</w:t>
            </w:r>
          </w:p>
        </w:tc>
        <w:tc>
          <w:tcPr>
            <w:tcW w:w="3827" w:type="dxa"/>
          </w:tcPr>
          <w:p w:rsidR="00DA47B3" w:rsidRPr="00AA057E" w:rsidRDefault="00DA47B3" w:rsidP="00903F43">
            <w:pPr>
              <w:pStyle w:val="BodyText"/>
              <w:spacing w:before="0" w:after="0" w:line="240" w:lineRule="auto"/>
              <w:ind w:left="79" w:right="114"/>
              <w:rPr>
                <w:rFonts w:asciiTheme="minorHAnsi" w:hAnsiTheme="minorHAnsi"/>
                <w:color w:val="262626" w:themeColor="text1" w:themeTint="D9"/>
                <w:sz w:val="21"/>
                <w:szCs w:val="21"/>
              </w:rPr>
            </w:pPr>
            <w:r w:rsidRPr="00AA057E">
              <w:rPr>
                <w:rFonts w:ascii="Calibri Light" w:hAnsi="Calibri Light" w:cs="Calibri Light"/>
                <w:color w:val="262626" w:themeColor="text1" w:themeTint="D9"/>
                <w:sz w:val="21"/>
                <w:szCs w:val="21"/>
              </w:rPr>
              <w:t xml:space="preserve">We agree that the </w:t>
            </w:r>
            <w:r w:rsidRPr="00AA057E">
              <w:rPr>
                <w:rFonts w:asciiTheme="minorHAnsi" w:hAnsiTheme="minorHAnsi"/>
                <w:color w:val="262626" w:themeColor="text1" w:themeTint="D9"/>
                <w:sz w:val="21"/>
                <w:szCs w:val="21"/>
              </w:rPr>
              <w:t xml:space="preserve">governance arrangements can be strengthened and streamlined, and that the co-chairs should fully lead the meetings.  </w:t>
            </w:r>
          </w:p>
        </w:tc>
        <w:tc>
          <w:tcPr>
            <w:tcW w:w="3544" w:type="dxa"/>
          </w:tcPr>
          <w:p w:rsidR="00DA47B3" w:rsidRPr="00AA057E" w:rsidRDefault="00DA47B3"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Taking into account the review findings, the adjusted design includes a revised governance structure for consideration by the PNG Government, including </w:t>
            </w:r>
            <w:r w:rsidRPr="00AA057E">
              <w:rPr>
                <w:rFonts w:asciiTheme="minorHAnsi" w:hAnsiTheme="minorHAnsi"/>
                <w:color w:val="262626" w:themeColor="text1" w:themeTint="D9"/>
                <w:sz w:val="21"/>
                <w:szCs w:val="21"/>
              </w:rPr>
              <w:t>having only one governance mechanism rather than the existing two structures.</w:t>
            </w:r>
          </w:p>
        </w:tc>
        <w:tc>
          <w:tcPr>
            <w:tcW w:w="1275" w:type="dxa"/>
          </w:tcPr>
          <w:p w:rsidR="00DA47B3" w:rsidRPr="00AA057E" w:rsidRDefault="00DA47B3" w:rsidP="00DA47B3">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DA47B3"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DA47B3" w:rsidRPr="00AA057E" w:rsidRDefault="00DA47B3" w:rsidP="00903F43">
            <w:pPr>
              <w:pStyle w:val="BodyText"/>
              <w:spacing w:before="0" w:after="0" w:line="240" w:lineRule="auto"/>
              <w:ind w:left="82" w:right="118"/>
              <w:rPr>
                <w:rFonts w:asciiTheme="minorHAnsi" w:hAnsiTheme="minorHAnsi"/>
                <w:color w:val="262626" w:themeColor="text1" w:themeTint="D9"/>
                <w:sz w:val="21"/>
                <w:szCs w:val="21"/>
              </w:rPr>
            </w:pPr>
            <w:r w:rsidRPr="00AA057E">
              <w:rPr>
                <w:color w:val="262626" w:themeColor="text1" w:themeTint="D9"/>
                <w:sz w:val="21"/>
                <w:szCs w:val="21"/>
              </w:rPr>
              <w:t>R19 – Efficiency and value for money</w:t>
            </w:r>
          </w:p>
          <w:p w:rsidR="00DA47B3" w:rsidRPr="00AA057E" w:rsidRDefault="00DA47B3"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Agree on revised design prioritisation criteria, aligned with the Precinct updated strategy and PNG Government priorities, to inform the Precinct selection of sectors and policy areas across the Precinct and participants from the public sector, private sector, and civil society in Precinct training activities.  (For consideration by DPM and JSC</w:t>
            </w:r>
            <w:r w:rsidR="00DC0E48">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cPr>
          <w:p w:rsidR="00DA47B3" w:rsidRPr="00AA057E" w:rsidRDefault="00DA47B3" w:rsidP="00DA47B3">
            <w:pPr>
              <w:pStyle w:val="BodyText"/>
              <w:spacing w:before="0" w:after="0" w:line="240" w:lineRule="auto"/>
              <w:rPr>
                <w:color w:val="262626" w:themeColor="text1" w:themeTint="D9"/>
                <w:sz w:val="21"/>
                <w:szCs w:val="21"/>
              </w:rPr>
            </w:pPr>
            <w:r w:rsidRPr="00AA057E">
              <w:rPr>
                <w:b/>
                <w:color w:val="262626" w:themeColor="text1" w:themeTint="D9"/>
                <w:sz w:val="21"/>
                <w:szCs w:val="21"/>
              </w:rPr>
              <w:t xml:space="preserve">Agree </w:t>
            </w:r>
          </w:p>
        </w:tc>
        <w:tc>
          <w:tcPr>
            <w:tcW w:w="3827" w:type="dxa"/>
          </w:tcPr>
          <w:p w:rsidR="00DA47B3" w:rsidRPr="00AA057E" w:rsidRDefault="00DA47B3"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Theme="minorHAnsi" w:hAnsiTheme="minorHAnsi"/>
                <w:color w:val="262626" w:themeColor="text1" w:themeTint="D9"/>
                <w:sz w:val="21"/>
                <w:szCs w:val="21"/>
              </w:rPr>
              <w:t>Consistent with consolidation, we agree the Precinct is more likely to have a long-term impact if the investment targets its resources and services in a select number of areas and agencies; rather than spreading them across the public service as a whole (and thus diluting its impact).</w:t>
            </w:r>
          </w:p>
        </w:tc>
        <w:tc>
          <w:tcPr>
            <w:tcW w:w="3544" w:type="dxa"/>
          </w:tcPr>
          <w:p w:rsidR="00DA47B3" w:rsidRPr="00AA057E" w:rsidRDefault="00DA47B3" w:rsidP="00903F43">
            <w:pPr>
              <w:pStyle w:val="BodyText"/>
              <w:spacing w:before="0" w:after="0" w:line="240" w:lineRule="auto"/>
              <w:ind w:left="81" w:right="110"/>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The adjusted design focuses on a limited number of sectors aligned to improved service delivery as well as targeted geographical regions.</w:t>
            </w:r>
          </w:p>
        </w:tc>
        <w:tc>
          <w:tcPr>
            <w:tcW w:w="1275" w:type="dxa"/>
          </w:tcPr>
          <w:p w:rsidR="00DA47B3" w:rsidRPr="00AA057E" w:rsidRDefault="00DA47B3" w:rsidP="00DA47B3">
            <w:pPr>
              <w:pStyle w:val="BodyText"/>
              <w:spacing w:before="0" w:after="0" w:line="240" w:lineRule="auto"/>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September 2019</w:t>
            </w:r>
          </w:p>
        </w:tc>
      </w:tr>
      <w:tr w:rsidR="00DA47B3" w:rsidRPr="00AA057E" w:rsidTr="00903F43">
        <w:tc>
          <w:tcPr>
            <w:tcW w:w="5529" w:type="dxa"/>
          </w:tcPr>
          <w:p w:rsidR="00DA47B3" w:rsidRPr="00AA057E" w:rsidRDefault="00DA47B3" w:rsidP="00903F43">
            <w:pPr>
              <w:pStyle w:val="BodyText"/>
              <w:spacing w:before="0" w:after="0" w:line="240" w:lineRule="auto"/>
              <w:ind w:left="82" w:right="118"/>
              <w:rPr>
                <w:color w:val="262626" w:themeColor="text1" w:themeTint="D9"/>
                <w:sz w:val="21"/>
                <w:szCs w:val="21"/>
                <w:lang w:val="en-AU"/>
              </w:rPr>
            </w:pPr>
            <w:r w:rsidRPr="00AA057E">
              <w:rPr>
                <w:color w:val="262626" w:themeColor="text1" w:themeTint="D9"/>
                <w:sz w:val="21"/>
                <w:szCs w:val="21"/>
                <w:lang w:val="en-AU"/>
              </w:rPr>
              <w:t>R20 – Ownership and sustainability</w:t>
            </w:r>
          </w:p>
          <w:p w:rsidR="00DA47B3" w:rsidRPr="00AA057E" w:rsidRDefault="00DA47B3" w:rsidP="00903F43">
            <w:pPr>
              <w:pStyle w:val="BodyText"/>
              <w:spacing w:before="40" w:after="0" w:line="240" w:lineRule="auto"/>
              <w:ind w:left="82" w:right="118"/>
              <w:rPr>
                <w:rFonts w:asciiTheme="minorHAnsi" w:hAnsiTheme="minorHAnsi"/>
                <w:color w:val="262626" w:themeColor="text1" w:themeTint="D9"/>
                <w:sz w:val="21"/>
                <w:szCs w:val="21"/>
              </w:rPr>
            </w:pPr>
            <w:r w:rsidRPr="00AA057E">
              <w:rPr>
                <w:rFonts w:asciiTheme="minorHAnsi" w:hAnsiTheme="minorHAnsi"/>
                <w:color w:val="262626" w:themeColor="text1" w:themeTint="D9"/>
                <w:sz w:val="21"/>
                <w:szCs w:val="21"/>
              </w:rPr>
              <w:t>Undertake research to understand the costs and benefits associated with the different options of achieving learning outcomes (e.g.  unit cost per course/week/person), including location (Port Moresby or provinces) and by provider (PNG or Australian), as part of the Precinct design-strengthening process.  (For consideration by JSC and DFAT/AHC</w:t>
            </w:r>
            <w:r w:rsidR="00DC0E48">
              <w:rPr>
                <w:rFonts w:asciiTheme="minorHAnsi" w:hAnsiTheme="minorHAnsi"/>
                <w:color w:val="262626" w:themeColor="text1" w:themeTint="D9"/>
                <w:sz w:val="21"/>
                <w:szCs w:val="21"/>
              </w:rPr>
              <w:t>.</w:t>
            </w:r>
            <w:r w:rsidRPr="00AA057E">
              <w:rPr>
                <w:rFonts w:asciiTheme="minorHAnsi" w:hAnsiTheme="minorHAnsi"/>
                <w:color w:val="262626" w:themeColor="text1" w:themeTint="D9"/>
                <w:sz w:val="21"/>
                <w:szCs w:val="21"/>
              </w:rPr>
              <w:t>)</w:t>
            </w:r>
          </w:p>
        </w:tc>
        <w:tc>
          <w:tcPr>
            <w:tcW w:w="992" w:type="dxa"/>
            <w:shd w:val="clear" w:color="auto" w:fill="ACD08C"/>
          </w:tcPr>
          <w:p w:rsidR="00DA47B3" w:rsidRPr="00AA057E" w:rsidRDefault="00DA47B3" w:rsidP="00DA47B3">
            <w:pPr>
              <w:pStyle w:val="BodyText"/>
              <w:spacing w:before="0" w:after="0" w:line="240" w:lineRule="auto"/>
              <w:rPr>
                <w:color w:val="262626" w:themeColor="text1" w:themeTint="D9"/>
                <w:sz w:val="21"/>
                <w:szCs w:val="21"/>
              </w:rPr>
            </w:pPr>
            <w:r w:rsidRPr="00AA057E">
              <w:rPr>
                <w:rFonts w:asciiTheme="minorHAnsi" w:hAnsiTheme="minorHAnsi"/>
                <w:b/>
                <w:color w:val="262626" w:themeColor="text1" w:themeTint="D9"/>
                <w:sz w:val="21"/>
                <w:szCs w:val="21"/>
              </w:rPr>
              <w:t>Agree</w:t>
            </w:r>
          </w:p>
        </w:tc>
        <w:tc>
          <w:tcPr>
            <w:tcW w:w="3827" w:type="dxa"/>
          </w:tcPr>
          <w:p w:rsidR="00DA47B3" w:rsidRPr="00AA057E" w:rsidRDefault="00DA47B3"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We agree that it is important that the different modalities of support be analysed from a number of perspectives, including </w:t>
            </w:r>
            <w:r w:rsidRPr="00AA057E">
              <w:rPr>
                <w:rFonts w:asciiTheme="minorHAnsi" w:hAnsiTheme="minorHAnsi"/>
                <w:color w:val="262626" w:themeColor="text1" w:themeTint="D9"/>
                <w:sz w:val="21"/>
                <w:szCs w:val="21"/>
              </w:rPr>
              <w:t>costs and benefits</w:t>
            </w:r>
            <w:r w:rsidRPr="00AA057E">
              <w:rPr>
                <w:rFonts w:ascii="Calibri Light" w:hAnsi="Calibri Light" w:cs="Calibri Light"/>
                <w:color w:val="262626" w:themeColor="text1" w:themeTint="D9"/>
                <w:sz w:val="21"/>
                <w:szCs w:val="21"/>
              </w:rPr>
              <w:t xml:space="preserve">.  Likewise, we see the opportunity to compare the Precinct’s modalities against other investments focused on learning outcomes (e.g. Australia Awards). </w:t>
            </w:r>
          </w:p>
        </w:tc>
        <w:tc>
          <w:tcPr>
            <w:tcW w:w="3544" w:type="dxa"/>
          </w:tcPr>
          <w:p w:rsidR="00DA47B3" w:rsidRPr="00AA057E" w:rsidRDefault="00DA47B3"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The readjusted design outlines an approach to ensure any courses supported and enhanced by The Precinct will focus on commercial viability and affordability for GoPNG at the national and sub-national level. </w:t>
            </w:r>
          </w:p>
        </w:tc>
        <w:tc>
          <w:tcPr>
            <w:tcW w:w="1275" w:type="dxa"/>
          </w:tcPr>
          <w:p w:rsidR="00DA47B3" w:rsidRPr="00AA057E" w:rsidRDefault="00DA47B3" w:rsidP="00DA47B3">
            <w:pPr>
              <w:pStyle w:val="BodyText"/>
              <w:spacing w:before="0" w:after="0" w:line="240" w:lineRule="auto"/>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Early 2020</w:t>
            </w:r>
          </w:p>
        </w:tc>
      </w:tr>
      <w:tr w:rsidR="00DA47B3" w:rsidRPr="00AA057E" w:rsidTr="00903F43">
        <w:trPr>
          <w:cnfStyle w:val="000000100000" w:firstRow="0" w:lastRow="0" w:firstColumn="0" w:lastColumn="0" w:oddVBand="0" w:evenVBand="0" w:oddHBand="1" w:evenHBand="0" w:firstRowFirstColumn="0" w:firstRowLastColumn="0" w:lastRowFirstColumn="0" w:lastRowLastColumn="0"/>
        </w:trPr>
        <w:tc>
          <w:tcPr>
            <w:tcW w:w="5529" w:type="dxa"/>
          </w:tcPr>
          <w:p w:rsidR="00DA47B3" w:rsidRPr="00AA057E" w:rsidRDefault="00DA47B3" w:rsidP="00903F43">
            <w:pPr>
              <w:pStyle w:val="BodyText"/>
              <w:spacing w:before="0" w:after="0" w:line="240" w:lineRule="auto"/>
              <w:ind w:left="82" w:right="118"/>
              <w:rPr>
                <w:color w:val="404040" w:themeColor="text1" w:themeTint="BF"/>
                <w:sz w:val="21"/>
                <w:szCs w:val="21"/>
                <w:lang w:val="en-AU"/>
              </w:rPr>
            </w:pPr>
            <w:r w:rsidRPr="00AA057E">
              <w:rPr>
                <w:color w:val="404040" w:themeColor="text1" w:themeTint="BF"/>
                <w:sz w:val="21"/>
                <w:szCs w:val="21"/>
                <w:lang w:val="en-AU"/>
              </w:rPr>
              <w:t>R21</w:t>
            </w:r>
            <w:r w:rsidRPr="00AA057E">
              <w:rPr>
                <w:color w:val="262626" w:themeColor="text1" w:themeTint="D9"/>
                <w:sz w:val="21"/>
                <w:szCs w:val="21"/>
                <w:lang w:val="en-AU"/>
              </w:rPr>
              <w:t xml:space="preserve"> – </w:t>
            </w:r>
            <w:r w:rsidRPr="00AA057E">
              <w:rPr>
                <w:color w:val="404040" w:themeColor="text1" w:themeTint="BF"/>
                <w:sz w:val="21"/>
                <w:szCs w:val="21"/>
                <w:lang w:val="en-AU"/>
              </w:rPr>
              <w:t>Ownership and sustainability</w:t>
            </w:r>
          </w:p>
          <w:p w:rsidR="00DA47B3" w:rsidRPr="00AA057E" w:rsidRDefault="00DA47B3" w:rsidP="00903F43">
            <w:pPr>
              <w:pStyle w:val="BodyText"/>
              <w:spacing w:before="40" w:after="0" w:line="240" w:lineRule="auto"/>
              <w:ind w:left="82" w:right="118"/>
              <w:rPr>
                <w:rFonts w:asciiTheme="minorHAnsi" w:hAnsiTheme="minorHAnsi"/>
                <w:color w:val="404040" w:themeColor="text1" w:themeTint="BF"/>
                <w:sz w:val="21"/>
                <w:szCs w:val="21"/>
              </w:rPr>
            </w:pPr>
            <w:r w:rsidRPr="00AA057E">
              <w:rPr>
                <w:rFonts w:asciiTheme="minorHAnsi" w:hAnsiTheme="minorHAnsi"/>
                <w:color w:val="404040" w:themeColor="text1" w:themeTint="BF"/>
                <w:sz w:val="21"/>
                <w:szCs w:val="21"/>
              </w:rPr>
              <w:t>As part of the design strengthening process, be open to testing whether separating the SBPP and PILAG projects is a more workable option.  (For consideration by DPM, DHERST and DFAT/AHC</w:t>
            </w:r>
            <w:r w:rsidR="00DC0E48">
              <w:rPr>
                <w:rFonts w:asciiTheme="minorHAnsi" w:hAnsiTheme="minorHAnsi"/>
                <w:color w:val="404040" w:themeColor="text1" w:themeTint="BF"/>
                <w:sz w:val="21"/>
                <w:szCs w:val="21"/>
              </w:rPr>
              <w:t>.</w:t>
            </w:r>
            <w:r w:rsidRPr="00AA057E">
              <w:rPr>
                <w:rFonts w:asciiTheme="minorHAnsi" w:hAnsiTheme="minorHAnsi"/>
                <w:color w:val="404040" w:themeColor="text1" w:themeTint="BF"/>
                <w:sz w:val="21"/>
                <w:szCs w:val="21"/>
              </w:rPr>
              <w:t>)</w:t>
            </w:r>
          </w:p>
        </w:tc>
        <w:tc>
          <w:tcPr>
            <w:tcW w:w="992" w:type="dxa"/>
            <w:shd w:val="clear" w:color="auto" w:fill="ACD08C" w:themeFill="accent3"/>
          </w:tcPr>
          <w:p w:rsidR="00DA47B3" w:rsidRPr="00AA057E" w:rsidRDefault="00DA47B3" w:rsidP="00DA47B3">
            <w:pPr>
              <w:pStyle w:val="BodyText"/>
              <w:spacing w:before="0" w:after="0" w:line="240" w:lineRule="auto"/>
              <w:rPr>
                <w:color w:val="404040" w:themeColor="text1" w:themeTint="BF"/>
                <w:sz w:val="21"/>
                <w:szCs w:val="21"/>
              </w:rPr>
            </w:pPr>
            <w:r w:rsidRPr="00AA057E">
              <w:rPr>
                <w:rFonts w:asciiTheme="minorHAnsi" w:hAnsiTheme="minorHAnsi"/>
                <w:b/>
                <w:color w:val="404040" w:themeColor="text1" w:themeTint="BF"/>
                <w:sz w:val="21"/>
                <w:szCs w:val="21"/>
              </w:rPr>
              <w:t>Agree</w:t>
            </w:r>
          </w:p>
        </w:tc>
        <w:tc>
          <w:tcPr>
            <w:tcW w:w="3827" w:type="dxa"/>
          </w:tcPr>
          <w:p w:rsidR="00DA47B3" w:rsidRPr="00AA057E" w:rsidRDefault="00DA47B3" w:rsidP="00903F43">
            <w:pPr>
              <w:pStyle w:val="BodyText"/>
              <w:spacing w:before="0" w:after="0" w:line="240" w:lineRule="auto"/>
              <w:ind w:left="79" w:right="114"/>
              <w:rPr>
                <w:rFonts w:ascii="Calibri Light" w:hAnsi="Calibri Light" w:cs="Calibri Light"/>
                <w:color w:val="404040" w:themeColor="text1" w:themeTint="BF"/>
                <w:sz w:val="21"/>
                <w:szCs w:val="21"/>
              </w:rPr>
            </w:pPr>
            <w:r w:rsidRPr="00AA057E">
              <w:rPr>
                <w:rFonts w:ascii="Calibri Light" w:hAnsi="Calibri Light" w:cs="Calibri Light"/>
                <w:color w:val="262626" w:themeColor="text1" w:themeTint="D9"/>
                <w:sz w:val="21"/>
                <w:szCs w:val="21"/>
              </w:rPr>
              <w:t xml:space="preserve">Consultations with the PNG Government reconfirmed Precinct’s focus should be on public sector capability and leadership development.  As such, DFAT agrees to separate our institutional strengthening support for the SBPP from the Precinct in the adjusted design.  </w:t>
            </w:r>
          </w:p>
        </w:tc>
        <w:tc>
          <w:tcPr>
            <w:tcW w:w="3544" w:type="dxa"/>
          </w:tcPr>
          <w:p w:rsidR="00DA47B3" w:rsidRPr="00AA057E" w:rsidRDefault="00DA47B3" w:rsidP="00903F43">
            <w:pPr>
              <w:pStyle w:val="BodyText"/>
              <w:spacing w:before="0" w:after="0" w:line="240" w:lineRule="auto"/>
              <w:ind w:left="81" w:right="110"/>
              <w:rPr>
                <w:rFonts w:ascii="Calibri Light" w:hAnsi="Calibri Light" w:cs="Calibri Light"/>
                <w:color w:val="404040" w:themeColor="text1" w:themeTint="BF"/>
                <w:sz w:val="21"/>
                <w:szCs w:val="21"/>
              </w:rPr>
            </w:pPr>
            <w:r w:rsidRPr="00AA057E">
              <w:rPr>
                <w:rFonts w:ascii="Calibri Light" w:hAnsi="Calibri Light" w:cs="Calibri Light"/>
                <w:color w:val="262626" w:themeColor="text1" w:themeTint="D9"/>
                <w:sz w:val="21"/>
                <w:szCs w:val="21"/>
              </w:rPr>
              <w:t xml:space="preserve">DFAT has separated the institutional strengthening support for the SBPP from the Precinct.  </w:t>
            </w:r>
          </w:p>
        </w:tc>
        <w:tc>
          <w:tcPr>
            <w:tcW w:w="1275" w:type="dxa"/>
          </w:tcPr>
          <w:p w:rsidR="00DA47B3" w:rsidRPr="00AA057E" w:rsidRDefault="00DA47B3" w:rsidP="00DA47B3">
            <w:pPr>
              <w:pStyle w:val="BodyText"/>
              <w:spacing w:before="0" w:after="0" w:line="240" w:lineRule="auto"/>
              <w:rPr>
                <w:rFonts w:ascii="Calibri Light" w:hAnsi="Calibri Light" w:cs="Calibri Light"/>
                <w:color w:val="404040" w:themeColor="text1" w:themeTint="BF"/>
                <w:sz w:val="21"/>
                <w:szCs w:val="21"/>
              </w:rPr>
            </w:pPr>
            <w:r w:rsidRPr="00AA057E">
              <w:rPr>
                <w:rFonts w:ascii="Calibri Light" w:hAnsi="Calibri Light" w:cs="Calibri Light"/>
                <w:color w:val="404040" w:themeColor="text1" w:themeTint="BF"/>
                <w:sz w:val="21"/>
                <w:szCs w:val="21"/>
              </w:rPr>
              <w:t xml:space="preserve">Completed </w:t>
            </w:r>
          </w:p>
        </w:tc>
      </w:tr>
      <w:tr w:rsidR="00DA47B3" w:rsidRPr="00590FDA" w:rsidTr="00870A6D">
        <w:trPr>
          <w:trHeight w:val="1438"/>
        </w:trPr>
        <w:tc>
          <w:tcPr>
            <w:tcW w:w="5529" w:type="dxa"/>
          </w:tcPr>
          <w:p w:rsidR="00DA47B3" w:rsidRPr="00AA057E" w:rsidRDefault="00DA47B3" w:rsidP="00903F43">
            <w:pPr>
              <w:pStyle w:val="BodyText"/>
              <w:spacing w:before="0" w:after="0" w:line="240" w:lineRule="auto"/>
              <w:ind w:left="82" w:right="118"/>
              <w:rPr>
                <w:rFonts w:asciiTheme="minorHAnsi" w:hAnsiTheme="minorHAnsi"/>
                <w:color w:val="404040" w:themeColor="text1" w:themeTint="BF"/>
                <w:sz w:val="21"/>
                <w:szCs w:val="21"/>
              </w:rPr>
            </w:pPr>
            <w:r w:rsidRPr="00AA057E">
              <w:rPr>
                <w:color w:val="404040" w:themeColor="text1" w:themeTint="BF"/>
                <w:sz w:val="21"/>
                <w:szCs w:val="21"/>
                <w:lang w:val="en-AU"/>
              </w:rPr>
              <w:t>R22</w:t>
            </w:r>
            <w:r w:rsidRPr="00AA057E">
              <w:rPr>
                <w:color w:val="262626" w:themeColor="text1" w:themeTint="D9"/>
                <w:sz w:val="21"/>
                <w:szCs w:val="21"/>
                <w:lang w:val="en-AU"/>
              </w:rPr>
              <w:t xml:space="preserve"> – </w:t>
            </w:r>
            <w:r w:rsidRPr="00AA057E">
              <w:rPr>
                <w:color w:val="404040" w:themeColor="text1" w:themeTint="BF"/>
                <w:sz w:val="21"/>
                <w:szCs w:val="21"/>
                <w:lang w:val="en-AU"/>
              </w:rPr>
              <w:t>Ownership and sustainability</w:t>
            </w:r>
          </w:p>
          <w:p w:rsidR="00DA47B3" w:rsidRPr="00AA057E" w:rsidRDefault="00DA47B3" w:rsidP="00903F43">
            <w:pPr>
              <w:pStyle w:val="BodyText"/>
              <w:spacing w:before="0" w:after="0" w:line="240" w:lineRule="auto"/>
              <w:ind w:left="82" w:right="118"/>
              <w:rPr>
                <w:rFonts w:asciiTheme="minorHAnsi" w:hAnsiTheme="minorHAnsi"/>
                <w:color w:val="404040" w:themeColor="text1" w:themeTint="BF"/>
                <w:sz w:val="21"/>
                <w:szCs w:val="21"/>
              </w:rPr>
            </w:pPr>
            <w:r w:rsidRPr="00AA057E">
              <w:rPr>
                <w:rFonts w:asciiTheme="minorHAnsi" w:hAnsiTheme="minorHAnsi"/>
                <w:color w:val="404040" w:themeColor="text1" w:themeTint="BF"/>
                <w:sz w:val="21"/>
                <w:szCs w:val="21"/>
              </w:rPr>
              <w:t>Consider using a wider range of PNG, Australian, or international partners to deliver the updated Precinct strategy, as other organisations may offer better value for money or unique skills which would better support sustainability.  (For consideration by JSC and DFAT/AHC</w:t>
            </w:r>
            <w:r w:rsidR="00A96E0A">
              <w:rPr>
                <w:rFonts w:asciiTheme="minorHAnsi" w:hAnsiTheme="minorHAnsi"/>
                <w:color w:val="404040" w:themeColor="text1" w:themeTint="BF"/>
                <w:sz w:val="21"/>
                <w:szCs w:val="21"/>
              </w:rPr>
              <w:t>.</w:t>
            </w:r>
            <w:r w:rsidRPr="00AA057E">
              <w:rPr>
                <w:rFonts w:asciiTheme="minorHAnsi" w:hAnsiTheme="minorHAnsi"/>
                <w:color w:val="404040" w:themeColor="text1" w:themeTint="BF"/>
                <w:sz w:val="21"/>
                <w:szCs w:val="21"/>
              </w:rPr>
              <w:t>)</w:t>
            </w:r>
          </w:p>
        </w:tc>
        <w:tc>
          <w:tcPr>
            <w:tcW w:w="992" w:type="dxa"/>
            <w:shd w:val="clear" w:color="auto" w:fill="FFCC66"/>
          </w:tcPr>
          <w:p w:rsidR="00DA47B3" w:rsidRPr="00AA057E" w:rsidRDefault="00DA47B3" w:rsidP="00DA47B3">
            <w:pPr>
              <w:pStyle w:val="BodyText"/>
              <w:spacing w:before="0" w:after="0" w:line="240" w:lineRule="auto"/>
              <w:rPr>
                <w:color w:val="404040" w:themeColor="text1" w:themeTint="BF"/>
                <w:sz w:val="21"/>
                <w:szCs w:val="21"/>
              </w:rPr>
            </w:pPr>
            <w:r w:rsidRPr="00AA057E">
              <w:rPr>
                <w:rFonts w:asciiTheme="minorHAnsi" w:hAnsiTheme="minorHAnsi"/>
                <w:b/>
                <w:color w:val="404040" w:themeColor="text1" w:themeTint="BF"/>
                <w:sz w:val="21"/>
                <w:szCs w:val="21"/>
              </w:rPr>
              <w:t>Agree, partially</w:t>
            </w:r>
          </w:p>
        </w:tc>
        <w:tc>
          <w:tcPr>
            <w:tcW w:w="3827" w:type="dxa"/>
          </w:tcPr>
          <w:p w:rsidR="00DA47B3" w:rsidRPr="00AA057E" w:rsidRDefault="00DA47B3" w:rsidP="00903F43">
            <w:pPr>
              <w:pStyle w:val="BodyText"/>
              <w:spacing w:before="0" w:after="0" w:line="240" w:lineRule="auto"/>
              <w:ind w:left="79" w:right="114"/>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Consistent with PNG Government’s advice, it is important that the provision of professional development fall under the auspices of the </w:t>
            </w:r>
            <w:r w:rsidR="006E0A9C">
              <w:rPr>
                <w:rFonts w:ascii="Calibri Light" w:hAnsi="Calibri Light" w:cs="Calibri Light"/>
                <w:color w:val="262626" w:themeColor="text1" w:themeTint="D9"/>
                <w:sz w:val="21"/>
                <w:szCs w:val="21"/>
              </w:rPr>
              <w:t>PILAG</w:t>
            </w:r>
            <w:r w:rsidRPr="00AA057E">
              <w:rPr>
                <w:rFonts w:ascii="Calibri Light" w:hAnsi="Calibri Light" w:cs="Calibri Light"/>
                <w:color w:val="262626" w:themeColor="text1" w:themeTint="D9"/>
                <w:sz w:val="21"/>
                <w:szCs w:val="21"/>
              </w:rPr>
              <w:t xml:space="preserve"> and, where appropriate, other selected PNG training institutions.  Where appropriate, we agree partnerships – that clearly focus on capacity development – with Australian or other international institutions can be supported.</w:t>
            </w:r>
            <w:r w:rsidRPr="00AA057E" w:rsidDel="00617199">
              <w:rPr>
                <w:rFonts w:ascii="Calibri Light" w:hAnsi="Calibri Light" w:cs="Calibri Light"/>
                <w:color w:val="262626" w:themeColor="text1" w:themeTint="D9"/>
                <w:sz w:val="21"/>
                <w:szCs w:val="21"/>
              </w:rPr>
              <w:t xml:space="preserve"> </w:t>
            </w:r>
          </w:p>
        </w:tc>
        <w:tc>
          <w:tcPr>
            <w:tcW w:w="3544" w:type="dxa"/>
          </w:tcPr>
          <w:p w:rsidR="00DA47B3" w:rsidRPr="00AA057E" w:rsidRDefault="00DA47B3" w:rsidP="00903F43">
            <w:pPr>
              <w:pStyle w:val="BodyText"/>
              <w:spacing w:before="0" w:after="0" w:line="240" w:lineRule="auto"/>
              <w:ind w:left="81" w:right="110"/>
              <w:rPr>
                <w:rFonts w:ascii="Calibri Light" w:hAnsi="Calibri Light" w:cs="Calibri Light"/>
                <w:color w:val="262626" w:themeColor="text1" w:themeTint="D9"/>
                <w:sz w:val="21"/>
                <w:szCs w:val="21"/>
              </w:rPr>
            </w:pPr>
            <w:r w:rsidRPr="00AA057E">
              <w:rPr>
                <w:rFonts w:ascii="Calibri Light" w:hAnsi="Calibri Light" w:cs="Calibri Light"/>
                <w:color w:val="262626" w:themeColor="text1" w:themeTint="D9"/>
                <w:sz w:val="21"/>
                <w:szCs w:val="21"/>
              </w:rPr>
              <w:t xml:space="preserve">The readjusted design outlines an approach to support the capabilities of local partners and training providers. </w:t>
            </w:r>
          </w:p>
        </w:tc>
        <w:tc>
          <w:tcPr>
            <w:tcW w:w="1275" w:type="dxa"/>
          </w:tcPr>
          <w:p w:rsidR="00DA47B3" w:rsidRPr="00590FDA" w:rsidRDefault="00DA47B3" w:rsidP="00DA47B3">
            <w:pPr>
              <w:pStyle w:val="BodyText"/>
              <w:spacing w:before="0" w:after="0" w:line="240" w:lineRule="auto"/>
              <w:rPr>
                <w:rFonts w:ascii="Calibri Light" w:hAnsi="Calibri Light" w:cs="Calibri Light"/>
                <w:color w:val="404040" w:themeColor="text1" w:themeTint="BF"/>
                <w:sz w:val="21"/>
                <w:szCs w:val="21"/>
              </w:rPr>
            </w:pPr>
            <w:r w:rsidRPr="00AA057E">
              <w:rPr>
                <w:rFonts w:ascii="Calibri Light" w:hAnsi="Calibri Light" w:cs="Calibri Light"/>
                <w:color w:val="404040" w:themeColor="text1" w:themeTint="BF"/>
                <w:sz w:val="21"/>
                <w:szCs w:val="21"/>
              </w:rPr>
              <w:t>Early 2020</w:t>
            </w:r>
          </w:p>
        </w:tc>
      </w:tr>
      <w:bookmarkEnd w:id="1"/>
    </w:tbl>
    <w:p w:rsidR="00A72A6E" w:rsidRPr="0084663C" w:rsidRDefault="00A72A6E" w:rsidP="00C244AF">
      <w:pPr>
        <w:pStyle w:val="BodyText"/>
        <w:rPr>
          <w:sz w:val="2"/>
          <w:lang w:val="en-AU"/>
        </w:rPr>
      </w:pPr>
    </w:p>
    <w:sectPr w:rsidR="00A72A6E" w:rsidRPr="0084663C" w:rsidSect="00E26326">
      <w:headerReference w:type="default" r:id="rId14"/>
      <w:footerReference w:type="default" r:id="rId15"/>
      <w:headerReference w:type="first" r:id="rId16"/>
      <w:footerReference w:type="first" r:id="rId17"/>
      <w:pgSz w:w="16838" w:h="11906" w:orient="landscape" w:code="9"/>
      <w:pgMar w:top="567" w:right="1021" w:bottom="284" w:left="1021" w:header="567"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61B" w:rsidRDefault="0024761B" w:rsidP="003A5358">
      <w:r>
        <w:separator/>
      </w:r>
    </w:p>
  </w:endnote>
  <w:endnote w:type="continuationSeparator" w:id="0">
    <w:p w:rsidR="0024761B" w:rsidRDefault="0024761B" w:rsidP="003A5358">
      <w:r>
        <w:continuationSeparator/>
      </w:r>
    </w:p>
  </w:endnote>
  <w:endnote w:type="continuationNotice" w:id="1">
    <w:p w:rsidR="0024761B" w:rsidRDefault="002476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C5" w:rsidRDefault="0050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Default="00C647A9"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rsidR="00C647A9" w:rsidRPr="009003E4" w:rsidRDefault="00C647A9" w:rsidP="003A5358">
    <w:pPr>
      <w:pStyle w:val="Footer"/>
      <w:rPr>
        <w:sz w:val="20"/>
        <w:szCs w:val="20"/>
      </w:rPr>
    </w:pPr>
    <w:r>
      <w:tab/>
    </w:r>
    <w:r>
      <w:tab/>
    </w:r>
    <w:r w:rsidRPr="009003E4">
      <w:rPr>
        <w:rStyle w:val="PageNumber"/>
        <w:sz w:val="20"/>
        <w:szCs w:val="20"/>
      </w:rPr>
      <w:fldChar w:fldCharType="begin"/>
    </w:r>
    <w:r w:rsidRPr="009003E4">
      <w:rPr>
        <w:rStyle w:val="PageNumber"/>
        <w:sz w:val="20"/>
        <w:szCs w:val="20"/>
      </w:rPr>
      <w:instrText xml:space="preserve"> PAGE   \* MERGEFORMAT </w:instrText>
    </w:r>
    <w:r w:rsidRPr="009003E4">
      <w:rPr>
        <w:rStyle w:val="PageNumber"/>
        <w:sz w:val="20"/>
        <w:szCs w:val="20"/>
      </w:rPr>
      <w:fldChar w:fldCharType="separate"/>
    </w:r>
    <w:r w:rsidR="00504FC5">
      <w:rPr>
        <w:rStyle w:val="PageNumber"/>
        <w:noProof/>
        <w:sz w:val="20"/>
        <w:szCs w:val="20"/>
      </w:rPr>
      <w:t>2</w:t>
    </w:r>
    <w:r w:rsidRPr="009003E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Pr="009003E4" w:rsidRDefault="00C647A9" w:rsidP="003A5358">
    <w:pPr>
      <w:pStyle w:val="Footer"/>
      <w:rPr>
        <w:sz w:val="20"/>
        <w:szCs w:val="20"/>
      </w:rP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9003E4">
      <w:rPr>
        <w:rStyle w:val="PageNumber"/>
        <w:sz w:val="20"/>
        <w:szCs w:val="20"/>
      </w:rPr>
      <w:fldChar w:fldCharType="begin"/>
    </w:r>
    <w:r w:rsidRPr="009003E4">
      <w:rPr>
        <w:rStyle w:val="PageNumber"/>
        <w:sz w:val="20"/>
        <w:szCs w:val="20"/>
      </w:rPr>
      <w:instrText xml:space="preserve"> PAGE   \* MERGEFORMAT </w:instrText>
    </w:r>
    <w:r w:rsidRPr="009003E4">
      <w:rPr>
        <w:rStyle w:val="PageNumber"/>
        <w:sz w:val="20"/>
        <w:szCs w:val="20"/>
      </w:rPr>
      <w:fldChar w:fldCharType="separate"/>
    </w:r>
    <w:r w:rsidR="00504FC5">
      <w:rPr>
        <w:rStyle w:val="PageNumber"/>
        <w:noProof/>
        <w:sz w:val="20"/>
        <w:szCs w:val="20"/>
      </w:rPr>
      <w:t>1</w:t>
    </w:r>
    <w:r w:rsidRPr="009003E4">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Pr="009003E4" w:rsidRDefault="00C647A9" w:rsidP="009003E4">
    <w:pPr>
      <w:pStyle w:val="Footer"/>
      <w:spacing w:line="240" w:lineRule="auto"/>
      <w:ind w:left="0" w:right="0"/>
      <w:jc w:val="right"/>
      <w:rPr>
        <w:color w:val="7F7F7F" w:themeColor="text1" w:themeTint="80"/>
        <w:sz w:val="20"/>
        <w:szCs w:val="20"/>
      </w:rPr>
    </w:pPr>
    <w:r>
      <w:rPr>
        <w:noProof/>
        <w:lang w:val="en-AU" w:eastAsia="en-AU"/>
      </w:rPr>
      <w:drawing>
        <wp:anchor distT="0" distB="0" distL="114300" distR="114300" simplePos="0" relativeHeight="251670528" behindDoc="1" locked="0" layoutInCell="1" allowOverlap="1" wp14:anchorId="0DD74CFD" wp14:editId="17B14D78">
          <wp:simplePos x="0" y="0"/>
          <wp:positionH relativeFrom="page">
            <wp:posOffset>723900</wp:posOffset>
          </wp:positionH>
          <wp:positionV relativeFrom="page">
            <wp:posOffset>10149840</wp:posOffset>
          </wp:positionV>
          <wp:extent cx="6119495" cy="382270"/>
          <wp:effectExtent l="0" t="0" r="0" b="0"/>
          <wp:wrapNone/>
          <wp:docPr id="688" name="Picture 68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sdt>
      <w:sdtPr>
        <w:id w:val="-2132315733"/>
        <w:docPartObj>
          <w:docPartGallery w:val="Page Numbers (Bottom of Page)"/>
          <w:docPartUnique/>
        </w:docPartObj>
      </w:sdtPr>
      <w:sdtEndPr>
        <w:rPr>
          <w:color w:val="7F7F7F" w:themeColor="text1" w:themeTint="80"/>
          <w:sz w:val="20"/>
          <w:szCs w:val="20"/>
        </w:rPr>
      </w:sdtEndPr>
      <w:sdtContent>
        <w:sdt>
          <w:sdtPr>
            <w:id w:val="-182508560"/>
            <w:docPartObj>
              <w:docPartGallery w:val="Page Numbers (Top of Page)"/>
              <w:docPartUnique/>
            </w:docPartObj>
          </w:sdtPr>
          <w:sdtEndPr>
            <w:rPr>
              <w:color w:val="7F7F7F" w:themeColor="text1" w:themeTint="80"/>
              <w:sz w:val="20"/>
              <w:szCs w:val="20"/>
            </w:rPr>
          </w:sdtEndPr>
          <w:sdtContent>
            <w:r w:rsidRPr="009003E4">
              <w:rPr>
                <w:color w:val="7F7F7F" w:themeColor="text1" w:themeTint="80"/>
                <w:sz w:val="20"/>
                <w:szCs w:val="20"/>
              </w:rPr>
              <w:t xml:space="preserve">Page </w:t>
            </w:r>
            <w:r w:rsidRPr="009003E4">
              <w:rPr>
                <w:b/>
                <w:bCs/>
                <w:color w:val="7F7F7F" w:themeColor="text1" w:themeTint="80"/>
                <w:sz w:val="20"/>
                <w:szCs w:val="20"/>
              </w:rPr>
              <w:fldChar w:fldCharType="begin"/>
            </w:r>
            <w:r w:rsidRPr="009003E4">
              <w:rPr>
                <w:b/>
                <w:bCs/>
                <w:color w:val="7F7F7F" w:themeColor="text1" w:themeTint="80"/>
                <w:sz w:val="20"/>
                <w:szCs w:val="20"/>
              </w:rPr>
              <w:instrText xml:space="preserve"> PAGE </w:instrText>
            </w:r>
            <w:r w:rsidRPr="009003E4">
              <w:rPr>
                <w:b/>
                <w:bCs/>
                <w:color w:val="7F7F7F" w:themeColor="text1" w:themeTint="80"/>
                <w:sz w:val="20"/>
                <w:szCs w:val="20"/>
              </w:rPr>
              <w:fldChar w:fldCharType="separate"/>
            </w:r>
            <w:r w:rsidR="00504FC5">
              <w:rPr>
                <w:b/>
                <w:bCs/>
                <w:noProof/>
                <w:color w:val="7F7F7F" w:themeColor="text1" w:themeTint="80"/>
                <w:sz w:val="20"/>
                <w:szCs w:val="20"/>
              </w:rPr>
              <w:t>8</w:t>
            </w:r>
            <w:r w:rsidRPr="009003E4">
              <w:rPr>
                <w:b/>
                <w:bCs/>
                <w:color w:val="7F7F7F" w:themeColor="text1" w:themeTint="80"/>
                <w:sz w:val="20"/>
                <w:szCs w:val="20"/>
              </w:rPr>
              <w:fldChar w:fldCharType="end"/>
            </w:r>
            <w:r w:rsidRPr="009003E4">
              <w:rPr>
                <w:color w:val="7F7F7F" w:themeColor="text1" w:themeTint="80"/>
                <w:sz w:val="20"/>
                <w:szCs w:val="20"/>
              </w:rPr>
              <w:t xml:space="preserve"> of </w:t>
            </w:r>
            <w:r w:rsidR="00841741">
              <w:rPr>
                <w:b/>
                <w:bCs/>
                <w:color w:val="7F7F7F" w:themeColor="text1" w:themeTint="80"/>
                <w:sz w:val="20"/>
                <w:szCs w:val="20"/>
              </w:rPr>
              <w:t>8</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407503"/>
      <w:docPartObj>
        <w:docPartGallery w:val="Page Numbers (Bottom of Page)"/>
        <w:docPartUnique/>
      </w:docPartObj>
    </w:sdtPr>
    <w:sdtEndPr>
      <w:rPr>
        <w:color w:val="7F7F7F" w:themeColor="text1" w:themeTint="80"/>
        <w:sz w:val="20"/>
        <w:szCs w:val="20"/>
      </w:rPr>
    </w:sdtEndPr>
    <w:sdtContent>
      <w:sdt>
        <w:sdtPr>
          <w:id w:val="-1705238520"/>
          <w:docPartObj>
            <w:docPartGallery w:val="Page Numbers (Top of Page)"/>
            <w:docPartUnique/>
          </w:docPartObj>
        </w:sdtPr>
        <w:sdtEndPr>
          <w:rPr>
            <w:color w:val="7F7F7F" w:themeColor="text1" w:themeTint="80"/>
            <w:sz w:val="20"/>
            <w:szCs w:val="20"/>
          </w:rPr>
        </w:sdtEndPr>
        <w:sdtContent>
          <w:p w:rsidR="00C647A9" w:rsidRPr="009003E4" w:rsidRDefault="00C647A9" w:rsidP="009003E4">
            <w:pPr>
              <w:pStyle w:val="Footer"/>
              <w:spacing w:line="240" w:lineRule="auto"/>
              <w:ind w:left="0" w:right="0"/>
              <w:jc w:val="right"/>
              <w:rPr>
                <w:color w:val="7F7F7F" w:themeColor="text1" w:themeTint="80"/>
                <w:sz w:val="20"/>
                <w:szCs w:val="20"/>
              </w:rPr>
            </w:pPr>
            <w:r w:rsidRPr="009003E4">
              <w:rPr>
                <w:color w:val="7F7F7F" w:themeColor="text1" w:themeTint="80"/>
                <w:sz w:val="20"/>
                <w:szCs w:val="20"/>
              </w:rPr>
              <w:t xml:space="preserve">Page </w:t>
            </w:r>
            <w:r w:rsidRPr="009003E4">
              <w:rPr>
                <w:b/>
                <w:bCs/>
                <w:color w:val="7F7F7F" w:themeColor="text1" w:themeTint="80"/>
                <w:sz w:val="20"/>
                <w:szCs w:val="20"/>
              </w:rPr>
              <w:fldChar w:fldCharType="begin"/>
            </w:r>
            <w:r w:rsidRPr="009003E4">
              <w:rPr>
                <w:b/>
                <w:bCs/>
                <w:color w:val="7F7F7F" w:themeColor="text1" w:themeTint="80"/>
                <w:sz w:val="20"/>
                <w:szCs w:val="20"/>
              </w:rPr>
              <w:instrText xml:space="preserve"> PAGE </w:instrText>
            </w:r>
            <w:r w:rsidRPr="009003E4">
              <w:rPr>
                <w:b/>
                <w:bCs/>
                <w:color w:val="7F7F7F" w:themeColor="text1" w:themeTint="80"/>
                <w:sz w:val="20"/>
                <w:szCs w:val="20"/>
              </w:rPr>
              <w:fldChar w:fldCharType="separate"/>
            </w:r>
            <w:r w:rsidR="00504FC5">
              <w:rPr>
                <w:b/>
                <w:bCs/>
                <w:noProof/>
                <w:color w:val="7F7F7F" w:themeColor="text1" w:themeTint="80"/>
                <w:sz w:val="20"/>
                <w:szCs w:val="20"/>
              </w:rPr>
              <w:t>3</w:t>
            </w:r>
            <w:r w:rsidRPr="009003E4">
              <w:rPr>
                <w:b/>
                <w:bCs/>
                <w:color w:val="7F7F7F" w:themeColor="text1" w:themeTint="80"/>
                <w:sz w:val="20"/>
                <w:szCs w:val="20"/>
              </w:rPr>
              <w:fldChar w:fldCharType="end"/>
            </w:r>
            <w:r w:rsidRPr="009003E4">
              <w:rPr>
                <w:color w:val="7F7F7F" w:themeColor="text1" w:themeTint="80"/>
                <w:sz w:val="20"/>
                <w:szCs w:val="20"/>
              </w:rPr>
              <w:t xml:space="preserve"> of </w:t>
            </w:r>
            <w:r w:rsidRPr="009003E4">
              <w:rPr>
                <w:b/>
                <w:bCs/>
                <w:color w:val="7F7F7F" w:themeColor="text1" w:themeTint="80"/>
                <w:sz w:val="20"/>
                <w:szCs w:val="20"/>
              </w:rPr>
              <w:fldChar w:fldCharType="begin"/>
            </w:r>
            <w:r w:rsidRPr="009003E4">
              <w:rPr>
                <w:b/>
                <w:bCs/>
                <w:color w:val="7F7F7F" w:themeColor="text1" w:themeTint="80"/>
                <w:sz w:val="20"/>
                <w:szCs w:val="20"/>
              </w:rPr>
              <w:instrText xml:space="preserve"> NUMPAGES  </w:instrText>
            </w:r>
            <w:r w:rsidRPr="009003E4">
              <w:rPr>
                <w:b/>
                <w:bCs/>
                <w:color w:val="7F7F7F" w:themeColor="text1" w:themeTint="80"/>
                <w:sz w:val="20"/>
                <w:szCs w:val="20"/>
              </w:rPr>
              <w:fldChar w:fldCharType="separate"/>
            </w:r>
            <w:r w:rsidR="00504FC5">
              <w:rPr>
                <w:b/>
                <w:bCs/>
                <w:noProof/>
                <w:color w:val="7F7F7F" w:themeColor="text1" w:themeTint="80"/>
                <w:sz w:val="20"/>
                <w:szCs w:val="20"/>
              </w:rPr>
              <w:t>8</w:t>
            </w:r>
            <w:r w:rsidRPr="009003E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61B" w:rsidRPr="008C5A0E" w:rsidRDefault="0024761B" w:rsidP="003A5358">
      <w:pPr>
        <w:pStyle w:val="FootnoteSeparator"/>
      </w:pPr>
    </w:p>
  </w:footnote>
  <w:footnote w:type="continuationSeparator" w:id="0">
    <w:p w:rsidR="0024761B" w:rsidRDefault="0024761B" w:rsidP="003A5358">
      <w:r>
        <w:continuationSeparator/>
      </w:r>
    </w:p>
  </w:footnote>
  <w:footnote w:type="continuationNotice" w:id="1">
    <w:p w:rsidR="0024761B" w:rsidRDefault="0024761B">
      <w:pPr>
        <w:spacing w:before="0" w:after="0" w:line="240" w:lineRule="auto"/>
      </w:pPr>
    </w:p>
  </w:footnote>
  <w:footnote w:id="2">
    <w:p w:rsidR="00C647A9" w:rsidRPr="00B66876" w:rsidRDefault="00C647A9" w:rsidP="00841741">
      <w:pPr>
        <w:pStyle w:val="FootnoteText"/>
        <w:spacing w:before="0"/>
        <w:rPr>
          <w:lang w:val="en-AU"/>
        </w:rPr>
      </w:pPr>
      <w:r>
        <w:rPr>
          <w:rStyle w:val="FootnoteReference"/>
        </w:rPr>
        <w:footnoteRef/>
      </w:r>
      <w:r>
        <w:t xml:space="preserve"> </w:t>
      </w:r>
      <w:r>
        <w:rPr>
          <w:lang w:val="en-AU"/>
        </w:rPr>
        <w:t>Ethics and Values Based Executive Leadership and Management Capability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C5" w:rsidRDefault="00504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Default="00C647A9">
    <w:pPr>
      <w:pStyle w:val="Header"/>
    </w:pPr>
    <w:r>
      <w:rPr>
        <w:noProof/>
        <w:lang w:val="en-AU" w:eastAsia="en-AU"/>
      </w:rPr>
      <w:drawing>
        <wp:anchor distT="0" distB="0" distL="114300" distR="114300" simplePos="0" relativeHeight="251662336" behindDoc="1" locked="0" layoutInCell="1" allowOverlap="1" wp14:anchorId="44FDA7BE" wp14:editId="4E5BE980">
          <wp:simplePos x="0" y="0"/>
          <wp:positionH relativeFrom="page">
            <wp:posOffset>723900</wp:posOffset>
          </wp:positionH>
          <wp:positionV relativeFrom="page">
            <wp:posOffset>180975</wp:posOffset>
          </wp:positionV>
          <wp:extent cx="6116448" cy="504825"/>
          <wp:effectExtent l="0" t="0" r="0" b="0"/>
          <wp:wrapNone/>
          <wp:docPr id="22" name="Picture 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21280" cy="505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Default="00C647A9">
    <w:pPr>
      <w:pStyle w:val="Header"/>
    </w:pPr>
    <w:r>
      <w:rPr>
        <w:noProof/>
        <w:lang w:val="en-AU" w:eastAsia="en-AU"/>
      </w:rPr>
      <w:drawing>
        <wp:anchor distT="0" distB="0" distL="114300" distR="114300" simplePos="0" relativeHeight="251666432" behindDoc="1" locked="0" layoutInCell="1" allowOverlap="1" wp14:anchorId="57744D8F" wp14:editId="0C6F08C4">
          <wp:simplePos x="0" y="0"/>
          <wp:positionH relativeFrom="page">
            <wp:posOffset>180975</wp:posOffset>
          </wp:positionH>
          <wp:positionV relativeFrom="page">
            <wp:posOffset>180975</wp:posOffset>
          </wp:positionV>
          <wp:extent cx="7198601" cy="866775"/>
          <wp:effectExtent l="0" t="0" r="2540" b="0"/>
          <wp:wrapNone/>
          <wp:docPr id="24" name="Picture 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208194" cy="867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Default="00C647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A9" w:rsidRDefault="00C64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3B139E"/>
    <w:multiLevelType w:val="hybridMultilevel"/>
    <w:tmpl w:val="57245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2724C"/>
    <w:multiLevelType w:val="hybridMultilevel"/>
    <w:tmpl w:val="B1687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7"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8" w15:restartNumberingAfterBreak="0">
    <w:nsid w:val="19DC3F80"/>
    <w:multiLevelType w:val="hybridMultilevel"/>
    <w:tmpl w:val="95125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B95AD6"/>
    <w:multiLevelType w:val="hybridMultilevel"/>
    <w:tmpl w:val="0486E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1629DE"/>
    <w:multiLevelType w:val="hybridMultilevel"/>
    <w:tmpl w:val="E77409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C6B6EA6"/>
    <w:multiLevelType w:val="hybridMultilevel"/>
    <w:tmpl w:val="B5FCF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910895"/>
    <w:multiLevelType w:val="hybridMultilevel"/>
    <w:tmpl w:val="97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3A128F"/>
    <w:multiLevelType w:val="hybridMultilevel"/>
    <w:tmpl w:val="35E02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1D24D96"/>
    <w:multiLevelType w:val="hybridMultilevel"/>
    <w:tmpl w:val="6FF0A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F47E45"/>
    <w:multiLevelType w:val="hybridMultilevel"/>
    <w:tmpl w:val="470E3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D56043A"/>
    <w:multiLevelType w:val="multilevel"/>
    <w:tmpl w:val="69AEB596"/>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E3A0F87"/>
    <w:multiLevelType w:val="multilevel"/>
    <w:tmpl w:val="7B2833DE"/>
    <w:lvl w:ilvl="0">
      <w:start w:val="2"/>
      <w:numFmt w:val="decimal"/>
      <w:pStyle w:val="AfterFirstPara"/>
      <w:lvlText w:val="%1."/>
      <w:lvlJc w:val="left"/>
      <w:pPr>
        <w:tabs>
          <w:tab w:val="num" w:pos="567"/>
        </w:tabs>
        <w:ind w:left="0" w:firstLine="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63F44EFD"/>
    <w:multiLevelType w:val="hybridMultilevel"/>
    <w:tmpl w:val="E9367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E50D1"/>
    <w:multiLevelType w:val="hybridMultilevel"/>
    <w:tmpl w:val="2146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0E2ABC"/>
    <w:multiLevelType w:val="multilevel"/>
    <w:tmpl w:val="3BBAD900"/>
    <w:numStyleLink w:val="HeadingsList"/>
  </w:abstractNum>
  <w:abstractNum w:abstractNumId="2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7" w15:restartNumberingAfterBreak="0">
    <w:nsid w:val="7914496E"/>
    <w:multiLevelType w:val="hybridMultilevel"/>
    <w:tmpl w:val="58041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C54760E"/>
    <w:multiLevelType w:val="hybridMultilevel"/>
    <w:tmpl w:val="289A0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2"/>
  </w:num>
  <w:num w:numId="3">
    <w:abstractNumId w:val="14"/>
  </w:num>
  <w:num w:numId="4">
    <w:abstractNumId w:val="17"/>
  </w:num>
  <w:num w:numId="5">
    <w:abstractNumId w:val="20"/>
  </w:num>
  <w:num w:numId="6">
    <w:abstractNumId w:val="2"/>
  </w:num>
  <w:num w:numId="7">
    <w:abstractNumId w:val="5"/>
  </w:num>
  <w:num w:numId="8">
    <w:abstractNumId w:val="2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5"/>
  </w:num>
  <w:num w:numId="17">
    <w:abstractNumId w:val="21"/>
  </w:num>
  <w:num w:numId="18">
    <w:abstractNumId w:val="12"/>
  </w:num>
  <w:num w:numId="19">
    <w:abstractNumId w:val="15"/>
  </w:num>
  <w:num w:numId="20">
    <w:abstractNumId w:val="1"/>
  </w:num>
  <w:num w:numId="21">
    <w:abstractNumId w:val="27"/>
  </w:num>
  <w:num w:numId="22">
    <w:abstractNumId w:val="4"/>
  </w:num>
  <w:num w:numId="23">
    <w:abstractNumId w:val="24"/>
  </w:num>
  <w:num w:numId="24">
    <w:abstractNumId w:val="11"/>
  </w:num>
  <w:num w:numId="25">
    <w:abstractNumId w:val="8"/>
  </w:num>
  <w:num w:numId="26">
    <w:abstractNumId w:val="13"/>
  </w:num>
  <w:num w:numId="27">
    <w:abstractNumId w:val="9"/>
  </w:num>
  <w:num w:numId="28">
    <w:abstractNumId w:val="22"/>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07F54"/>
    <w:rsid w:val="00013091"/>
    <w:rsid w:val="000136C6"/>
    <w:rsid w:val="00013F0E"/>
    <w:rsid w:val="000140EE"/>
    <w:rsid w:val="0001557F"/>
    <w:rsid w:val="000161CA"/>
    <w:rsid w:val="0001666A"/>
    <w:rsid w:val="00017366"/>
    <w:rsid w:val="0001758F"/>
    <w:rsid w:val="0002080A"/>
    <w:rsid w:val="0002336C"/>
    <w:rsid w:val="00024F6F"/>
    <w:rsid w:val="00025D1E"/>
    <w:rsid w:val="00027287"/>
    <w:rsid w:val="0002782F"/>
    <w:rsid w:val="0003165E"/>
    <w:rsid w:val="00031E6A"/>
    <w:rsid w:val="0003326E"/>
    <w:rsid w:val="000356C3"/>
    <w:rsid w:val="000372E5"/>
    <w:rsid w:val="00040A8B"/>
    <w:rsid w:val="0004319A"/>
    <w:rsid w:val="00044C32"/>
    <w:rsid w:val="00047307"/>
    <w:rsid w:val="000524C5"/>
    <w:rsid w:val="00054E4D"/>
    <w:rsid w:val="00056455"/>
    <w:rsid w:val="00057479"/>
    <w:rsid w:val="00060073"/>
    <w:rsid w:val="00061316"/>
    <w:rsid w:val="00064004"/>
    <w:rsid w:val="00067916"/>
    <w:rsid w:val="0007442B"/>
    <w:rsid w:val="0007459F"/>
    <w:rsid w:val="00087730"/>
    <w:rsid w:val="00087D48"/>
    <w:rsid w:val="00096BAD"/>
    <w:rsid w:val="000972FD"/>
    <w:rsid w:val="00097713"/>
    <w:rsid w:val="000A7FA1"/>
    <w:rsid w:val="000B3155"/>
    <w:rsid w:val="000B321A"/>
    <w:rsid w:val="000B5035"/>
    <w:rsid w:val="000C3638"/>
    <w:rsid w:val="000C7D10"/>
    <w:rsid w:val="000D1841"/>
    <w:rsid w:val="000D53CF"/>
    <w:rsid w:val="000D762B"/>
    <w:rsid w:val="000E222A"/>
    <w:rsid w:val="000E79F6"/>
    <w:rsid w:val="000E7AFD"/>
    <w:rsid w:val="000F1265"/>
    <w:rsid w:val="000F12F0"/>
    <w:rsid w:val="000F236D"/>
    <w:rsid w:val="000F2A97"/>
    <w:rsid w:val="000F7B41"/>
    <w:rsid w:val="00101A68"/>
    <w:rsid w:val="00105094"/>
    <w:rsid w:val="001055F8"/>
    <w:rsid w:val="001123DD"/>
    <w:rsid w:val="0011276D"/>
    <w:rsid w:val="001156F1"/>
    <w:rsid w:val="001214CA"/>
    <w:rsid w:val="001250CF"/>
    <w:rsid w:val="00125E4E"/>
    <w:rsid w:val="0013615E"/>
    <w:rsid w:val="00141E3E"/>
    <w:rsid w:val="00141F72"/>
    <w:rsid w:val="00146016"/>
    <w:rsid w:val="00147672"/>
    <w:rsid w:val="0015298A"/>
    <w:rsid w:val="0015356B"/>
    <w:rsid w:val="001541EA"/>
    <w:rsid w:val="00155590"/>
    <w:rsid w:val="00156A3D"/>
    <w:rsid w:val="00157A22"/>
    <w:rsid w:val="00157C34"/>
    <w:rsid w:val="00157CF5"/>
    <w:rsid w:val="0016084B"/>
    <w:rsid w:val="00165400"/>
    <w:rsid w:val="00176E78"/>
    <w:rsid w:val="00177828"/>
    <w:rsid w:val="00180A5F"/>
    <w:rsid w:val="00182852"/>
    <w:rsid w:val="001941A3"/>
    <w:rsid w:val="00196DE3"/>
    <w:rsid w:val="001A2D19"/>
    <w:rsid w:val="001A4CE4"/>
    <w:rsid w:val="001A79DE"/>
    <w:rsid w:val="001B1E88"/>
    <w:rsid w:val="001B7AF1"/>
    <w:rsid w:val="001C013B"/>
    <w:rsid w:val="001C26D1"/>
    <w:rsid w:val="001C2AA3"/>
    <w:rsid w:val="001C2CE5"/>
    <w:rsid w:val="001C5998"/>
    <w:rsid w:val="001C5C4C"/>
    <w:rsid w:val="001C7935"/>
    <w:rsid w:val="001D36D7"/>
    <w:rsid w:val="001D4767"/>
    <w:rsid w:val="001D6285"/>
    <w:rsid w:val="001D663E"/>
    <w:rsid w:val="001E0D37"/>
    <w:rsid w:val="001E1DC0"/>
    <w:rsid w:val="001E5BD0"/>
    <w:rsid w:val="001F5092"/>
    <w:rsid w:val="00203BF7"/>
    <w:rsid w:val="00211D58"/>
    <w:rsid w:val="002120C6"/>
    <w:rsid w:val="002136AA"/>
    <w:rsid w:val="00215198"/>
    <w:rsid w:val="00216DB4"/>
    <w:rsid w:val="0022167B"/>
    <w:rsid w:val="0022186C"/>
    <w:rsid w:val="00222422"/>
    <w:rsid w:val="00226E78"/>
    <w:rsid w:val="00232708"/>
    <w:rsid w:val="0023481D"/>
    <w:rsid w:val="00234A59"/>
    <w:rsid w:val="00235580"/>
    <w:rsid w:val="00240892"/>
    <w:rsid w:val="0024216C"/>
    <w:rsid w:val="0024653B"/>
    <w:rsid w:val="0024761B"/>
    <w:rsid w:val="00250248"/>
    <w:rsid w:val="00251AFA"/>
    <w:rsid w:val="00253405"/>
    <w:rsid w:val="002573DB"/>
    <w:rsid w:val="00260099"/>
    <w:rsid w:val="002607B0"/>
    <w:rsid w:val="00271503"/>
    <w:rsid w:val="002715F5"/>
    <w:rsid w:val="002723B0"/>
    <w:rsid w:val="0027241E"/>
    <w:rsid w:val="00272B56"/>
    <w:rsid w:val="00276B76"/>
    <w:rsid w:val="00280E11"/>
    <w:rsid w:val="00283EFE"/>
    <w:rsid w:val="00284024"/>
    <w:rsid w:val="00284481"/>
    <w:rsid w:val="00285C95"/>
    <w:rsid w:val="0028602A"/>
    <w:rsid w:val="00286E90"/>
    <w:rsid w:val="00286EDD"/>
    <w:rsid w:val="00291CAE"/>
    <w:rsid w:val="002921CE"/>
    <w:rsid w:val="0029542A"/>
    <w:rsid w:val="002B1079"/>
    <w:rsid w:val="002B22C4"/>
    <w:rsid w:val="002B6725"/>
    <w:rsid w:val="002B6DCB"/>
    <w:rsid w:val="002C0C6F"/>
    <w:rsid w:val="002C1EB6"/>
    <w:rsid w:val="002C26AC"/>
    <w:rsid w:val="002C4C18"/>
    <w:rsid w:val="002C6538"/>
    <w:rsid w:val="002D0FF4"/>
    <w:rsid w:val="002D3C54"/>
    <w:rsid w:val="002D43C3"/>
    <w:rsid w:val="002D484F"/>
    <w:rsid w:val="002D5825"/>
    <w:rsid w:val="002D7F43"/>
    <w:rsid w:val="002F02E7"/>
    <w:rsid w:val="002F1BDC"/>
    <w:rsid w:val="002F26FD"/>
    <w:rsid w:val="002F782D"/>
    <w:rsid w:val="003002C0"/>
    <w:rsid w:val="00301144"/>
    <w:rsid w:val="0030179D"/>
    <w:rsid w:val="00302E4B"/>
    <w:rsid w:val="003039E5"/>
    <w:rsid w:val="0031097F"/>
    <w:rsid w:val="00312D81"/>
    <w:rsid w:val="0031432C"/>
    <w:rsid w:val="003148B7"/>
    <w:rsid w:val="003158C3"/>
    <w:rsid w:val="00317188"/>
    <w:rsid w:val="00324CD5"/>
    <w:rsid w:val="003274CD"/>
    <w:rsid w:val="00332FA2"/>
    <w:rsid w:val="00333501"/>
    <w:rsid w:val="00334BC1"/>
    <w:rsid w:val="00337B31"/>
    <w:rsid w:val="00337D35"/>
    <w:rsid w:val="00342645"/>
    <w:rsid w:val="00343E2A"/>
    <w:rsid w:val="003457C4"/>
    <w:rsid w:val="00346155"/>
    <w:rsid w:val="003508A8"/>
    <w:rsid w:val="0035119D"/>
    <w:rsid w:val="0035513B"/>
    <w:rsid w:val="00355610"/>
    <w:rsid w:val="003567C7"/>
    <w:rsid w:val="00363B3C"/>
    <w:rsid w:val="003653B1"/>
    <w:rsid w:val="00367856"/>
    <w:rsid w:val="00375712"/>
    <w:rsid w:val="00376B70"/>
    <w:rsid w:val="0038203A"/>
    <w:rsid w:val="00383B26"/>
    <w:rsid w:val="003871B5"/>
    <w:rsid w:val="00392BFF"/>
    <w:rsid w:val="003944BF"/>
    <w:rsid w:val="003A123D"/>
    <w:rsid w:val="003A1284"/>
    <w:rsid w:val="003A1702"/>
    <w:rsid w:val="003A5358"/>
    <w:rsid w:val="003A5CD1"/>
    <w:rsid w:val="003A6861"/>
    <w:rsid w:val="003A6885"/>
    <w:rsid w:val="003B4F12"/>
    <w:rsid w:val="003B7805"/>
    <w:rsid w:val="003C14B8"/>
    <w:rsid w:val="003C2AD0"/>
    <w:rsid w:val="003C5515"/>
    <w:rsid w:val="003D4F79"/>
    <w:rsid w:val="003D7D08"/>
    <w:rsid w:val="003D7F56"/>
    <w:rsid w:val="003E038E"/>
    <w:rsid w:val="003E0442"/>
    <w:rsid w:val="003E2E08"/>
    <w:rsid w:val="003E32FA"/>
    <w:rsid w:val="003E6D84"/>
    <w:rsid w:val="003F163B"/>
    <w:rsid w:val="003F2F48"/>
    <w:rsid w:val="003F3DE0"/>
    <w:rsid w:val="003F525E"/>
    <w:rsid w:val="003F734A"/>
    <w:rsid w:val="00403188"/>
    <w:rsid w:val="00403A85"/>
    <w:rsid w:val="00403DDB"/>
    <w:rsid w:val="00406F49"/>
    <w:rsid w:val="004110BB"/>
    <w:rsid w:val="00413589"/>
    <w:rsid w:val="0041430C"/>
    <w:rsid w:val="004144E9"/>
    <w:rsid w:val="004147BD"/>
    <w:rsid w:val="004172E6"/>
    <w:rsid w:val="004203A3"/>
    <w:rsid w:val="0042098F"/>
    <w:rsid w:val="004215E7"/>
    <w:rsid w:val="004230ED"/>
    <w:rsid w:val="00423F31"/>
    <w:rsid w:val="0042455D"/>
    <w:rsid w:val="00425CB9"/>
    <w:rsid w:val="00426C51"/>
    <w:rsid w:val="004270F9"/>
    <w:rsid w:val="00427B4D"/>
    <w:rsid w:val="00431899"/>
    <w:rsid w:val="004341BD"/>
    <w:rsid w:val="00436291"/>
    <w:rsid w:val="0043774F"/>
    <w:rsid w:val="00437A5A"/>
    <w:rsid w:val="00445E49"/>
    <w:rsid w:val="004513D0"/>
    <w:rsid w:val="004533B5"/>
    <w:rsid w:val="00456819"/>
    <w:rsid w:val="0046198B"/>
    <w:rsid w:val="00461F32"/>
    <w:rsid w:val="004636A2"/>
    <w:rsid w:val="00467695"/>
    <w:rsid w:val="00471F05"/>
    <w:rsid w:val="00473D7A"/>
    <w:rsid w:val="0047483B"/>
    <w:rsid w:val="0047491E"/>
    <w:rsid w:val="004778BE"/>
    <w:rsid w:val="0048174A"/>
    <w:rsid w:val="00481CA0"/>
    <w:rsid w:val="00484D1C"/>
    <w:rsid w:val="00486804"/>
    <w:rsid w:val="00486BA0"/>
    <w:rsid w:val="00486C3D"/>
    <w:rsid w:val="00490122"/>
    <w:rsid w:val="00491473"/>
    <w:rsid w:val="00492602"/>
    <w:rsid w:val="004945E0"/>
    <w:rsid w:val="00495F8E"/>
    <w:rsid w:val="00496CC8"/>
    <w:rsid w:val="004971E7"/>
    <w:rsid w:val="00497A59"/>
    <w:rsid w:val="004A3947"/>
    <w:rsid w:val="004B22F1"/>
    <w:rsid w:val="004B3775"/>
    <w:rsid w:val="004C1A1A"/>
    <w:rsid w:val="004D0AEE"/>
    <w:rsid w:val="004D336E"/>
    <w:rsid w:val="004D633C"/>
    <w:rsid w:val="004E058F"/>
    <w:rsid w:val="004E33F2"/>
    <w:rsid w:val="004E391E"/>
    <w:rsid w:val="004E3B87"/>
    <w:rsid w:val="004E4041"/>
    <w:rsid w:val="004E7E9F"/>
    <w:rsid w:val="004F2CEC"/>
    <w:rsid w:val="004F6167"/>
    <w:rsid w:val="005003F8"/>
    <w:rsid w:val="00501EA3"/>
    <w:rsid w:val="0050405D"/>
    <w:rsid w:val="00504FC5"/>
    <w:rsid w:val="005061C7"/>
    <w:rsid w:val="00510921"/>
    <w:rsid w:val="00510AD3"/>
    <w:rsid w:val="00513348"/>
    <w:rsid w:val="005143FC"/>
    <w:rsid w:val="00516D1F"/>
    <w:rsid w:val="005173AF"/>
    <w:rsid w:val="00521B2A"/>
    <w:rsid w:val="005254AE"/>
    <w:rsid w:val="005256ED"/>
    <w:rsid w:val="00525A47"/>
    <w:rsid w:val="00533640"/>
    <w:rsid w:val="00533B5D"/>
    <w:rsid w:val="00534683"/>
    <w:rsid w:val="00534BE6"/>
    <w:rsid w:val="00536F42"/>
    <w:rsid w:val="00540158"/>
    <w:rsid w:val="00540268"/>
    <w:rsid w:val="00540B94"/>
    <w:rsid w:val="0054216B"/>
    <w:rsid w:val="00547289"/>
    <w:rsid w:val="00552BFE"/>
    <w:rsid w:val="00552DA3"/>
    <w:rsid w:val="005536C4"/>
    <w:rsid w:val="0056172E"/>
    <w:rsid w:val="005619F6"/>
    <w:rsid w:val="00562B0F"/>
    <w:rsid w:val="00564F21"/>
    <w:rsid w:val="005659E0"/>
    <w:rsid w:val="00567C95"/>
    <w:rsid w:val="00570DE0"/>
    <w:rsid w:val="00570F54"/>
    <w:rsid w:val="0057225D"/>
    <w:rsid w:val="0057445B"/>
    <w:rsid w:val="005766C6"/>
    <w:rsid w:val="00580BDB"/>
    <w:rsid w:val="0058458D"/>
    <w:rsid w:val="0058530D"/>
    <w:rsid w:val="005870B5"/>
    <w:rsid w:val="00590C4D"/>
    <w:rsid w:val="00590FDA"/>
    <w:rsid w:val="00596DED"/>
    <w:rsid w:val="005A3526"/>
    <w:rsid w:val="005A394B"/>
    <w:rsid w:val="005A3FD9"/>
    <w:rsid w:val="005B583F"/>
    <w:rsid w:val="005C18AC"/>
    <w:rsid w:val="005C4B23"/>
    <w:rsid w:val="005C618F"/>
    <w:rsid w:val="005C6500"/>
    <w:rsid w:val="005C70FA"/>
    <w:rsid w:val="005D0990"/>
    <w:rsid w:val="005D1E4D"/>
    <w:rsid w:val="005D6697"/>
    <w:rsid w:val="005E295B"/>
    <w:rsid w:val="005E709D"/>
    <w:rsid w:val="005F0701"/>
    <w:rsid w:val="005F086C"/>
    <w:rsid w:val="005F1D57"/>
    <w:rsid w:val="005F5F3F"/>
    <w:rsid w:val="00601C9E"/>
    <w:rsid w:val="006104A9"/>
    <w:rsid w:val="00617199"/>
    <w:rsid w:val="00617530"/>
    <w:rsid w:val="00617926"/>
    <w:rsid w:val="006222A8"/>
    <w:rsid w:val="00622F32"/>
    <w:rsid w:val="00623BA1"/>
    <w:rsid w:val="00627558"/>
    <w:rsid w:val="006346BC"/>
    <w:rsid w:val="006421CF"/>
    <w:rsid w:val="00644BE5"/>
    <w:rsid w:val="00652BF6"/>
    <w:rsid w:val="0065396E"/>
    <w:rsid w:val="00655169"/>
    <w:rsid w:val="00656BDC"/>
    <w:rsid w:val="0065749D"/>
    <w:rsid w:val="00660AF5"/>
    <w:rsid w:val="00661748"/>
    <w:rsid w:val="00663BB9"/>
    <w:rsid w:val="0066533B"/>
    <w:rsid w:val="006657A7"/>
    <w:rsid w:val="0066652A"/>
    <w:rsid w:val="00682167"/>
    <w:rsid w:val="00686E76"/>
    <w:rsid w:val="00687B3B"/>
    <w:rsid w:val="006922D7"/>
    <w:rsid w:val="00693FEF"/>
    <w:rsid w:val="006955FB"/>
    <w:rsid w:val="006B0E2A"/>
    <w:rsid w:val="006C0B83"/>
    <w:rsid w:val="006C3042"/>
    <w:rsid w:val="006C42AF"/>
    <w:rsid w:val="006C483E"/>
    <w:rsid w:val="006C5618"/>
    <w:rsid w:val="006C630A"/>
    <w:rsid w:val="006D052B"/>
    <w:rsid w:val="006D1678"/>
    <w:rsid w:val="006D3831"/>
    <w:rsid w:val="006E0A9C"/>
    <w:rsid w:val="006E2A12"/>
    <w:rsid w:val="006E2E01"/>
    <w:rsid w:val="006F0606"/>
    <w:rsid w:val="006F1FD6"/>
    <w:rsid w:val="006F682D"/>
    <w:rsid w:val="006F7225"/>
    <w:rsid w:val="00700B3A"/>
    <w:rsid w:val="00706FDE"/>
    <w:rsid w:val="007071DB"/>
    <w:rsid w:val="0071086E"/>
    <w:rsid w:val="00710AC4"/>
    <w:rsid w:val="00711D8E"/>
    <w:rsid w:val="00712672"/>
    <w:rsid w:val="007128E8"/>
    <w:rsid w:val="00714D04"/>
    <w:rsid w:val="007217E9"/>
    <w:rsid w:val="007217FC"/>
    <w:rsid w:val="007221FF"/>
    <w:rsid w:val="00725A9C"/>
    <w:rsid w:val="0073090F"/>
    <w:rsid w:val="00731A39"/>
    <w:rsid w:val="00732CA1"/>
    <w:rsid w:val="00734E3F"/>
    <w:rsid w:val="00736985"/>
    <w:rsid w:val="00741C01"/>
    <w:rsid w:val="007444C7"/>
    <w:rsid w:val="007451B9"/>
    <w:rsid w:val="00745DF5"/>
    <w:rsid w:val="00746F20"/>
    <w:rsid w:val="007506FB"/>
    <w:rsid w:val="00750DBA"/>
    <w:rsid w:val="00751C3B"/>
    <w:rsid w:val="007538A5"/>
    <w:rsid w:val="00756044"/>
    <w:rsid w:val="00757705"/>
    <w:rsid w:val="0075794C"/>
    <w:rsid w:val="00761FBB"/>
    <w:rsid w:val="0076791C"/>
    <w:rsid w:val="007729A7"/>
    <w:rsid w:val="00772D3A"/>
    <w:rsid w:val="00774489"/>
    <w:rsid w:val="007806BC"/>
    <w:rsid w:val="00782E11"/>
    <w:rsid w:val="00785854"/>
    <w:rsid w:val="00786DE1"/>
    <w:rsid w:val="007903D7"/>
    <w:rsid w:val="00794DDF"/>
    <w:rsid w:val="00794E78"/>
    <w:rsid w:val="0079738A"/>
    <w:rsid w:val="007A011C"/>
    <w:rsid w:val="007A0650"/>
    <w:rsid w:val="007A34B5"/>
    <w:rsid w:val="007A7373"/>
    <w:rsid w:val="007A7CC2"/>
    <w:rsid w:val="007B42BF"/>
    <w:rsid w:val="007B6200"/>
    <w:rsid w:val="007B634D"/>
    <w:rsid w:val="007C01B7"/>
    <w:rsid w:val="007C1A55"/>
    <w:rsid w:val="007C1A58"/>
    <w:rsid w:val="007C42D8"/>
    <w:rsid w:val="007D5C12"/>
    <w:rsid w:val="007D5DCF"/>
    <w:rsid w:val="007D60CC"/>
    <w:rsid w:val="007E2357"/>
    <w:rsid w:val="007E2535"/>
    <w:rsid w:val="007E2A04"/>
    <w:rsid w:val="007E3380"/>
    <w:rsid w:val="007E4A59"/>
    <w:rsid w:val="007F1508"/>
    <w:rsid w:val="007F3395"/>
    <w:rsid w:val="007F3779"/>
    <w:rsid w:val="007F5C08"/>
    <w:rsid w:val="007F689B"/>
    <w:rsid w:val="008002A2"/>
    <w:rsid w:val="00800352"/>
    <w:rsid w:val="008006F3"/>
    <w:rsid w:val="00801B9F"/>
    <w:rsid w:val="00802104"/>
    <w:rsid w:val="00802549"/>
    <w:rsid w:val="00806503"/>
    <w:rsid w:val="00806757"/>
    <w:rsid w:val="00811975"/>
    <w:rsid w:val="00823FC8"/>
    <w:rsid w:val="0082741E"/>
    <w:rsid w:val="00834336"/>
    <w:rsid w:val="00840780"/>
    <w:rsid w:val="00840942"/>
    <w:rsid w:val="00841741"/>
    <w:rsid w:val="0084663C"/>
    <w:rsid w:val="0085011E"/>
    <w:rsid w:val="0085640B"/>
    <w:rsid w:val="0085662B"/>
    <w:rsid w:val="00862564"/>
    <w:rsid w:val="00862B12"/>
    <w:rsid w:val="00864D6D"/>
    <w:rsid w:val="00870A6D"/>
    <w:rsid w:val="0087237E"/>
    <w:rsid w:val="00875F79"/>
    <w:rsid w:val="0087667C"/>
    <w:rsid w:val="008818CB"/>
    <w:rsid w:val="008830D2"/>
    <w:rsid w:val="0089051F"/>
    <w:rsid w:val="00892441"/>
    <w:rsid w:val="008A0512"/>
    <w:rsid w:val="008A217A"/>
    <w:rsid w:val="008A2D70"/>
    <w:rsid w:val="008A3185"/>
    <w:rsid w:val="008B1882"/>
    <w:rsid w:val="008B24F6"/>
    <w:rsid w:val="008B3A67"/>
    <w:rsid w:val="008B6900"/>
    <w:rsid w:val="008C0C05"/>
    <w:rsid w:val="008C11B5"/>
    <w:rsid w:val="008C1BE4"/>
    <w:rsid w:val="008C25A4"/>
    <w:rsid w:val="008C455D"/>
    <w:rsid w:val="008C4E39"/>
    <w:rsid w:val="008C5A0E"/>
    <w:rsid w:val="008D138F"/>
    <w:rsid w:val="008D1618"/>
    <w:rsid w:val="008D3098"/>
    <w:rsid w:val="008E032F"/>
    <w:rsid w:val="008E37A4"/>
    <w:rsid w:val="008E77DD"/>
    <w:rsid w:val="008F15DE"/>
    <w:rsid w:val="008F4066"/>
    <w:rsid w:val="008F4798"/>
    <w:rsid w:val="008F4A4D"/>
    <w:rsid w:val="008F4E36"/>
    <w:rsid w:val="008F516A"/>
    <w:rsid w:val="008F5795"/>
    <w:rsid w:val="009003E4"/>
    <w:rsid w:val="00903F43"/>
    <w:rsid w:val="009057EA"/>
    <w:rsid w:val="0090650A"/>
    <w:rsid w:val="00912F0A"/>
    <w:rsid w:val="00924EB1"/>
    <w:rsid w:val="009308B7"/>
    <w:rsid w:val="0093362B"/>
    <w:rsid w:val="009368EC"/>
    <w:rsid w:val="0094037D"/>
    <w:rsid w:val="009432C3"/>
    <w:rsid w:val="00945177"/>
    <w:rsid w:val="00946781"/>
    <w:rsid w:val="00954FB1"/>
    <w:rsid w:val="0095509B"/>
    <w:rsid w:val="00957B4A"/>
    <w:rsid w:val="00961895"/>
    <w:rsid w:val="00971905"/>
    <w:rsid w:val="009767DC"/>
    <w:rsid w:val="00976C56"/>
    <w:rsid w:val="00982A5F"/>
    <w:rsid w:val="009907F0"/>
    <w:rsid w:val="009946C6"/>
    <w:rsid w:val="009970BF"/>
    <w:rsid w:val="009A1EE6"/>
    <w:rsid w:val="009A20D0"/>
    <w:rsid w:val="009A3125"/>
    <w:rsid w:val="009A4CDE"/>
    <w:rsid w:val="009A543D"/>
    <w:rsid w:val="009A60A0"/>
    <w:rsid w:val="009B12CA"/>
    <w:rsid w:val="009B4D3B"/>
    <w:rsid w:val="009B541B"/>
    <w:rsid w:val="009B5789"/>
    <w:rsid w:val="009C0928"/>
    <w:rsid w:val="009C2AE3"/>
    <w:rsid w:val="009C6BCD"/>
    <w:rsid w:val="009C6D70"/>
    <w:rsid w:val="009C6E0D"/>
    <w:rsid w:val="009D3402"/>
    <w:rsid w:val="009D68BB"/>
    <w:rsid w:val="009D7407"/>
    <w:rsid w:val="009E0866"/>
    <w:rsid w:val="009E25BF"/>
    <w:rsid w:val="009E44EA"/>
    <w:rsid w:val="009E5D2E"/>
    <w:rsid w:val="009F6423"/>
    <w:rsid w:val="00A02111"/>
    <w:rsid w:val="00A0231C"/>
    <w:rsid w:val="00A04166"/>
    <w:rsid w:val="00A06BE8"/>
    <w:rsid w:val="00A13E4D"/>
    <w:rsid w:val="00A1561E"/>
    <w:rsid w:val="00A161CD"/>
    <w:rsid w:val="00A24100"/>
    <w:rsid w:val="00A2486C"/>
    <w:rsid w:val="00A24A62"/>
    <w:rsid w:val="00A25A2D"/>
    <w:rsid w:val="00A268B8"/>
    <w:rsid w:val="00A3022D"/>
    <w:rsid w:val="00A3043C"/>
    <w:rsid w:val="00A31C9F"/>
    <w:rsid w:val="00A33827"/>
    <w:rsid w:val="00A33A72"/>
    <w:rsid w:val="00A3732B"/>
    <w:rsid w:val="00A376D2"/>
    <w:rsid w:val="00A40248"/>
    <w:rsid w:val="00A4144F"/>
    <w:rsid w:val="00A44AC6"/>
    <w:rsid w:val="00A44F22"/>
    <w:rsid w:val="00A460A7"/>
    <w:rsid w:val="00A51B45"/>
    <w:rsid w:val="00A55ACF"/>
    <w:rsid w:val="00A5609A"/>
    <w:rsid w:val="00A61D28"/>
    <w:rsid w:val="00A6241D"/>
    <w:rsid w:val="00A62CC4"/>
    <w:rsid w:val="00A65F96"/>
    <w:rsid w:val="00A705CA"/>
    <w:rsid w:val="00A72A6E"/>
    <w:rsid w:val="00A745FC"/>
    <w:rsid w:val="00A75A27"/>
    <w:rsid w:val="00A76861"/>
    <w:rsid w:val="00A7720D"/>
    <w:rsid w:val="00A80B23"/>
    <w:rsid w:val="00A827DB"/>
    <w:rsid w:val="00A85A6A"/>
    <w:rsid w:val="00A90510"/>
    <w:rsid w:val="00A940AA"/>
    <w:rsid w:val="00A94294"/>
    <w:rsid w:val="00A96E0A"/>
    <w:rsid w:val="00A96E73"/>
    <w:rsid w:val="00A975BE"/>
    <w:rsid w:val="00AA057E"/>
    <w:rsid w:val="00AA69E9"/>
    <w:rsid w:val="00AB388E"/>
    <w:rsid w:val="00AC164A"/>
    <w:rsid w:val="00AC4620"/>
    <w:rsid w:val="00AC5C34"/>
    <w:rsid w:val="00AC5DC8"/>
    <w:rsid w:val="00AD437A"/>
    <w:rsid w:val="00AE3E05"/>
    <w:rsid w:val="00AE4E36"/>
    <w:rsid w:val="00AE5201"/>
    <w:rsid w:val="00AE5232"/>
    <w:rsid w:val="00AE6A0F"/>
    <w:rsid w:val="00AE746A"/>
    <w:rsid w:val="00AF2050"/>
    <w:rsid w:val="00AF35D8"/>
    <w:rsid w:val="00AF5A66"/>
    <w:rsid w:val="00AF6D5E"/>
    <w:rsid w:val="00AF6F8D"/>
    <w:rsid w:val="00B03CA8"/>
    <w:rsid w:val="00B04891"/>
    <w:rsid w:val="00B0773D"/>
    <w:rsid w:val="00B13B4F"/>
    <w:rsid w:val="00B13C94"/>
    <w:rsid w:val="00B15FC6"/>
    <w:rsid w:val="00B34059"/>
    <w:rsid w:val="00B35911"/>
    <w:rsid w:val="00B45D2F"/>
    <w:rsid w:val="00B50C65"/>
    <w:rsid w:val="00B50F8E"/>
    <w:rsid w:val="00B55E19"/>
    <w:rsid w:val="00B6075D"/>
    <w:rsid w:val="00B62505"/>
    <w:rsid w:val="00B64A91"/>
    <w:rsid w:val="00B66876"/>
    <w:rsid w:val="00B66BDC"/>
    <w:rsid w:val="00B66BF3"/>
    <w:rsid w:val="00B6782A"/>
    <w:rsid w:val="00B71158"/>
    <w:rsid w:val="00B71694"/>
    <w:rsid w:val="00B76749"/>
    <w:rsid w:val="00B76C71"/>
    <w:rsid w:val="00B83410"/>
    <w:rsid w:val="00B851FD"/>
    <w:rsid w:val="00B92E1E"/>
    <w:rsid w:val="00B941A8"/>
    <w:rsid w:val="00B94AD9"/>
    <w:rsid w:val="00B94D15"/>
    <w:rsid w:val="00BA0019"/>
    <w:rsid w:val="00BA0774"/>
    <w:rsid w:val="00BA31A7"/>
    <w:rsid w:val="00BA4B6D"/>
    <w:rsid w:val="00BA5D1A"/>
    <w:rsid w:val="00BB196B"/>
    <w:rsid w:val="00BB19CD"/>
    <w:rsid w:val="00BB26C5"/>
    <w:rsid w:val="00BB4017"/>
    <w:rsid w:val="00BB567A"/>
    <w:rsid w:val="00BC25E7"/>
    <w:rsid w:val="00BC2D1B"/>
    <w:rsid w:val="00BC37E0"/>
    <w:rsid w:val="00BD0B99"/>
    <w:rsid w:val="00BD1F89"/>
    <w:rsid w:val="00BE0891"/>
    <w:rsid w:val="00BE1FFF"/>
    <w:rsid w:val="00BE39FD"/>
    <w:rsid w:val="00BE6ACE"/>
    <w:rsid w:val="00BF14D0"/>
    <w:rsid w:val="00BF1817"/>
    <w:rsid w:val="00BF1AC0"/>
    <w:rsid w:val="00BF22F5"/>
    <w:rsid w:val="00BF27EF"/>
    <w:rsid w:val="00BF29D2"/>
    <w:rsid w:val="00BF3A17"/>
    <w:rsid w:val="00BF4DE6"/>
    <w:rsid w:val="00BF57D1"/>
    <w:rsid w:val="00BF5CB8"/>
    <w:rsid w:val="00BF6A57"/>
    <w:rsid w:val="00C00A43"/>
    <w:rsid w:val="00C00C98"/>
    <w:rsid w:val="00C02C7D"/>
    <w:rsid w:val="00C04CAA"/>
    <w:rsid w:val="00C0613F"/>
    <w:rsid w:val="00C10415"/>
    <w:rsid w:val="00C13C7E"/>
    <w:rsid w:val="00C16478"/>
    <w:rsid w:val="00C17794"/>
    <w:rsid w:val="00C24450"/>
    <w:rsid w:val="00C244AF"/>
    <w:rsid w:val="00C26515"/>
    <w:rsid w:val="00C33A9C"/>
    <w:rsid w:val="00C3731C"/>
    <w:rsid w:val="00C37B03"/>
    <w:rsid w:val="00C37B6A"/>
    <w:rsid w:val="00C40091"/>
    <w:rsid w:val="00C42CDE"/>
    <w:rsid w:val="00C50A05"/>
    <w:rsid w:val="00C56290"/>
    <w:rsid w:val="00C56BA4"/>
    <w:rsid w:val="00C615F8"/>
    <w:rsid w:val="00C63EE9"/>
    <w:rsid w:val="00C6401B"/>
    <w:rsid w:val="00C647A9"/>
    <w:rsid w:val="00C65C11"/>
    <w:rsid w:val="00C673D4"/>
    <w:rsid w:val="00C8522D"/>
    <w:rsid w:val="00C86007"/>
    <w:rsid w:val="00C96203"/>
    <w:rsid w:val="00C96797"/>
    <w:rsid w:val="00CA37B1"/>
    <w:rsid w:val="00CA6C5A"/>
    <w:rsid w:val="00CA6EC9"/>
    <w:rsid w:val="00CA7894"/>
    <w:rsid w:val="00CB1959"/>
    <w:rsid w:val="00CB5677"/>
    <w:rsid w:val="00CB60D8"/>
    <w:rsid w:val="00CC18E5"/>
    <w:rsid w:val="00CC431B"/>
    <w:rsid w:val="00CC531A"/>
    <w:rsid w:val="00CC7041"/>
    <w:rsid w:val="00CD2F34"/>
    <w:rsid w:val="00CD60B1"/>
    <w:rsid w:val="00CE2F1B"/>
    <w:rsid w:val="00CE321B"/>
    <w:rsid w:val="00CE6181"/>
    <w:rsid w:val="00CF280B"/>
    <w:rsid w:val="00CF4953"/>
    <w:rsid w:val="00CF67BA"/>
    <w:rsid w:val="00D00735"/>
    <w:rsid w:val="00D018D0"/>
    <w:rsid w:val="00D0296C"/>
    <w:rsid w:val="00D042D3"/>
    <w:rsid w:val="00D07E78"/>
    <w:rsid w:val="00D12225"/>
    <w:rsid w:val="00D12724"/>
    <w:rsid w:val="00D12D89"/>
    <w:rsid w:val="00D13BFE"/>
    <w:rsid w:val="00D140D1"/>
    <w:rsid w:val="00D14FC6"/>
    <w:rsid w:val="00D17E7D"/>
    <w:rsid w:val="00D203EB"/>
    <w:rsid w:val="00D21799"/>
    <w:rsid w:val="00D2248F"/>
    <w:rsid w:val="00D22A81"/>
    <w:rsid w:val="00D301F8"/>
    <w:rsid w:val="00D30973"/>
    <w:rsid w:val="00D30C79"/>
    <w:rsid w:val="00D31B64"/>
    <w:rsid w:val="00D3298C"/>
    <w:rsid w:val="00D40C15"/>
    <w:rsid w:val="00D41A45"/>
    <w:rsid w:val="00D41E2A"/>
    <w:rsid w:val="00D424DE"/>
    <w:rsid w:val="00D43E7A"/>
    <w:rsid w:val="00D44188"/>
    <w:rsid w:val="00D44758"/>
    <w:rsid w:val="00D44F25"/>
    <w:rsid w:val="00D45C4F"/>
    <w:rsid w:val="00D500E9"/>
    <w:rsid w:val="00D509F3"/>
    <w:rsid w:val="00D52D1B"/>
    <w:rsid w:val="00D5556A"/>
    <w:rsid w:val="00D56BD8"/>
    <w:rsid w:val="00D56C1C"/>
    <w:rsid w:val="00D575CB"/>
    <w:rsid w:val="00D57616"/>
    <w:rsid w:val="00D61576"/>
    <w:rsid w:val="00D65170"/>
    <w:rsid w:val="00D66165"/>
    <w:rsid w:val="00D70A0B"/>
    <w:rsid w:val="00D70E73"/>
    <w:rsid w:val="00D72029"/>
    <w:rsid w:val="00D7251B"/>
    <w:rsid w:val="00D80C26"/>
    <w:rsid w:val="00D92C89"/>
    <w:rsid w:val="00D9353F"/>
    <w:rsid w:val="00D94034"/>
    <w:rsid w:val="00D94329"/>
    <w:rsid w:val="00DA024F"/>
    <w:rsid w:val="00DA47B3"/>
    <w:rsid w:val="00DB0239"/>
    <w:rsid w:val="00DB59CD"/>
    <w:rsid w:val="00DB6402"/>
    <w:rsid w:val="00DB792F"/>
    <w:rsid w:val="00DC0E48"/>
    <w:rsid w:val="00DC1EFD"/>
    <w:rsid w:val="00DC2129"/>
    <w:rsid w:val="00DC5265"/>
    <w:rsid w:val="00DD2F9A"/>
    <w:rsid w:val="00DD420C"/>
    <w:rsid w:val="00DD44EA"/>
    <w:rsid w:val="00DD6DAF"/>
    <w:rsid w:val="00DD7552"/>
    <w:rsid w:val="00DE2818"/>
    <w:rsid w:val="00DE46CC"/>
    <w:rsid w:val="00DF0C25"/>
    <w:rsid w:val="00DF41E1"/>
    <w:rsid w:val="00DF4AC0"/>
    <w:rsid w:val="00E0256B"/>
    <w:rsid w:val="00E0328B"/>
    <w:rsid w:val="00E03461"/>
    <w:rsid w:val="00E03E92"/>
    <w:rsid w:val="00E04AC1"/>
    <w:rsid w:val="00E0583E"/>
    <w:rsid w:val="00E10987"/>
    <w:rsid w:val="00E13132"/>
    <w:rsid w:val="00E1612F"/>
    <w:rsid w:val="00E16D17"/>
    <w:rsid w:val="00E26326"/>
    <w:rsid w:val="00E26E94"/>
    <w:rsid w:val="00E275D4"/>
    <w:rsid w:val="00E303C6"/>
    <w:rsid w:val="00E322FB"/>
    <w:rsid w:val="00E3368B"/>
    <w:rsid w:val="00E357B7"/>
    <w:rsid w:val="00E3641F"/>
    <w:rsid w:val="00E377D5"/>
    <w:rsid w:val="00E37B70"/>
    <w:rsid w:val="00E400C3"/>
    <w:rsid w:val="00E40E71"/>
    <w:rsid w:val="00E41B0A"/>
    <w:rsid w:val="00E4454F"/>
    <w:rsid w:val="00E461B5"/>
    <w:rsid w:val="00E4629C"/>
    <w:rsid w:val="00E50674"/>
    <w:rsid w:val="00E53800"/>
    <w:rsid w:val="00E55AF3"/>
    <w:rsid w:val="00E6081F"/>
    <w:rsid w:val="00E62377"/>
    <w:rsid w:val="00E62925"/>
    <w:rsid w:val="00E6753E"/>
    <w:rsid w:val="00E7502A"/>
    <w:rsid w:val="00E774B8"/>
    <w:rsid w:val="00E8026F"/>
    <w:rsid w:val="00E82491"/>
    <w:rsid w:val="00E82F47"/>
    <w:rsid w:val="00E839A4"/>
    <w:rsid w:val="00E86EFA"/>
    <w:rsid w:val="00E87452"/>
    <w:rsid w:val="00E91D1D"/>
    <w:rsid w:val="00E928D7"/>
    <w:rsid w:val="00E9392A"/>
    <w:rsid w:val="00EA04B2"/>
    <w:rsid w:val="00EA0BCE"/>
    <w:rsid w:val="00EA20F3"/>
    <w:rsid w:val="00EA3CFE"/>
    <w:rsid w:val="00EA5EDD"/>
    <w:rsid w:val="00EA7640"/>
    <w:rsid w:val="00EB25E4"/>
    <w:rsid w:val="00EB6875"/>
    <w:rsid w:val="00EB7916"/>
    <w:rsid w:val="00EC2B03"/>
    <w:rsid w:val="00EC3AAE"/>
    <w:rsid w:val="00ED43D1"/>
    <w:rsid w:val="00ED5255"/>
    <w:rsid w:val="00ED75E2"/>
    <w:rsid w:val="00EE0D33"/>
    <w:rsid w:val="00EE4EE1"/>
    <w:rsid w:val="00EF120C"/>
    <w:rsid w:val="00EF23EA"/>
    <w:rsid w:val="00EF4574"/>
    <w:rsid w:val="00EF75BF"/>
    <w:rsid w:val="00F001F8"/>
    <w:rsid w:val="00F0297B"/>
    <w:rsid w:val="00F14C4A"/>
    <w:rsid w:val="00F1611E"/>
    <w:rsid w:val="00F20D63"/>
    <w:rsid w:val="00F20E5E"/>
    <w:rsid w:val="00F22A52"/>
    <w:rsid w:val="00F241C5"/>
    <w:rsid w:val="00F2684E"/>
    <w:rsid w:val="00F435A9"/>
    <w:rsid w:val="00F441DC"/>
    <w:rsid w:val="00F4791C"/>
    <w:rsid w:val="00F50744"/>
    <w:rsid w:val="00F519D6"/>
    <w:rsid w:val="00F52898"/>
    <w:rsid w:val="00F53D0C"/>
    <w:rsid w:val="00F5404C"/>
    <w:rsid w:val="00F54A93"/>
    <w:rsid w:val="00F57EB7"/>
    <w:rsid w:val="00F6098C"/>
    <w:rsid w:val="00F60A2B"/>
    <w:rsid w:val="00F62971"/>
    <w:rsid w:val="00F63911"/>
    <w:rsid w:val="00F65FD9"/>
    <w:rsid w:val="00F66D0E"/>
    <w:rsid w:val="00F729EF"/>
    <w:rsid w:val="00F75272"/>
    <w:rsid w:val="00F77CAE"/>
    <w:rsid w:val="00F810CD"/>
    <w:rsid w:val="00F84FAF"/>
    <w:rsid w:val="00F8555B"/>
    <w:rsid w:val="00F85886"/>
    <w:rsid w:val="00F8596F"/>
    <w:rsid w:val="00F901FA"/>
    <w:rsid w:val="00F94AAE"/>
    <w:rsid w:val="00F958AE"/>
    <w:rsid w:val="00F95DED"/>
    <w:rsid w:val="00F96BB9"/>
    <w:rsid w:val="00FA6261"/>
    <w:rsid w:val="00FA6F72"/>
    <w:rsid w:val="00FB18EB"/>
    <w:rsid w:val="00FB6532"/>
    <w:rsid w:val="00FB6B3C"/>
    <w:rsid w:val="00FB7242"/>
    <w:rsid w:val="00FC025C"/>
    <w:rsid w:val="00FC11DD"/>
    <w:rsid w:val="00FC1DEF"/>
    <w:rsid w:val="00FC7297"/>
    <w:rsid w:val="00FC750D"/>
    <w:rsid w:val="00FD1DF4"/>
    <w:rsid w:val="00FD22B7"/>
    <w:rsid w:val="00FD421E"/>
    <w:rsid w:val="00FD4C8E"/>
    <w:rsid w:val="00FE046E"/>
    <w:rsid w:val="00FE3511"/>
    <w:rsid w:val="00FE6D51"/>
    <w:rsid w:val="00FE7052"/>
    <w:rsid w:val="00FF4BB2"/>
    <w:rsid w:val="00FF5586"/>
    <w:rsid w:val="00FF5FCF"/>
    <w:rsid w:val="00FF6080"/>
    <w:rsid w:val="00FF6C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89051F"/>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2F2F2" w:themeFill="background1" w:themeFillShade="F2"/>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aliases w:val="List Paragraph (numbered (a)),P3Numbered List,CRP Numbered List,List Paragraph1,List Paragraph11,L,Recommendation,CV text,Table text,COOP,Primary Bullet List,F5 List Paragraph,Dot pt,List Paragraph111,Numbered Paragraph,List Paragraph2"/>
    <w:basedOn w:val="Normal"/>
    <w:link w:val="ListParagraphChar"/>
    <w:uiPriority w:val="1"/>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List Paragraph (numbered (a)) Char,P3Numbered List Char,CRP Numbered List Char,List Paragraph1 Char,List Paragraph11 Char,L Char,Recommendation Char,CV text Char,Table text Char,COOP Char,Primary Bullet List Char,Dot pt Char"/>
    <w:basedOn w:val="DefaultParagraphFont"/>
    <w:link w:val="ListParagraph"/>
    <w:uiPriority w:val="34"/>
    <w:qFormat/>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AfterFirstPara">
    <w:name w:val="AfterFirstPara"/>
    <w:basedOn w:val="Normal"/>
    <w:rsid w:val="00C56290"/>
    <w:pPr>
      <w:numPr>
        <w:numId w:val="17"/>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260062687">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40402373">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68242844">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5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38DE-61FA-4561-A187-E32837BA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2020-03-03T04:48:00Z</dcterms:created>
  <dcterms:modified xsi:type="dcterms:W3CDTF">2020-03-03T04:48:00Z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62ed2a06-3df2-4b63-98ff-358933ce0011</vt:lpwstr>
  </property>
  <property fmtid="{D5CDD505-2E9C-101B-9397-08002B2CF9AE}" pid="3" name="SEC">
    <vt:lpwstr>UNCLASSIFIED</vt:lpwstr>
  </property>
  <property fmtid="{D5CDD505-2E9C-101B-9397-08002B2CF9AE}" pid="4" name="DLM">
    <vt:lpwstr>No DLM</vt:lpwstr>
  </property>
</Properties>
</file>