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84F2C" w14:textId="11CE310C" w:rsidR="00443740" w:rsidRPr="008473FF" w:rsidRDefault="00443740" w:rsidP="008473FF">
      <w:pPr>
        <w:pStyle w:val="Heading1"/>
        <w:spacing w:before="0"/>
        <w:rPr>
          <w:sz w:val="36"/>
          <w:szCs w:val="36"/>
        </w:rPr>
      </w:pPr>
      <w:r w:rsidRPr="008473FF">
        <w:rPr>
          <w:sz w:val="36"/>
          <w:szCs w:val="36"/>
        </w:rPr>
        <w:t xml:space="preserve">Pacific Labour Mobility </w:t>
      </w:r>
      <w:r w:rsidR="00455A6B">
        <w:rPr>
          <w:sz w:val="36"/>
          <w:szCs w:val="36"/>
        </w:rPr>
        <w:t>C</w:t>
      </w:r>
      <w:r w:rsidRPr="008473FF">
        <w:rPr>
          <w:sz w:val="36"/>
          <w:szCs w:val="36"/>
        </w:rPr>
        <w:t>onsultation</w:t>
      </w:r>
      <w:r w:rsidR="00455A6B">
        <w:rPr>
          <w:sz w:val="36"/>
          <w:szCs w:val="36"/>
        </w:rPr>
        <w:t xml:space="preserve"> Summary</w:t>
      </w:r>
    </w:p>
    <w:p w14:paraId="6D8B3347" w14:textId="2A31CF4E" w:rsidR="002A4970" w:rsidRDefault="002A4970" w:rsidP="008377FD">
      <w:pPr>
        <w:pStyle w:val="Heading2"/>
        <w:rPr>
          <w:rFonts w:cs="Calibri"/>
        </w:rPr>
      </w:pPr>
      <w:r w:rsidRPr="005B458F">
        <w:t>I</w:t>
      </w:r>
      <w:r w:rsidR="005B458F">
        <w:t>ntroduction</w:t>
      </w:r>
    </w:p>
    <w:p w14:paraId="103B0D2D" w14:textId="373DD041" w:rsidR="002A4970" w:rsidRDefault="002A4970" w:rsidP="008377FD">
      <w:pPr>
        <w:pStyle w:val="Heading3"/>
      </w:pPr>
      <w:r>
        <w:t xml:space="preserve">Reason </w:t>
      </w:r>
      <w:r w:rsidRPr="008377FD">
        <w:t>for</w:t>
      </w:r>
      <w:r>
        <w:t xml:space="preserve"> the Review</w:t>
      </w:r>
    </w:p>
    <w:p w14:paraId="1FA15C9B" w14:textId="6304AD1C" w:rsidR="00CC03BE" w:rsidRDefault="00A71C17" w:rsidP="008473FF">
      <w:pPr>
        <w:pStyle w:val="NormalWeb"/>
        <w:shd w:val="clear" w:color="auto" w:fill="FFFFFF"/>
        <w:spacing w:before="0" w:beforeAutospacing="0" w:after="160" w:afterAutospacing="0"/>
        <w:rPr>
          <w:rFonts w:asciiTheme="minorHAnsi" w:eastAsiaTheme="minorHAnsi" w:hAnsiTheme="minorHAnsi" w:cstheme="minorBidi"/>
          <w:sz w:val="22"/>
          <w:szCs w:val="22"/>
          <w:lang w:eastAsia="en-US"/>
        </w:rPr>
      </w:pPr>
      <w:r w:rsidRPr="00A71C17">
        <w:rPr>
          <w:rFonts w:asciiTheme="minorHAnsi" w:eastAsiaTheme="minorHAnsi" w:hAnsiTheme="minorHAnsi" w:cstheme="minorBidi"/>
          <w:sz w:val="22"/>
          <w:szCs w:val="22"/>
          <w:lang w:eastAsia="en-US"/>
        </w:rPr>
        <w:t>COVID-19 has brought into sharp focus the value of our Pacific labour mobility initiatives, the Seasonal Worker Programme (SWP) and Pacific Labour Scheme (PLS), which provide direct and tangible economic benefits to both our Pacific family and Australian farmers and industries.</w:t>
      </w:r>
      <w:r w:rsidR="00CC03BE">
        <w:rPr>
          <w:rFonts w:asciiTheme="minorHAnsi" w:eastAsiaTheme="minorHAnsi" w:hAnsiTheme="minorHAnsi" w:cstheme="minorBidi"/>
          <w:sz w:val="22"/>
          <w:szCs w:val="22"/>
          <w:lang w:eastAsia="en-US"/>
        </w:rPr>
        <w:t xml:space="preserve"> </w:t>
      </w:r>
    </w:p>
    <w:p w14:paraId="1B97DD2F" w14:textId="63741F42" w:rsidR="002E71C7" w:rsidRPr="00A71C17" w:rsidRDefault="002E71C7" w:rsidP="008473FF">
      <w:pPr>
        <w:pStyle w:val="NormalWeb"/>
        <w:shd w:val="clear" w:color="auto" w:fill="FFFFFF"/>
        <w:spacing w:before="0" w:beforeAutospacing="0" w:after="16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The SWP </w:t>
      </w:r>
      <w:r w:rsidR="00CC03BE">
        <w:rPr>
          <w:rFonts w:asciiTheme="minorHAnsi" w:eastAsiaTheme="minorHAnsi" w:hAnsiTheme="minorHAnsi" w:cstheme="minorBidi"/>
          <w:sz w:val="22"/>
          <w:szCs w:val="22"/>
          <w:lang w:eastAsia="en-US"/>
        </w:rPr>
        <w:t>and PLS benefit both Australia and the Pacific</w:t>
      </w:r>
      <w:r w:rsidR="00AE75BC">
        <w:rPr>
          <w:rFonts w:asciiTheme="minorHAnsi" w:eastAsiaTheme="minorHAnsi" w:hAnsiTheme="minorHAnsi" w:cstheme="minorBidi"/>
          <w:sz w:val="22"/>
          <w:szCs w:val="22"/>
          <w:lang w:eastAsia="en-US"/>
        </w:rPr>
        <w:t>,</w:t>
      </w:r>
      <w:r w:rsidR="00CC03BE">
        <w:rPr>
          <w:rFonts w:asciiTheme="minorHAnsi" w:eastAsiaTheme="minorHAnsi" w:hAnsiTheme="minorHAnsi" w:cstheme="minorBidi"/>
          <w:sz w:val="22"/>
          <w:szCs w:val="22"/>
          <w:lang w:eastAsia="en-US"/>
        </w:rPr>
        <w:t xml:space="preserve"> helping Australian businesses address critical workforce shortages in rural and regional communities, while providing opportunities for Pacific and Timorese workers to develop skills, earn income and send home remittances to support their families and the economic growth of their countries. During the COVID-19 pandemic, these programs have provided much needed remittance flows to Pacific economies, hit hard by border closures. At the same time, Pacific </w:t>
      </w:r>
      <w:r w:rsidR="00786164">
        <w:rPr>
          <w:rFonts w:asciiTheme="minorHAnsi" w:eastAsiaTheme="minorHAnsi" w:hAnsiTheme="minorHAnsi" w:cstheme="minorBidi"/>
          <w:sz w:val="22"/>
          <w:szCs w:val="22"/>
          <w:lang w:eastAsia="en-US"/>
        </w:rPr>
        <w:t xml:space="preserve">and Timorese </w:t>
      </w:r>
      <w:r w:rsidR="00CC03BE">
        <w:rPr>
          <w:rFonts w:asciiTheme="minorHAnsi" w:eastAsiaTheme="minorHAnsi" w:hAnsiTheme="minorHAnsi" w:cstheme="minorBidi"/>
          <w:sz w:val="22"/>
          <w:szCs w:val="22"/>
          <w:lang w:eastAsia="en-US"/>
        </w:rPr>
        <w:t>workers have proven to be a reliable and productive source of labour, particularly for Australian farmers.</w:t>
      </w:r>
    </w:p>
    <w:p w14:paraId="449BFDAD" w14:textId="3B1E37D5" w:rsidR="00A71C17" w:rsidRPr="00A71C17" w:rsidRDefault="00CC03BE" w:rsidP="008473FF">
      <w:pPr>
        <w:pStyle w:val="NormalWeb"/>
        <w:shd w:val="clear" w:color="auto" w:fill="FFFFFF"/>
        <w:spacing w:before="0" w:beforeAutospacing="0" w:after="16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As we look ahead to life beyond the pandemic, with an altered Australian labour market and growing demand for Pacific </w:t>
      </w:r>
      <w:r w:rsidR="00786164">
        <w:rPr>
          <w:rFonts w:asciiTheme="minorHAnsi" w:eastAsiaTheme="minorHAnsi" w:hAnsiTheme="minorHAnsi" w:cstheme="minorBidi"/>
          <w:sz w:val="22"/>
          <w:szCs w:val="22"/>
          <w:lang w:eastAsia="en-US"/>
        </w:rPr>
        <w:t xml:space="preserve">and Timorese </w:t>
      </w:r>
      <w:r>
        <w:rPr>
          <w:rFonts w:asciiTheme="minorHAnsi" w:eastAsiaTheme="minorHAnsi" w:hAnsiTheme="minorHAnsi" w:cstheme="minorBidi"/>
          <w:sz w:val="22"/>
          <w:szCs w:val="22"/>
          <w:lang w:eastAsia="en-US"/>
        </w:rPr>
        <w:t xml:space="preserve">workers, it is </w:t>
      </w:r>
      <w:r w:rsidR="00455A6B">
        <w:rPr>
          <w:rFonts w:asciiTheme="minorHAnsi" w:eastAsiaTheme="minorHAnsi" w:hAnsiTheme="minorHAnsi" w:cstheme="minorBidi"/>
          <w:sz w:val="22"/>
          <w:szCs w:val="22"/>
          <w:lang w:eastAsia="en-US"/>
        </w:rPr>
        <w:t xml:space="preserve">the right time </w:t>
      </w:r>
      <w:r>
        <w:rPr>
          <w:rFonts w:asciiTheme="minorHAnsi" w:eastAsiaTheme="minorHAnsi" w:hAnsiTheme="minorHAnsi" w:cstheme="minorBidi"/>
          <w:sz w:val="22"/>
          <w:szCs w:val="22"/>
          <w:lang w:eastAsia="en-US"/>
        </w:rPr>
        <w:t xml:space="preserve">to consider how we can best position the programs for future growth. </w:t>
      </w:r>
      <w:r w:rsidR="00A71C17" w:rsidRPr="00A71C17">
        <w:rPr>
          <w:rFonts w:asciiTheme="minorHAnsi" w:eastAsiaTheme="minorHAnsi" w:hAnsiTheme="minorHAnsi" w:cstheme="minorBidi"/>
          <w:sz w:val="22"/>
          <w:szCs w:val="22"/>
          <w:lang w:eastAsia="en-US"/>
        </w:rPr>
        <w:t xml:space="preserve">To ensure </w:t>
      </w:r>
      <w:r>
        <w:rPr>
          <w:rFonts w:asciiTheme="minorHAnsi" w:eastAsiaTheme="minorHAnsi" w:hAnsiTheme="minorHAnsi" w:cstheme="minorBidi"/>
          <w:sz w:val="22"/>
          <w:szCs w:val="22"/>
          <w:lang w:eastAsia="en-US"/>
        </w:rPr>
        <w:t xml:space="preserve">the programs </w:t>
      </w:r>
      <w:r w:rsidR="00A71C17" w:rsidRPr="00A71C17">
        <w:rPr>
          <w:rFonts w:asciiTheme="minorHAnsi" w:eastAsiaTheme="minorHAnsi" w:hAnsiTheme="minorHAnsi" w:cstheme="minorBidi"/>
          <w:sz w:val="22"/>
          <w:szCs w:val="22"/>
          <w:lang w:eastAsia="en-US"/>
        </w:rPr>
        <w:t xml:space="preserve">are scalable, </w:t>
      </w:r>
      <w:proofErr w:type="gramStart"/>
      <w:r w:rsidR="00A71C17" w:rsidRPr="00A71C17">
        <w:rPr>
          <w:rFonts w:asciiTheme="minorHAnsi" w:eastAsiaTheme="minorHAnsi" w:hAnsiTheme="minorHAnsi" w:cstheme="minorBidi"/>
          <w:sz w:val="22"/>
          <w:szCs w:val="22"/>
          <w:lang w:eastAsia="en-US"/>
        </w:rPr>
        <w:t>sustainable</w:t>
      </w:r>
      <w:proofErr w:type="gramEnd"/>
      <w:r w:rsidR="00A71C17" w:rsidRPr="00A71C17">
        <w:rPr>
          <w:rFonts w:asciiTheme="minorHAnsi" w:eastAsiaTheme="minorHAnsi" w:hAnsiTheme="minorHAnsi" w:cstheme="minorBidi"/>
          <w:sz w:val="22"/>
          <w:szCs w:val="22"/>
          <w:lang w:eastAsia="en-US"/>
        </w:rPr>
        <w:t xml:space="preserve"> and efficient into the future, the </w:t>
      </w:r>
      <w:r w:rsidR="00A71C17">
        <w:rPr>
          <w:rFonts w:asciiTheme="minorHAnsi" w:eastAsiaTheme="minorHAnsi" w:hAnsiTheme="minorHAnsi" w:cstheme="minorBidi"/>
          <w:sz w:val="22"/>
          <w:szCs w:val="22"/>
          <w:lang w:eastAsia="en-US"/>
        </w:rPr>
        <w:t>Australian</w:t>
      </w:r>
      <w:r w:rsidR="00A71C17" w:rsidRPr="00A71C17">
        <w:rPr>
          <w:rFonts w:asciiTheme="minorHAnsi" w:eastAsiaTheme="minorHAnsi" w:hAnsiTheme="minorHAnsi" w:cstheme="minorBidi"/>
          <w:sz w:val="22"/>
          <w:szCs w:val="22"/>
          <w:lang w:eastAsia="en-US"/>
        </w:rPr>
        <w:t xml:space="preserve"> Government </w:t>
      </w:r>
      <w:r w:rsidR="00A71C17">
        <w:rPr>
          <w:rFonts w:asciiTheme="minorHAnsi" w:eastAsiaTheme="minorHAnsi" w:hAnsiTheme="minorHAnsi" w:cstheme="minorBidi"/>
          <w:sz w:val="22"/>
          <w:szCs w:val="22"/>
          <w:lang w:eastAsia="en-US"/>
        </w:rPr>
        <w:t>sought</w:t>
      </w:r>
      <w:r w:rsidR="00A71C17" w:rsidRPr="00A71C17">
        <w:rPr>
          <w:rFonts w:asciiTheme="minorHAnsi" w:eastAsiaTheme="minorHAnsi" w:hAnsiTheme="minorHAnsi" w:cstheme="minorBidi"/>
          <w:sz w:val="22"/>
          <w:szCs w:val="22"/>
          <w:lang w:eastAsia="en-US"/>
        </w:rPr>
        <w:t xml:space="preserve"> views from stakeholders on approaches to improve, streamline and align the two programs to maximise the benefits for employers, workers and participating countries.</w:t>
      </w:r>
    </w:p>
    <w:p w14:paraId="47ACD9AF" w14:textId="32ECC0EA" w:rsidR="002A4970" w:rsidRDefault="002A4970" w:rsidP="008377FD">
      <w:pPr>
        <w:pStyle w:val="Heading3"/>
      </w:pPr>
      <w:r>
        <w:t>Conduct of the Review</w:t>
      </w:r>
    </w:p>
    <w:p w14:paraId="1D8F7D08" w14:textId="24FBE8A2" w:rsidR="002A4970" w:rsidRDefault="00CC03BE" w:rsidP="002A4970">
      <w:r>
        <w:t xml:space="preserve">The Department of Foreign Affairs and Trade, together with the Department of Education, Skills and Employment and </w:t>
      </w:r>
      <w:r w:rsidR="00297FBF">
        <w:t xml:space="preserve">the </w:t>
      </w:r>
      <w:r>
        <w:t xml:space="preserve">Department of Agriculture, </w:t>
      </w:r>
      <w:proofErr w:type="gramStart"/>
      <w:r>
        <w:t>Water</w:t>
      </w:r>
      <w:proofErr w:type="gramEnd"/>
      <w:r>
        <w:t xml:space="preserve"> and the Environment, </w:t>
      </w:r>
      <w:r w:rsidR="00297FBF">
        <w:t xml:space="preserve">consulted </w:t>
      </w:r>
      <w:r w:rsidR="006523D7">
        <w:t>stakeholders</w:t>
      </w:r>
      <w:r w:rsidR="00DE5B51">
        <w:t xml:space="preserve"> </w:t>
      </w:r>
      <w:r w:rsidR="00297FBF">
        <w:t xml:space="preserve">over </w:t>
      </w:r>
      <w:r w:rsidR="00A71C17">
        <w:t xml:space="preserve">a six-week </w:t>
      </w:r>
      <w:r w:rsidR="00297FBF">
        <w:t xml:space="preserve">period between </w:t>
      </w:r>
      <w:r w:rsidR="00A71C17">
        <w:t>10 June to 18 July 2021.</w:t>
      </w:r>
      <w:r w:rsidR="00DE5B51">
        <w:t xml:space="preserve"> </w:t>
      </w:r>
      <w:r w:rsidR="002A4970" w:rsidRPr="00455A6B">
        <w:rPr>
          <w:b/>
          <w:bCs/>
        </w:rPr>
        <w:t>4</w:t>
      </w:r>
      <w:r w:rsidR="00A206A1" w:rsidRPr="00455A6B">
        <w:rPr>
          <w:b/>
          <w:bCs/>
        </w:rPr>
        <w:t>5</w:t>
      </w:r>
      <w:r w:rsidR="002A4970" w:rsidRPr="00455A6B">
        <w:t xml:space="preserve"> </w:t>
      </w:r>
      <w:r w:rsidR="002A4970" w:rsidRPr="00455A6B">
        <w:rPr>
          <w:b/>
          <w:bCs/>
        </w:rPr>
        <w:t>written submissions</w:t>
      </w:r>
      <w:r w:rsidR="002A4970" w:rsidRPr="00455A6B">
        <w:t xml:space="preserve"> and </w:t>
      </w:r>
      <w:r w:rsidR="002A4970" w:rsidRPr="00455A6B">
        <w:rPr>
          <w:b/>
          <w:bCs/>
        </w:rPr>
        <w:t>92</w:t>
      </w:r>
      <w:r w:rsidR="002A4970" w:rsidRPr="00455A6B">
        <w:t xml:space="preserve"> </w:t>
      </w:r>
      <w:r w:rsidR="002A4970" w:rsidRPr="00455A6B">
        <w:rPr>
          <w:b/>
          <w:bCs/>
        </w:rPr>
        <w:t>website</w:t>
      </w:r>
      <w:r w:rsidR="002A4970" w:rsidRPr="00455A6B">
        <w:t xml:space="preserve"> </w:t>
      </w:r>
      <w:r w:rsidR="002A4970" w:rsidRPr="00455A6B">
        <w:rPr>
          <w:b/>
          <w:bCs/>
        </w:rPr>
        <w:t>submissions</w:t>
      </w:r>
      <w:r w:rsidR="002A4970" w:rsidRPr="00455A6B">
        <w:t xml:space="preserve"> were received</w:t>
      </w:r>
      <w:r w:rsidR="00297FBF" w:rsidRPr="00455A6B">
        <w:t xml:space="preserve"> from interested stakeholders. I</w:t>
      </w:r>
      <w:r w:rsidR="002A4970" w:rsidRPr="00455A6B">
        <w:t>n addition</w:t>
      </w:r>
      <w:r w:rsidR="00297FBF" w:rsidRPr="00455A6B">
        <w:t>,</w:t>
      </w:r>
      <w:r w:rsidR="002A4970" w:rsidRPr="00455A6B">
        <w:t xml:space="preserve"> </w:t>
      </w:r>
      <w:r w:rsidR="00297FBF" w:rsidRPr="00455A6B">
        <w:t xml:space="preserve">the government hosted </w:t>
      </w:r>
      <w:r w:rsidR="002A4970" w:rsidRPr="00455A6B">
        <w:rPr>
          <w:b/>
          <w:bCs/>
        </w:rPr>
        <w:t>47 consultations</w:t>
      </w:r>
      <w:r w:rsidR="002A4970" w:rsidRPr="00455A6B">
        <w:t xml:space="preserve">, </w:t>
      </w:r>
      <w:r w:rsidR="00297FBF" w:rsidRPr="00455A6B">
        <w:t xml:space="preserve">the </w:t>
      </w:r>
      <w:r w:rsidR="002A4970" w:rsidRPr="00455A6B">
        <w:t xml:space="preserve">majority </w:t>
      </w:r>
      <w:r w:rsidR="00297FBF" w:rsidRPr="00455A6B">
        <w:t xml:space="preserve">of which was held </w:t>
      </w:r>
      <w:r w:rsidR="002A4970" w:rsidRPr="00455A6B">
        <w:t>virtually due</w:t>
      </w:r>
      <w:r w:rsidR="002A4970">
        <w:t xml:space="preserve"> to the evolving COVID</w:t>
      </w:r>
      <w:r w:rsidR="00297FBF">
        <w:t xml:space="preserve">-19 </w:t>
      </w:r>
      <w:r w:rsidR="002A4970">
        <w:t xml:space="preserve">situation. Feedback was received from industry, employers, workers, unions, community groups, states and territories, and Pacific and Timorese governments. </w:t>
      </w:r>
    </w:p>
    <w:p w14:paraId="21881909" w14:textId="0921A172" w:rsidR="000F55BC" w:rsidRPr="00920FBD" w:rsidRDefault="000F55BC" w:rsidP="008377FD">
      <w:pPr>
        <w:pStyle w:val="Heading3"/>
      </w:pPr>
      <w:r w:rsidRPr="00920FBD">
        <w:t>Next Steps</w:t>
      </w:r>
    </w:p>
    <w:p w14:paraId="0034B740" w14:textId="7EE40AE5" w:rsidR="004C6AB3" w:rsidRDefault="00AE75BC" w:rsidP="002A4970">
      <w:r>
        <w:t>The f</w:t>
      </w:r>
      <w:r w:rsidR="004C6AB3">
        <w:t xml:space="preserve">eedback </w:t>
      </w:r>
      <w:r>
        <w:t xml:space="preserve">gathered during the consultation period </w:t>
      </w:r>
      <w:r w:rsidR="004C6AB3">
        <w:t xml:space="preserve">will </w:t>
      </w:r>
      <w:r w:rsidR="00953C42">
        <w:t xml:space="preserve">inform future </w:t>
      </w:r>
      <w:r w:rsidR="00455A6B">
        <w:t xml:space="preserve">arrangements and policy settings for Pacific labour mobility </w:t>
      </w:r>
      <w:r w:rsidR="00F360A1">
        <w:t>and support the</w:t>
      </w:r>
      <w:r w:rsidR="004C6AB3">
        <w:t xml:space="preserve"> continued growth</w:t>
      </w:r>
      <w:r w:rsidR="00F360A1">
        <w:t xml:space="preserve"> of </w:t>
      </w:r>
      <w:r w:rsidR="00455A6B">
        <w:t>the programs</w:t>
      </w:r>
      <w:r w:rsidR="004C6AB3">
        <w:t>.</w:t>
      </w:r>
      <w:r w:rsidR="00455A6B">
        <w:t xml:space="preserve"> </w:t>
      </w:r>
    </w:p>
    <w:p w14:paraId="26E1A810" w14:textId="14258F84" w:rsidR="0023695A" w:rsidRDefault="00455A6B" w:rsidP="00FB3E1B">
      <w:pPr>
        <w:pStyle w:val="Heading2"/>
      </w:pPr>
      <w:r>
        <w:t>K</w:t>
      </w:r>
      <w:r w:rsidR="00443740">
        <w:t>ey themes</w:t>
      </w:r>
    </w:p>
    <w:p w14:paraId="766B4B73" w14:textId="5D488EE9" w:rsidR="00FE30C1" w:rsidRDefault="00DB464F" w:rsidP="00D2175F">
      <w:r>
        <w:t xml:space="preserve">It was clear that there is </w:t>
      </w:r>
      <w:r w:rsidRPr="001F7F6D">
        <w:rPr>
          <w:b/>
          <w:bCs/>
        </w:rPr>
        <w:t>growing demand in rural and regional Australia</w:t>
      </w:r>
      <w:r>
        <w:t xml:space="preserve"> for Pacific and Timorese workers, and the programs are </w:t>
      </w:r>
      <w:r w:rsidRPr="001F7F6D">
        <w:rPr>
          <w:b/>
          <w:bCs/>
        </w:rPr>
        <w:t>highly valued</w:t>
      </w:r>
      <w:r>
        <w:t xml:space="preserve">, delivering positive outcomes for Australia and the Pacific. </w:t>
      </w:r>
      <w:r w:rsidR="00247D62">
        <w:t>K</w:t>
      </w:r>
      <w:r w:rsidR="00FE30C1">
        <w:t xml:space="preserve">ey themes </w:t>
      </w:r>
      <w:r w:rsidR="001F7F6D">
        <w:t xml:space="preserve">which </w:t>
      </w:r>
      <w:r w:rsidR="00FE30C1">
        <w:t>emerged during the consultations includ</w:t>
      </w:r>
      <w:r w:rsidR="00247D62">
        <w:t>ed</w:t>
      </w:r>
      <w:r w:rsidR="00FE30C1">
        <w:t xml:space="preserve"> a desire to see further streamlining of administrative processes, more flexibility to move workers to support productivity and maximise earnings, and a keen interest in retaining high value workers for longer periods. Accommodation standards and availability, and worker wellbeing were frequently raised. </w:t>
      </w:r>
    </w:p>
    <w:p w14:paraId="484B202D" w14:textId="3416964D" w:rsidR="00BB6884" w:rsidRDefault="004F46C5" w:rsidP="00D2175F">
      <w:r>
        <w:t>Stakeholder</w:t>
      </w:r>
      <w:r w:rsidR="00DE5B51">
        <w:t>s</w:t>
      </w:r>
      <w:r>
        <w:t xml:space="preserve"> </w:t>
      </w:r>
      <w:r w:rsidR="00AE75BC">
        <w:t xml:space="preserve">expressed </w:t>
      </w:r>
      <w:r w:rsidRPr="009314E5">
        <w:rPr>
          <w:b/>
          <w:bCs/>
        </w:rPr>
        <w:t>strong support</w:t>
      </w:r>
      <w:r>
        <w:t xml:space="preserve"> </w:t>
      </w:r>
      <w:r w:rsidR="00DB464F" w:rsidRPr="00DB464F">
        <w:rPr>
          <w:b/>
          <w:bCs/>
        </w:rPr>
        <w:t xml:space="preserve">for </w:t>
      </w:r>
      <w:r w:rsidR="00297FBF" w:rsidRPr="00D31505">
        <w:rPr>
          <w:b/>
          <w:bCs/>
        </w:rPr>
        <w:t xml:space="preserve">maintaining </w:t>
      </w:r>
      <w:r w:rsidR="00DB464F">
        <w:rPr>
          <w:b/>
          <w:bCs/>
        </w:rPr>
        <w:t>high</w:t>
      </w:r>
      <w:r w:rsidR="00297FBF" w:rsidRPr="00D31505">
        <w:rPr>
          <w:b/>
          <w:bCs/>
        </w:rPr>
        <w:t xml:space="preserve"> program standards, </w:t>
      </w:r>
      <w:proofErr w:type="gramStart"/>
      <w:r w:rsidR="00297FBF" w:rsidRPr="00D31505">
        <w:rPr>
          <w:b/>
          <w:bCs/>
        </w:rPr>
        <w:t>integrity</w:t>
      </w:r>
      <w:proofErr w:type="gramEnd"/>
      <w:r w:rsidR="00297FBF" w:rsidRPr="00D31505">
        <w:rPr>
          <w:b/>
          <w:bCs/>
        </w:rPr>
        <w:t xml:space="preserve"> and worker wellbeing</w:t>
      </w:r>
      <w:r w:rsidR="00297FBF">
        <w:t>. Although so</w:t>
      </w:r>
      <w:r w:rsidR="005E0F41">
        <w:t>me stakeholders indicated th</w:t>
      </w:r>
      <w:r w:rsidR="00E16778">
        <w:t>at the</w:t>
      </w:r>
      <w:r w:rsidR="005E0F41">
        <w:t xml:space="preserve"> programs </w:t>
      </w:r>
      <w:r w:rsidR="00297FBF">
        <w:t xml:space="preserve">were </w:t>
      </w:r>
      <w:r w:rsidR="001A59D4">
        <w:t xml:space="preserve">relatively </w:t>
      </w:r>
      <w:r w:rsidR="00BB6884">
        <w:t xml:space="preserve">high cost, </w:t>
      </w:r>
      <w:r w:rsidR="005E0F41">
        <w:t>they</w:t>
      </w:r>
      <w:r w:rsidR="00BB6884">
        <w:t xml:space="preserve"> provide</w:t>
      </w:r>
      <w:r w:rsidR="008E4E98">
        <w:t>d</w:t>
      </w:r>
      <w:r w:rsidR="00BB6884">
        <w:t xml:space="preserve"> </w:t>
      </w:r>
      <w:r w:rsidR="00CF6D74">
        <w:t xml:space="preserve">a </w:t>
      </w:r>
      <w:r w:rsidR="00BB6884" w:rsidRPr="00D31505">
        <w:rPr>
          <w:b/>
          <w:bCs/>
        </w:rPr>
        <w:t>high</w:t>
      </w:r>
      <w:r w:rsidR="007B1469" w:rsidRPr="00D31505">
        <w:rPr>
          <w:b/>
          <w:bCs/>
        </w:rPr>
        <w:t xml:space="preserve"> level</w:t>
      </w:r>
      <w:r w:rsidR="00BB6884" w:rsidRPr="00D31505">
        <w:rPr>
          <w:b/>
          <w:bCs/>
        </w:rPr>
        <w:t xml:space="preserve"> </w:t>
      </w:r>
      <w:r w:rsidR="00CF6D74" w:rsidRPr="00D31505">
        <w:rPr>
          <w:b/>
          <w:bCs/>
        </w:rPr>
        <w:t xml:space="preserve">of </w:t>
      </w:r>
      <w:r w:rsidR="00BB6884" w:rsidRPr="00D31505">
        <w:rPr>
          <w:b/>
          <w:bCs/>
        </w:rPr>
        <w:t>certainty for employers</w:t>
      </w:r>
      <w:r w:rsidR="00BB6884">
        <w:t xml:space="preserve"> with a </w:t>
      </w:r>
      <w:r w:rsidR="00BB6884" w:rsidRPr="00D31505">
        <w:rPr>
          <w:b/>
          <w:bCs/>
        </w:rPr>
        <w:t>relia</w:t>
      </w:r>
      <w:r w:rsidR="001A59D4" w:rsidRPr="00D31505">
        <w:rPr>
          <w:b/>
          <w:bCs/>
        </w:rPr>
        <w:t>ble</w:t>
      </w:r>
      <w:r w:rsidR="00BB6884" w:rsidRPr="00D31505">
        <w:rPr>
          <w:b/>
          <w:bCs/>
        </w:rPr>
        <w:t xml:space="preserve">, </w:t>
      </w:r>
      <w:proofErr w:type="gramStart"/>
      <w:r w:rsidR="00BB6884" w:rsidRPr="00D31505">
        <w:rPr>
          <w:b/>
          <w:bCs/>
        </w:rPr>
        <w:t>returning</w:t>
      </w:r>
      <w:proofErr w:type="gramEnd"/>
      <w:r w:rsidR="00BB6884" w:rsidRPr="00D31505">
        <w:rPr>
          <w:b/>
          <w:bCs/>
        </w:rPr>
        <w:t xml:space="preserve"> and productive workforce</w:t>
      </w:r>
      <w:r w:rsidR="00E16778">
        <w:t xml:space="preserve">. They </w:t>
      </w:r>
      <w:r w:rsidR="005E0F41">
        <w:t xml:space="preserve">also </w:t>
      </w:r>
      <w:r w:rsidR="005E0F41" w:rsidRPr="00D31505">
        <w:rPr>
          <w:b/>
          <w:bCs/>
        </w:rPr>
        <w:t>benefit</w:t>
      </w:r>
      <w:r w:rsidR="008E4E98">
        <w:rPr>
          <w:b/>
          <w:bCs/>
        </w:rPr>
        <w:t>ted</w:t>
      </w:r>
      <w:r w:rsidR="005E0F41" w:rsidRPr="00D31505">
        <w:rPr>
          <w:b/>
          <w:bCs/>
        </w:rPr>
        <w:t xml:space="preserve"> workers</w:t>
      </w:r>
      <w:r w:rsidR="005E0F41">
        <w:t xml:space="preserve"> </w:t>
      </w:r>
      <w:r w:rsidR="00297FBF">
        <w:t xml:space="preserve">by providing </w:t>
      </w:r>
      <w:r w:rsidR="005E0F41">
        <w:t xml:space="preserve">an income stream </w:t>
      </w:r>
      <w:r w:rsidR="00297FBF">
        <w:t xml:space="preserve">that </w:t>
      </w:r>
      <w:r w:rsidR="005E0F41">
        <w:t>enable</w:t>
      </w:r>
      <w:r w:rsidR="00247D62">
        <w:t>s</w:t>
      </w:r>
      <w:r w:rsidR="005E0F41">
        <w:t xml:space="preserve"> workers </w:t>
      </w:r>
      <w:r w:rsidR="0006467E">
        <w:t>to support their families and communities</w:t>
      </w:r>
      <w:r w:rsidR="00BB6884">
        <w:t xml:space="preserve">. </w:t>
      </w:r>
      <w:r w:rsidR="007B1469">
        <w:t>The horticulture</w:t>
      </w:r>
      <w:r w:rsidR="00BB6884">
        <w:t xml:space="preserve"> and meat processing sectors noted that the programs</w:t>
      </w:r>
      <w:r w:rsidR="007B1469">
        <w:t xml:space="preserve"> </w:t>
      </w:r>
      <w:r w:rsidR="00297FBF">
        <w:t>ha</w:t>
      </w:r>
      <w:r w:rsidR="008E4E98">
        <w:t>d</w:t>
      </w:r>
      <w:r w:rsidR="00297FBF">
        <w:t xml:space="preserve"> become</w:t>
      </w:r>
      <w:r w:rsidR="00297FBF" w:rsidRPr="00247D62">
        <w:rPr>
          <w:b/>
          <w:bCs/>
        </w:rPr>
        <w:t xml:space="preserve"> </w:t>
      </w:r>
      <w:r w:rsidR="00DE003E" w:rsidRPr="00247D62">
        <w:rPr>
          <w:b/>
          <w:bCs/>
        </w:rPr>
        <w:t>a</w:t>
      </w:r>
      <w:r w:rsidR="007B1469" w:rsidRPr="00247D62">
        <w:rPr>
          <w:b/>
          <w:bCs/>
        </w:rPr>
        <w:t xml:space="preserve"> </w:t>
      </w:r>
      <w:r w:rsidR="00DE5B51" w:rsidRPr="00247D62">
        <w:rPr>
          <w:b/>
          <w:bCs/>
        </w:rPr>
        <w:t xml:space="preserve">critical </w:t>
      </w:r>
      <w:r w:rsidR="007B1469" w:rsidRPr="00247D62">
        <w:rPr>
          <w:b/>
          <w:bCs/>
        </w:rPr>
        <w:t>part of their workforce</w:t>
      </w:r>
      <w:r w:rsidR="00BB6884">
        <w:t>, particularly during the COVID-19 pandemic.</w:t>
      </w:r>
      <w:r w:rsidR="00E16778">
        <w:t xml:space="preserve">  </w:t>
      </w:r>
    </w:p>
    <w:p w14:paraId="2251696F" w14:textId="77777777" w:rsidR="005F3D0E" w:rsidRDefault="00A55566" w:rsidP="005F5617">
      <w:r>
        <w:rPr>
          <w:noProof/>
        </w:rPr>
        <w:lastRenderedPageBreak/>
        <mc:AlternateContent>
          <mc:Choice Requires="wps">
            <w:drawing>
              <wp:inline distT="0" distB="0" distL="0" distR="0" wp14:anchorId="0947284C" wp14:editId="76A7EFE4">
                <wp:extent cx="5638800" cy="457200"/>
                <wp:effectExtent l="0" t="0" r="19050" b="19050"/>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457200"/>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75AB0FE" w14:textId="77777777" w:rsidR="00A55566" w:rsidRPr="006A45B7" w:rsidRDefault="00A55566" w:rsidP="00A55566">
                            <w:pPr>
                              <w:spacing w:after="40"/>
                              <w:rPr>
                                <w:i/>
                                <w:iCs/>
                                <w:sz w:val="18"/>
                                <w:szCs w:val="18"/>
                              </w:rPr>
                            </w:pPr>
                            <w:r w:rsidRPr="006A45B7">
                              <w:rPr>
                                <w:i/>
                                <w:iCs/>
                                <w:sz w:val="18"/>
                                <w:szCs w:val="18"/>
                              </w:rPr>
                              <w:t xml:space="preserve">‘The SWP and PLS should be administered via a single program body with Government Agency support. </w:t>
                            </w:r>
                          </w:p>
                          <w:p w14:paraId="41686AA3" w14:textId="5B18717F" w:rsidR="00A55566" w:rsidRPr="00150DFD" w:rsidRDefault="00A55566" w:rsidP="005F3D0E">
                            <w:pPr>
                              <w:spacing w:after="40"/>
                              <w:rPr>
                                <w:sz w:val="18"/>
                                <w:szCs w:val="18"/>
                              </w:rPr>
                            </w:pPr>
                            <w:r w:rsidRPr="006A45B7">
                              <w:rPr>
                                <w:i/>
                                <w:iCs/>
                                <w:sz w:val="18"/>
                                <w:szCs w:val="18"/>
                              </w:rPr>
                              <w:t>One Deed and one set of Guidelines.’</w:t>
                            </w:r>
                            <w:r w:rsidR="005F3D0E">
                              <w:rPr>
                                <w:i/>
                                <w:iCs/>
                                <w:sz w:val="18"/>
                                <w:szCs w:val="18"/>
                              </w:rPr>
                              <w:t xml:space="preserve"> -</w:t>
                            </w:r>
                            <w:r w:rsidRPr="006A45B7">
                              <w:rPr>
                                <w:sz w:val="18"/>
                                <w:szCs w:val="18"/>
                              </w:rPr>
                              <w:t>Approved Employers of Australia</w:t>
                            </w:r>
                          </w:p>
                        </w:txbxContent>
                      </wps:txbx>
                      <wps:bodyPr rot="0" vert="horz" wrap="square" lIns="91440" tIns="45720" rIns="91440" bIns="45720" anchor="t" anchorCtr="0">
                        <a:noAutofit/>
                      </wps:bodyPr>
                    </wps:wsp>
                  </a:graphicData>
                </a:graphic>
              </wp:inline>
            </w:drawing>
          </mc:Choice>
          <mc:Fallback>
            <w:pict>
              <v:roundrect w14:anchorId="0947284C" id="Text Box 2" o:spid="_x0000_s1026" alt="&quot;&quot;" style="width:444pt;height:3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" fillcolor="white [3201]" strokecolor="#4472c4 [3204]" strokeweight="1pt">
                <v:stroke joinstyle="miter"/>
                <v:textbox>
                  <w:txbxContent>
                    <w:p w14:paraId="375AB0FE" w14:textId="77777777" w:rsidR="00A55566" w:rsidRPr="006A45B7" w:rsidRDefault="00A55566" w:rsidP="00A55566">
                      <w:pPr>
                        <w:spacing w:after="40"/>
                        <w:rPr>
                          <w:i/>
                          <w:iCs/>
                          <w:sz w:val="18"/>
                          <w:szCs w:val="18"/>
                        </w:rPr>
                      </w:pPr>
                      <w:r w:rsidRPr="006A45B7">
                        <w:rPr>
                          <w:i/>
                          <w:iCs/>
                          <w:sz w:val="18"/>
                          <w:szCs w:val="18"/>
                        </w:rPr>
                        <w:t xml:space="preserve">‘The SWP and PLS should be administered via a single program body with Government Agency support. </w:t>
                      </w:r>
                    </w:p>
                    <w:p w14:paraId="41686AA3" w14:textId="5B18717F" w:rsidR="00A55566" w:rsidRPr="00150DFD" w:rsidRDefault="00A55566" w:rsidP="005F3D0E">
                      <w:pPr>
                        <w:spacing w:after="40"/>
                        <w:rPr>
                          <w:sz w:val="18"/>
                          <w:szCs w:val="18"/>
                        </w:rPr>
                      </w:pPr>
                      <w:r w:rsidRPr="006A45B7">
                        <w:rPr>
                          <w:i/>
                          <w:iCs/>
                          <w:sz w:val="18"/>
                          <w:szCs w:val="18"/>
                        </w:rPr>
                        <w:t>One Deed and one set of Guidelines.’</w:t>
                      </w:r>
                      <w:r w:rsidR="005F3D0E">
                        <w:rPr>
                          <w:i/>
                          <w:iCs/>
                          <w:sz w:val="18"/>
                          <w:szCs w:val="18"/>
                        </w:rPr>
                        <w:t xml:space="preserve"> -</w:t>
                      </w:r>
                      <w:r w:rsidRPr="006A45B7">
                        <w:rPr>
                          <w:sz w:val="18"/>
                          <w:szCs w:val="18"/>
                        </w:rPr>
                        <w:t>Approved Employers of Australia</w:t>
                      </w:r>
                    </w:p>
                  </w:txbxContent>
                </v:textbox>
                <w10:anchorlock/>
              </v:roundrect>
            </w:pict>
          </mc:Fallback>
        </mc:AlternateContent>
      </w:r>
    </w:p>
    <w:p w14:paraId="30A28713" w14:textId="48ACA562" w:rsidR="005F5617" w:rsidRDefault="00297FBF" w:rsidP="005F5617">
      <w:r>
        <w:t>A key theme to emerge during the consultations was a desire for</w:t>
      </w:r>
      <w:r w:rsidR="00247D62">
        <w:t xml:space="preserve"> a</w:t>
      </w:r>
      <w:r>
        <w:t xml:space="preserve"> </w:t>
      </w:r>
      <w:r w:rsidR="005E0F41" w:rsidRPr="00D31505">
        <w:rPr>
          <w:b/>
          <w:bCs/>
        </w:rPr>
        <w:t>more</w:t>
      </w:r>
      <w:r w:rsidR="001A59D4" w:rsidRPr="00D31505">
        <w:rPr>
          <w:b/>
          <w:bCs/>
        </w:rPr>
        <w:t xml:space="preserve"> aligned</w:t>
      </w:r>
      <w:r w:rsidR="00227EED">
        <w:rPr>
          <w:b/>
          <w:bCs/>
        </w:rPr>
        <w:t xml:space="preserve"> and</w:t>
      </w:r>
      <w:r w:rsidR="005E0F41" w:rsidRPr="00D31505">
        <w:rPr>
          <w:b/>
          <w:bCs/>
        </w:rPr>
        <w:t xml:space="preserve"> </w:t>
      </w:r>
      <w:r w:rsidR="001A59D4" w:rsidRPr="00D31505">
        <w:rPr>
          <w:b/>
          <w:bCs/>
        </w:rPr>
        <w:t xml:space="preserve">simplified </w:t>
      </w:r>
      <w:r>
        <w:rPr>
          <w:b/>
          <w:bCs/>
        </w:rPr>
        <w:t>approach to Pacific labour mobility</w:t>
      </w:r>
      <w:r w:rsidR="00247D62">
        <w:rPr>
          <w:b/>
          <w:bCs/>
        </w:rPr>
        <w:t>,</w:t>
      </w:r>
      <w:r>
        <w:rPr>
          <w:b/>
          <w:bCs/>
        </w:rPr>
        <w:t xml:space="preserve"> </w:t>
      </w:r>
      <w:r w:rsidR="001A59D4">
        <w:t xml:space="preserve">with a </w:t>
      </w:r>
      <w:r w:rsidR="001A59D4" w:rsidRPr="00D31505">
        <w:rPr>
          <w:b/>
          <w:bCs/>
        </w:rPr>
        <w:t xml:space="preserve">single </w:t>
      </w:r>
      <w:r w:rsidR="000A2C3D">
        <w:rPr>
          <w:b/>
          <w:bCs/>
        </w:rPr>
        <w:t xml:space="preserve">Australian government </w:t>
      </w:r>
      <w:r w:rsidR="00E16778">
        <w:rPr>
          <w:b/>
          <w:bCs/>
        </w:rPr>
        <w:t xml:space="preserve">department </w:t>
      </w:r>
      <w:r>
        <w:rPr>
          <w:b/>
          <w:bCs/>
        </w:rPr>
        <w:t xml:space="preserve">administering the </w:t>
      </w:r>
      <w:r w:rsidR="00E16778">
        <w:rPr>
          <w:b/>
          <w:bCs/>
        </w:rPr>
        <w:t>programs</w:t>
      </w:r>
      <w:r w:rsidR="001A59D4">
        <w:t xml:space="preserve">. </w:t>
      </w:r>
      <w:r w:rsidR="00E16778">
        <w:t>Stakeholders fe</w:t>
      </w:r>
      <w:r>
        <w:t>lt</w:t>
      </w:r>
      <w:r w:rsidR="00E16778">
        <w:t xml:space="preserve"> this </w:t>
      </w:r>
      <w:r w:rsidR="005E0F41">
        <w:t xml:space="preserve">would reduce </w:t>
      </w:r>
      <w:r w:rsidR="00E16778">
        <w:t xml:space="preserve">red tape and create </w:t>
      </w:r>
      <w:r w:rsidR="000A2C3D">
        <w:t>efficiencies</w:t>
      </w:r>
      <w:r w:rsidR="00247D62">
        <w:t>,</w:t>
      </w:r>
      <w:r w:rsidR="000A2C3D">
        <w:t xml:space="preserve"> </w:t>
      </w:r>
      <w:r w:rsidR="00527EC7">
        <w:t>through</w:t>
      </w:r>
      <w:r w:rsidR="000A2C3D">
        <w:t xml:space="preserve"> a single </w:t>
      </w:r>
      <w:r w:rsidR="001A59D4">
        <w:t>Deed of Agreement</w:t>
      </w:r>
      <w:r w:rsidR="005E0F41">
        <w:t xml:space="preserve">, </w:t>
      </w:r>
      <w:r>
        <w:t xml:space="preserve">employer </w:t>
      </w:r>
      <w:r w:rsidR="001A59D4">
        <w:t>guidelines and accommodation approval process.</w:t>
      </w:r>
      <w:r w:rsidR="005F5617">
        <w:t xml:space="preserve"> </w:t>
      </w:r>
      <w:r w:rsidR="002872B2">
        <w:rPr>
          <w:iCs/>
        </w:rPr>
        <w:t xml:space="preserve">A </w:t>
      </w:r>
      <w:r w:rsidR="005F5617" w:rsidRPr="00D31505">
        <w:rPr>
          <w:b/>
          <w:bCs/>
          <w:iCs/>
        </w:rPr>
        <w:t xml:space="preserve">greater </w:t>
      </w:r>
      <w:r w:rsidR="002872B2">
        <w:rPr>
          <w:b/>
          <w:bCs/>
          <w:iCs/>
        </w:rPr>
        <w:t xml:space="preserve">program </w:t>
      </w:r>
      <w:r w:rsidR="005F5617" w:rsidRPr="00D31505">
        <w:rPr>
          <w:b/>
          <w:bCs/>
          <w:iCs/>
        </w:rPr>
        <w:t>presence in the regions of Australia</w:t>
      </w:r>
      <w:r w:rsidR="002872B2">
        <w:rPr>
          <w:b/>
          <w:bCs/>
          <w:iCs/>
        </w:rPr>
        <w:t xml:space="preserve"> </w:t>
      </w:r>
      <w:r w:rsidR="002872B2">
        <w:rPr>
          <w:iCs/>
        </w:rPr>
        <w:t>was also suggested as a way of improving program delivery</w:t>
      </w:r>
      <w:r w:rsidR="005F5617">
        <w:rPr>
          <w:iCs/>
        </w:rPr>
        <w:t xml:space="preserve">. </w:t>
      </w:r>
    </w:p>
    <w:p w14:paraId="0B6BC2F1" w14:textId="0C0AA510" w:rsidR="001A59D4" w:rsidRDefault="00297FBF" w:rsidP="001A59D4">
      <w:bookmarkStart w:id="0" w:name="_Hlk78485620"/>
      <w:r>
        <w:t xml:space="preserve">For </w:t>
      </w:r>
      <w:r w:rsidR="001A59D4">
        <w:t>Pacific and Timorese Governments and stakeholders</w:t>
      </w:r>
      <w:r>
        <w:t>,</w:t>
      </w:r>
      <w:r w:rsidR="001A59D4">
        <w:t xml:space="preserve"> </w:t>
      </w:r>
      <w:r w:rsidR="001A59D4" w:rsidRPr="00247D62">
        <w:rPr>
          <w:b/>
          <w:bCs/>
        </w:rPr>
        <w:t xml:space="preserve">worker </w:t>
      </w:r>
      <w:r w:rsidR="0014006F">
        <w:rPr>
          <w:b/>
          <w:bCs/>
        </w:rPr>
        <w:t>welfare</w:t>
      </w:r>
      <w:r w:rsidR="005E0F41">
        <w:t xml:space="preserve">, </w:t>
      </w:r>
      <w:r w:rsidR="001A59D4" w:rsidRPr="00247D62">
        <w:rPr>
          <w:b/>
          <w:bCs/>
        </w:rPr>
        <w:t>training</w:t>
      </w:r>
      <w:r w:rsidR="001A59D4">
        <w:t xml:space="preserve"> opportunities, </w:t>
      </w:r>
      <w:r w:rsidR="005E0F41">
        <w:t xml:space="preserve">and </w:t>
      </w:r>
      <w:r w:rsidR="001A59D4">
        <w:t>increas</w:t>
      </w:r>
      <w:r w:rsidR="00247D62">
        <w:t>ing</w:t>
      </w:r>
      <w:r w:rsidR="001A59D4" w:rsidRPr="00247D62">
        <w:rPr>
          <w:b/>
          <w:bCs/>
        </w:rPr>
        <w:t xml:space="preserve"> financial benefits</w:t>
      </w:r>
      <w:r>
        <w:t xml:space="preserve"> </w:t>
      </w:r>
      <w:r w:rsidR="00247D62">
        <w:t xml:space="preserve">for workers </w:t>
      </w:r>
      <w:r>
        <w:t xml:space="preserve">were </w:t>
      </w:r>
      <w:r w:rsidR="00451E61">
        <w:t>priorit</w:t>
      </w:r>
      <w:r w:rsidR="00455A6B">
        <w:t>y concerns</w:t>
      </w:r>
      <w:r w:rsidR="005E0F41">
        <w:t xml:space="preserve">. These stakeholders also </w:t>
      </w:r>
      <w:r w:rsidR="00451E61">
        <w:t xml:space="preserve">expressed </w:t>
      </w:r>
      <w:r w:rsidR="005E0F41">
        <w:t>views on</w:t>
      </w:r>
      <w:r w:rsidR="001A59D4">
        <w:t xml:space="preserve"> worker portability, </w:t>
      </w:r>
      <w:r w:rsidR="00FA2298">
        <w:t xml:space="preserve">longer </w:t>
      </w:r>
      <w:r w:rsidR="001A59D4">
        <w:t>visa length and</w:t>
      </w:r>
      <w:r w:rsidR="005E0F41">
        <w:t xml:space="preserve"> the challenges of</w:t>
      </w:r>
      <w:r w:rsidR="001A59D4">
        <w:t xml:space="preserve"> famil</w:t>
      </w:r>
      <w:r w:rsidR="005E0F41">
        <w:t>y separation.</w:t>
      </w:r>
    </w:p>
    <w:p w14:paraId="402240E9" w14:textId="41A2DE83" w:rsidR="001A59D4" w:rsidRDefault="00451E61" w:rsidP="001A59D4">
      <w:r>
        <w:t>I</w:t>
      </w:r>
      <w:r w:rsidR="001A59D4">
        <w:t xml:space="preserve">ndustry feedback was largely focused on </w:t>
      </w:r>
      <w:r w:rsidR="00D31505">
        <w:t xml:space="preserve">program administration, </w:t>
      </w:r>
      <w:r>
        <w:t xml:space="preserve">the </w:t>
      </w:r>
      <w:r w:rsidR="001A59D4">
        <w:t xml:space="preserve">availability of </w:t>
      </w:r>
      <w:r w:rsidR="001A59D4" w:rsidRPr="00247D62">
        <w:rPr>
          <w:b/>
          <w:bCs/>
        </w:rPr>
        <w:t>suitable accommodation</w:t>
      </w:r>
      <w:r w:rsidR="001A59D4">
        <w:t xml:space="preserve">, accommodation </w:t>
      </w:r>
      <w:r w:rsidR="001A59D4" w:rsidRPr="00247D62">
        <w:rPr>
          <w:b/>
          <w:bCs/>
        </w:rPr>
        <w:t>approval processes</w:t>
      </w:r>
      <w:r w:rsidR="001A59D4">
        <w:t>, worker training opportunities</w:t>
      </w:r>
      <w:r w:rsidR="005E0F41">
        <w:t>, visa length</w:t>
      </w:r>
      <w:r w:rsidR="001A59D4">
        <w:t xml:space="preserve"> and </w:t>
      </w:r>
      <w:r w:rsidR="005E0F41">
        <w:t xml:space="preserve">other </w:t>
      </w:r>
      <w:r w:rsidR="001A59D4" w:rsidRPr="00247D62">
        <w:rPr>
          <w:b/>
          <w:bCs/>
        </w:rPr>
        <w:t xml:space="preserve">program flexibilities </w:t>
      </w:r>
      <w:r w:rsidR="005E0F41" w:rsidRPr="00247D62">
        <w:rPr>
          <w:b/>
          <w:bCs/>
        </w:rPr>
        <w:t>such as</w:t>
      </w:r>
      <w:r w:rsidR="001A59D4" w:rsidRPr="00247D62">
        <w:rPr>
          <w:b/>
          <w:bCs/>
        </w:rPr>
        <w:t xml:space="preserve"> worker portability</w:t>
      </w:r>
      <w:r w:rsidR="00247D62">
        <w:t xml:space="preserve"> (i.e.: a system to more easily more workers around)</w:t>
      </w:r>
      <w:r w:rsidR="001A59D4">
        <w:t>.</w:t>
      </w:r>
    </w:p>
    <w:bookmarkEnd w:id="0"/>
    <w:p w14:paraId="3175BD6D" w14:textId="3FE95906" w:rsidR="003C7299" w:rsidRPr="003C7299" w:rsidRDefault="00064C8C" w:rsidP="003C7299">
      <w:r>
        <w:rPr>
          <w:noProof/>
        </w:rPr>
        <mc:AlternateContent>
          <mc:Choice Requires="wps">
            <w:drawing>
              <wp:inline distT="0" distB="0" distL="0" distR="0" wp14:anchorId="4FA5BF28" wp14:editId="26B130C0">
                <wp:extent cx="5705475" cy="809625"/>
                <wp:effectExtent l="0" t="0" r="28575" b="28575"/>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09625"/>
                        </a:xfrm>
                        <a:prstGeom prst="roundRect">
                          <a:avLst/>
                        </a:prstGeom>
                        <a:solidFill>
                          <a:srgbClr val="FFFFFF"/>
                        </a:solidFill>
                        <a:ln w="3175">
                          <a:solidFill>
                            <a:srgbClr val="00A278"/>
                          </a:solidFill>
                          <a:miter lim="800000"/>
                          <a:headEnd/>
                          <a:tailEnd/>
                        </a:ln>
                      </wps:spPr>
                      <wps:txbx>
                        <w:txbxContent>
                          <w:p w14:paraId="7E9D230D" w14:textId="77777777" w:rsidR="00A55566" w:rsidRPr="007B23A5" w:rsidRDefault="00A55566" w:rsidP="00A55566">
                            <w:pPr>
                              <w:spacing w:after="40"/>
                              <w:rPr>
                                <w:i/>
                                <w:iCs/>
                                <w:sz w:val="18"/>
                                <w:szCs w:val="18"/>
                              </w:rPr>
                            </w:pPr>
                            <w:r w:rsidRPr="007B23A5">
                              <w:rPr>
                                <w:i/>
                                <w:iCs/>
                                <w:sz w:val="18"/>
                                <w:szCs w:val="18"/>
                              </w:rPr>
                              <w:t>‘Greater flexibility in moving workers between locations under the same approved employer or to a new location under a different approved employer to keep workers in adequate levels of work would be highly desirable.’</w:t>
                            </w:r>
                          </w:p>
                          <w:p w14:paraId="6D56A50D" w14:textId="77777777" w:rsidR="00A55566" w:rsidRPr="00150DFD" w:rsidRDefault="00A55566" w:rsidP="00A55566">
                            <w:pPr>
                              <w:spacing w:after="40"/>
                              <w:rPr>
                                <w:sz w:val="18"/>
                                <w:szCs w:val="18"/>
                              </w:rPr>
                            </w:pPr>
                            <w:r w:rsidRPr="007B23A5">
                              <w:rPr>
                                <w:sz w:val="18"/>
                                <w:szCs w:val="18"/>
                              </w:rPr>
                              <w:t>The Salvation Army Australia, The Uniting Church in Australia, Synod of Victoria and Tasmania, the Pacific Islands Council of Queensland, Inc, and the Pacific Islands Council of South Australia</w:t>
                            </w:r>
                          </w:p>
                        </w:txbxContent>
                      </wps:txbx>
                      <wps:bodyPr rot="0" vert="horz" wrap="square" lIns="91440" tIns="45720" rIns="91440" bIns="45720" anchor="t" anchorCtr="0">
                        <a:noAutofit/>
                      </wps:bodyPr>
                    </wps:wsp>
                  </a:graphicData>
                </a:graphic>
              </wp:inline>
            </w:drawing>
          </mc:Choice>
          <mc:Fallback>
            <w:pict>
              <v:roundrect w14:anchorId="4FA5BF28" id="_x0000_s1027" alt="&quot;&quot;" style="width:449.25pt;height:63.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" strokecolor="#00a278" strokeweight=".25pt">
                <v:stroke joinstyle="miter"/>
                <v:textbox>
                  <w:txbxContent>
                    <w:p w14:paraId="7E9D230D" w14:textId="77777777" w:rsidR="00A55566" w:rsidRPr="007B23A5" w:rsidRDefault="00A55566" w:rsidP="00A55566">
                      <w:pPr>
                        <w:spacing w:after="40"/>
                        <w:rPr>
                          <w:i/>
                          <w:iCs/>
                          <w:sz w:val="18"/>
                          <w:szCs w:val="18"/>
                        </w:rPr>
                      </w:pPr>
                      <w:r w:rsidRPr="007B23A5">
                        <w:rPr>
                          <w:i/>
                          <w:iCs/>
                          <w:sz w:val="18"/>
                          <w:szCs w:val="18"/>
                        </w:rPr>
                        <w:t>‘Greater flexibility in moving workers between locations under the same approved employer or to a new location under a different approved employer to keep workers in adequate levels of work would be highly desirable.’</w:t>
                      </w:r>
                    </w:p>
                    <w:p w14:paraId="6D56A50D" w14:textId="77777777" w:rsidR="00A55566" w:rsidRPr="00150DFD" w:rsidRDefault="00A55566" w:rsidP="00A55566">
                      <w:pPr>
                        <w:spacing w:after="40"/>
                        <w:rPr>
                          <w:sz w:val="18"/>
                          <w:szCs w:val="18"/>
                        </w:rPr>
                      </w:pPr>
                      <w:r w:rsidRPr="007B23A5">
                        <w:rPr>
                          <w:sz w:val="18"/>
                          <w:szCs w:val="18"/>
                        </w:rPr>
                        <w:t>The Salvation Army Australia, The Uniting Church in Australia, Synod of Victoria and Tasmania, the Pacific Islands Council of Queensland, Inc, and the Pacific Islands Council of South Australia</w:t>
                      </w:r>
                    </w:p>
                  </w:txbxContent>
                </v:textbox>
                <w10:anchorlock/>
              </v:roundrect>
            </w:pict>
          </mc:Fallback>
        </mc:AlternateContent>
      </w:r>
      <w:r w:rsidR="00451E61">
        <w:t xml:space="preserve">Some </w:t>
      </w:r>
      <w:r w:rsidR="003C7299">
        <w:t xml:space="preserve">sectors, particularly horticulture, </w:t>
      </w:r>
      <w:proofErr w:type="gramStart"/>
      <w:r w:rsidR="003C7299">
        <w:t>tourism</w:t>
      </w:r>
      <w:proofErr w:type="gramEnd"/>
      <w:r w:rsidR="003C7299">
        <w:t xml:space="preserve"> and hospitality, </w:t>
      </w:r>
      <w:r w:rsidR="00451E61">
        <w:t xml:space="preserve">are </w:t>
      </w:r>
      <w:r w:rsidR="003C7299">
        <w:t>see</w:t>
      </w:r>
      <w:r w:rsidR="00451E61">
        <w:t>king</w:t>
      </w:r>
      <w:r w:rsidR="003C7299">
        <w:t xml:space="preserve"> </w:t>
      </w:r>
      <w:r w:rsidR="00451E61">
        <w:rPr>
          <w:b/>
          <w:bCs/>
        </w:rPr>
        <w:t xml:space="preserve">more </w:t>
      </w:r>
      <w:r w:rsidR="003C7299" w:rsidRPr="00D31505">
        <w:rPr>
          <w:b/>
          <w:bCs/>
        </w:rPr>
        <w:t>flexibility to mo</w:t>
      </w:r>
      <w:r w:rsidR="00DE003E" w:rsidRPr="00D31505">
        <w:rPr>
          <w:b/>
          <w:bCs/>
        </w:rPr>
        <w:t>v</w:t>
      </w:r>
      <w:r w:rsidR="003C7299" w:rsidRPr="00D31505">
        <w:rPr>
          <w:b/>
          <w:bCs/>
        </w:rPr>
        <w:t>e workers between Approved Employers</w:t>
      </w:r>
      <w:r w:rsidR="001A59D4">
        <w:t xml:space="preserve"> (</w:t>
      </w:r>
      <w:r w:rsidR="00247D62">
        <w:t xml:space="preserve">one form of </w:t>
      </w:r>
      <w:r w:rsidR="001A59D4">
        <w:t>portability</w:t>
      </w:r>
      <w:r w:rsidR="00451E61">
        <w:t xml:space="preserve">), driven by the nature of the work, unpredictable seasons </w:t>
      </w:r>
      <w:r w:rsidR="00451E61">
        <w:rPr>
          <w:iCs/>
        </w:rPr>
        <w:t xml:space="preserve">or the suitability of workers </w:t>
      </w:r>
      <w:r w:rsidR="003C7299" w:rsidRPr="00935CE0">
        <w:rPr>
          <w:iCs/>
        </w:rPr>
        <w:t xml:space="preserve">to </w:t>
      </w:r>
      <w:r w:rsidR="00451E61">
        <w:rPr>
          <w:iCs/>
        </w:rPr>
        <w:t xml:space="preserve">particular </w:t>
      </w:r>
      <w:r w:rsidR="003C7299" w:rsidRPr="00935CE0">
        <w:rPr>
          <w:iCs/>
        </w:rPr>
        <w:t>role</w:t>
      </w:r>
      <w:r w:rsidR="008E4E98">
        <w:rPr>
          <w:iCs/>
        </w:rPr>
        <w:t>s</w:t>
      </w:r>
      <w:r w:rsidR="00451E61">
        <w:rPr>
          <w:iCs/>
        </w:rPr>
        <w:t xml:space="preserve">. Other stakeholders advocated for workers to be given </w:t>
      </w:r>
      <w:r w:rsidR="001D19CB">
        <w:rPr>
          <w:iCs/>
        </w:rPr>
        <w:t xml:space="preserve">the </w:t>
      </w:r>
      <w:r w:rsidR="00451E61">
        <w:rPr>
          <w:iCs/>
        </w:rPr>
        <w:t xml:space="preserve">opportunity </w:t>
      </w:r>
      <w:r w:rsidR="00207789">
        <w:rPr>
          <w:iCs/>
        </w:rPr>
        <w:t xml:space="preserve">to </w:t>
      </w:r>
      <w:r w:rsidR="001D19CB">
        <w:rPr>
          <w:iCs/>
        </w:rPr>
        <w:t xml:space="preserve">instigate </w:t>
      </w:r>
      <w:r w:rsidR="00207789">
        <w:rPr>
          <w:iCs/>
        </w:rPr>
        <w:t>move</w:t>
      </w:r>
      <w:r w:rsidR="001D19CB">
        <w:rPr>
          <w:iCs/>
        </w:rPr>
        <w:t>s</w:t>
      </w:r>
      <w:r w:rsidR="00207789">
        <w:rPr>
          <w:iCs/>
        </w:rPr>
        <w:t xml:space="preserve"> between Approved Employers</w:t>
      </w:r>
      <w:r w:rsidR="003C7299" w:rsidRPr="00935CE0">
        <w:rPr>
          <w:iCs/>
        </w:rPr>
        <w:t xml:space="preserve">. </w:t>
      </w:r>
    </w:p>
    <w:p w14:paraId="0C506D85" w14:textId="10E1C258" w:rsidR="003C7299" w:rsidRDefault="00235369" w:rsidP="003C7299">
      <w:pPr>
        <w:rPr>
          <w:iCs/>
        </w:rPr>
      </w:pPr>
      <w:r>
        <w:t>Several</w:t>
      </w:r>
      <w:r w:rsidR="003C7299">
        <w:t xml:space="preserve"> unions and community groups </w:t>
      </w:r>
      <w:r w:rsidR="001D19CB">
        <w:t xml:space="preserve">identified </w:t>
      </w:r>
      <w:proofErr w:type="gramStart"/>
      <w:r w:rsidR="001D19CB">
        <w:t>a number of</w:t>
      </w:r>
      <w:proofErr w:type="gramEnd"/>
      <w:r w:rsidR="001D19CB">
        <w:t xml:space="preserve"> </w:t>
      </w:r>
      <w:r w:rsidR="00AF1E54">
        <w:t xml:space="preserve">benefits </w:t>
      </w:r>
      <w:r w:rsidR="008E4E98">
        <w:t xml:space="preserve">to </w:t>
      </w:r>
      <w:r w:rsidR="003C7299">
        <w:t xml:space="preserve">increased </w:t>
      </w:r>
      <w:r>
        <w:t>portability,</w:t>
      </w:r>
      <w:r w:rsidR="003C7299">
        <w:t xml:space="preserve"> provided </w:t>
      </w:r>
      <w:r w:rsidR="003C7299" w:rsidRPr="001B7669">
        <w:rPr>
          <w:b/>
          <w:bCs/>
        </w:rPr>
        <w:t xml:space="preserve">standards, integrity and worker welfare protections </w:t>
      </w:r>
      <w:r w:rsidR="003C7299">
        <w:t xml:space="preserve">were maintained. </w:t>
      </w:r>
      <w:r w:rsidR="001D19CB">
        <w:t>They noted that i</w:t>
      </w:r>
      <w:r w:rsidR="003C7299">
        <w:t xml:space="preserve">ncreased worker portability </w:t>
      </w:r>
      <w:r w:rsidR="001D19CB">
        <w:t xml:space="preserve">would </w:t>
      </w:r>
      <w:r w:rsidR="000A2C3D">
        <w:t xml:space="preserve">allow </w:t>
      </w:r>
      <w:r w:rsidR="003C7299">
        <w:t xml:space="preserve">workers </w:t>
      </w:r>
      <w:r w:rsidR="000A2C3D">
        <w:t xml:space="preserve">to be </w:t>
      </w:r>
      <w:r w:rsidR="00DA304C">
        <w:t xml:space="preserve">employed </w:t>
      </w:r>
      <w:r w:rsidR="000A2C3D">
        <w:t xml:space="preserve">more </w:t>
      </w:r>
      <w:r w:rsidR="003C7299">
        <w:t>productively and flexibly, supporting employers with short-term needs, while ensuring workers maximise</w:t>
      </w:r>
      <w:r w:rsidR="001D19CB">
        <w:t>d</w:t>
      </w:r>
      <w:r w:rsidR="003C7299">
        <w:t xml:space="preserve"> </w:t>
      </w:r>
      <w:r w:rsidR="001D19CB">
        <w:t xml:space="preserve">their </w:t>
      </w:r>
      <w:r w:rsidR="003C7299">
        <w:t xml:space="preserve">incomes and </w:t>
      </w:r>
      <w:r w:rsidR="001D19CB">
        <w:t xml:space="preserve">were </w:t>
      </w:r>
      <w:r w:rsidR="003C7299">
        <w:t xml:space="preserve">not idle during quiet periods. </w:t>
      </w:r>
    </w:p>
    <w:p w14:paraId="66924357" w14:textId="752176A3" w:rsidR="00C11456" w:rsidRDefault="001D19CB" w:rsidP="00443740">
      <w:r>
        <w:t xml:space="preserve">Visa arrangements also generated strong interest and considerable discussion during virtual roundtables. </w:t>
      </w:r>
      <w:r w:rsidR="001748A5">
        <w:t>A</w:t>
      </w:r>
      <w:r w:rsidR="00BB6884">
        <w:t xml:space="preserve">griculture stakeholders, particularly </w:t>
      </w:r>
      <w:r w:rsidR="001748A5">
        <w:t xml:space="preserve">in </w:t>
      </w:r>
      <w:r w:rsidR="00BB6884">
        <w:t xml:space="preserve">horticulture, noted the </w:t>
      </w:r>
      <w:r w:rsidR="00BB6884" w:rsidRPr="00D31505">
        <w:rPr>
          <w:b/>
          <w:bCs/>
        </w:rPr>
        <w:t>value of maintaining two visa streams</w:t>
      </w:r>
      <w:r w:rsidR="00BB6884">
        <w:t>—</w:t>
      </w:r>
      <w:r>
        <w:t xml:space="preserve">a more seasonal, </w:t>
      </w:r>
      <w:r w:rsidR="00BB6884">
        <w:t xml:space="preserve">short-term </w:t>
      </w:r>
      <w:r>
        <w:t xml:space="preserve">stream </w:t>
      </w:r>
      <w:r w:rsidR="00BB6884">
        <w:t>(9 months</w:t>
      </w:r>
      <w:r w:rsidR="00247D62">
        <w:t xml:space="preserve"> in a </w:t>
      </w:r>
      <w:proofErr w:type="gramStart"/>
      <w:r w:rsidR="00247D62">
        <w:t>12 month</w:t>
      </w:r>
      <w:proofErr w:type="gramEnd"/>
      <w:r w:rsidR="00247D62">
        <w:t xml:space="preserve"> period</w:t>
      </w:r>
      <w:r w:rsidR="00BB6884">
        <w:t xml:space="preserve">) and </w:t>
      </w:r>
      <w:r>
        <w:t xml:space="preserve">a </w:t>
      </w:r>
      <w:r w:rsidR="00BB6884">
        <w:t xml:space="preserve">longer-term </w:t>
      </w:r>
      <w:r>
        <w:t xml:space="preserve">stream </w:t>
      </w:r>
      <w:r w:rsidR="00BB6884">
        <w:t>(</w:t>
      </w:r>
      <w:r w:rsidR="00F16552">
        <w:t xml:space="preserve">currently </w:t>
      </w:r>
      <w:r w:rsidR="00BB6884">
        <w:t>1-</w:t>
      </w:r>
      <w:r w:rsidR="00F16552">
        <w:t>3</w:t>
      </w:r>
      <w:r w:rsidR="00BB6884">
        <w:t xml:space="preserve"> years). </w:t>
      </w:r>
      <w:r w:rsidR="00C56374">
        <w:t xml:space="preserve">There </w:t>
      </w:r>
      <w:r>
        <w:t xml:space="preserve">was </w:t>
      </w:r>
      <w:r w:rsidR="00207789">
        <w:t xml:space="preserve">also </w:t>
      </w:r>
      <w:r w:rsidR="00C56374">
        <w:t xml:space="preserve">a </w:t>
      </w:r>
      <w:r>
        <w:t xml:space="preserve">strong </w:t>
      </w:r>
      <w:r w:rsidR="00C56374">
        <w:t xml:space="preserve">desire from </w:t>
      </w:r>
      <w:r>
        <w:t xml:space="preserve">the </w:t>
      </w:r>
      <w:r w:rsidR="00020016">
        <w:t>meat processing and dairy</w:t>
      </w:r>
      <w:r w:rsidR="00207789">
        <w:t xml:space="preserve"> sectors</w:t>
      </w:r>
      <w:r w:rsidR="00020016">
        <w:t>,</w:t>
      </w:r>
      <w:r w:rsidR="001521CD">
        <w:t xml:space="preserve"> and </w:t>
      </w:r>
      <w:r>
        <w:t xml:space="preserve">from </w:t>
      </w:r>
      <w:r w:rsidR="001521CD">
        <w:t xml:space="preserve">Pacific </w:t>
      </w:r>
      <w:r w:rsidR="00786164">
        <w:t xml:space="preserve">and Timorese </w:t>
      </w:r>
      <w:r w:rsidR="001521CD">
        <w:t>workers,</w:t>
      </w:r>
      <w:r w:rsidR="00020016">
        <w:t xml:space="preserve"> </w:t>
      </w:r>
      <w:r w:rsidR="00C56374">
        <w:t xml:space="preserve">for at </w:t>
      </w:r>
      <w:r w:rsidR="00C56374" w:rsidRPr="00BD0142">
        <w:t>least</w:t>
      </w:r>
      <w:r w:rsidR="00C56374" w:rsidRPr="00D31505">
        <w:rPr>
          <w:b/>
          <w:bCs/>
        </w:rPr>
        <w:t xml:space="preserve"> a 4-year visa</w:t>
      </w:r>
      <w:r w:rsidR="00C56374">
        <w:t xml:space="preserve"> to </w:t>
      </w:r>
      <w:r w:rsidR="00C56374" w:rsidRPr="00BD0142">
        <w:rPr>
          <w:b/>
          <w:bCs/>
        </w:rPr>
        <w:t>enable</w:t>
      </w:r>
      <w:r w:rsidR="00C56374">
        <w:t xml:space="preserve"> </w:t>
      </w:r>
      <w:r w:rsidR="00C56374" w:rsidRPr="00D31505">
        <w:rPr>
          <w:b/>
          <w:bCs/>
        </w:rPr>
        <w:t>workers</w:t>
      </w:r>
      <w:r w:rsidR="00C56374">
        <w:t xml:space="preserve"> </w:t>
      </w:r>
      <w:r w:rsidR="00C56374" w:rsidRPr="00BD0142">
        <w:rPr>
          <w:b/>
          <w:bCs/>
        </w:rPr>
        <w:t>to</w:t>
      </w:r>
      <w:r w:rsidR="00C56374">
        <w:t xml:space="preserve"> </w:t>
      </w:r>
      <w:r w:rsidR="00C56374" w:rsidRPr="00D31505">
        <w:rPr>
          <w:b/>
          <w:bCs/>
        </w:rPr>
        <w:t xml:space="preserve">complete formal </w:t>
      </w:r>
      <w:r w:rsidR="00207789">
        <w:rPr>
          <w:b/>
          <w:bCs/>
        </w:rPr>
        <w:t>skills qualifications</w:t>
      </w:r>
      <w:r w:rsidR="00247D62">
        <w:rPr>
          <w:b/>
          <w:bCs/>
        </w:rPr>
        <w:t xml:space="preserve"> while working</w:t>
      </w:r>
      <w:r w:rsidR="00C56374">
        <w:t xml:space="preserve">. </w:t>
      </w:r>
    </w:p>
    <w:p w14:paraId="03E37359" w14:textId="5DE24831" w:rsidR="00020016" w:rsidRDefault="001D19CB" w:rsidP="00443740">
      <w:r>
        <w:t xml:space="preserve">The </w:t>
      </w:r>
      <w:r w:rsidR="001521CD">
        <w:t>horticulture sector</w:t>
      </w:r>
      <w:r w:rsidR="00AF1E54">
        <w:t xml:space="preserve"> </w:t>
      </w:r>
      <w:r>
        <w:t xml:space="preserve">also suggested there should be pathways for </w:t>
      </w:r>
      <w:r w:rsidR="00C56374" w:rsidRPr="00D31505">
        <w:rPr>
          <w:b/>
          <w:bCs/>
        </w:rPr>
        <w:t>high</w:t>
      </w:r>
      <w:r>
        <w:rPr>
          <w:b/>
          <w:bCs/>
        </w:rPr>
        <w:t xml:space="preserve"> performing </w:t>
      </w:r>
      <w:r w:rsidR="001521CD" w:rsidRPr="00D31505">
        <w:rPr>
          <w:b/>
          <w:bCs/>
        </w:rPr>
        <w:t>SWP workers</w:t>
      </w:r>
      <w:r w:rsidR="001521CD">
        <w:t xml:space="preserve"> to </w:t>
      </w:r>
      <w:r w:rsidR="001521CD" w:rsidRPr="00D31505">
        <w:rPr>
          <w:b/>
          <w:bCs/>
        </w:rPr>
        <w:t xml:space="preserve">transfer to </w:t>
      </w:r>
      <w:r w:rsidR="008E4E98">
        <w:rPr>
          <w:b/>
          <w:bCs/>
        </w:rPr>
        <w:t xml:space="preserve">the </w:t>
      </w:r>
      <w:r w:rsidR="001A59D4" w:rsidRPr="00D31505">
        <w:rPr>
          <w:b/>
          <w:bCs/>
        </w:rPr>
        <w:t xml:space="preserve">longer </w:t>
      </w:r>
      <w:r w:rsidR="008E4E98">
        <w:rPr>
          <w:b/>
          <w:bCs/>
        </w:rPr>
        <w:t xml:space="preserve">PLS </w:t>
      </w:r>
      <w:r w:rsidR="001521CD" w:rsidRPr="00D31505">
        <w:rPr>
          <w:b/>
          <w:bCs/>
        </w:rPr>
        <w:t>visa</w:t>
      </w:r>
      <w:r w:rsidR="00AF1E54">
        <w:rPr>
          <w:b/>
          <w:bCs/>
        </w:rPr>
        <w:t xml:space="preserve"> </w:t>
      </w:r>
      <w:r w:rsidR="00AF1E54" w:rsidRPr="00AF1E54">
        <w:t>onshore</w:t>
      </w:r>
      <w:r>
        <w:t xml:space="preserve"> to take up less seasonal, semi-skilled roles</w:t>
      </w:r>
      <w:r w:rsidR="001521CD">
        <w:t>.</w:t>
      </w:r>
      <w:r w:rsidR="0073108F">
        <w:t xml:space="preserve"> </w:t>
      </w:r>
      <w:r>
        <w:t xml:space="preserve">This would enable employers to retain high performing workers and provide </w:t>
      </w:r>
      <w:r w:rsidR="00BD0142">
        <w:t xml:space="preserve">career </w:t>
      </w:r>
      <w:r>
        <w:t xml:space="preserve">pathways for SWP workers. </w:t>
      </w:r>
      <w:r w:rsidR="001521CD">
        <w:t>The meat processing</w:t>
      </w:r>
      <w:r w:rsidR="0046380F">
        <w:t>, aged care</w:t>
      </w:r>
      <w:r w:rsidR="001521CD">
        <w:t xml:space="preserve"> and dairy</w:t>
      </w:r>
      <w:r w:rsidR="00020016">
        <w:t xml:space="preserve"> sectors</w:t>
      </w:r>
      <w:r w:rsidR="001521CD">
        <w:t xml:space="preserve">, and </w:t>
      </w:r>
      <w:r w:rsidR="005F5617">
        <w:t xml:space="preserve">some </w:t>
      </w:r>
      <w:r w:rsidR="00207789">
        <w:t xml:space="preserve">Pacific </w:t>
      </w:r>
      <w:r w:rsidR="00786164">
        <w:t xml:space="preserve">and Timorese </w:t>
      </w:r>
      <w:r w:rsidR="001521CD">
        <w:t>workers</w:t>
      </w:r>
      <w:r w:rsidR="005F5617">
        <w:t xml:space="preserve"> themselves</w:t>
      </w:r>
      <w:r w:rsidR="001521CD">
        <w:t xml:space="preserve"> </w:t>
      </w:r>
      <w:r w:rsidR="005F5617">
        <w:t xml:space="preserve">advocated strongly for an </w:t>
      </w:r>
      <w:r w:rsidR="00020016" w:rsidRPr="00D31505">
        <w:rPr>
          <w:b/>
          <w:bCs/>
        </w:rPr>
        <w:t>onshore pathway to other visa streams</w:t>
      </w:r>
      <w:r w:rsidR="00DE003E">
        <w:t xml:space="preserve"> </w:t>
      </w:r>
      <w:r w:rsidR="005F5617">
        <w:t xml:space="preserve">(such as the Temporary Skills Shortage visa) </w:t>
      </w:r>
      <w:r w:rsidR="00020016">
        <w:t xml:space="preserve">for workers </w:t>
      </w:r>
      <w:r w:rsidR="001A59D4">
        <w:t>who</w:t>
      </w:r>
      <w:r w:rsidR="00020016">
        <w:t xml:space="preserve"> complete formal skills qualification</w:t>
      </w:r>
      <w:r w:rsidR="00207789">
        <w:t>s</w:t>
      </w:r>
      <w:r w:rsidR="005F5617">
        <w:t>, which may provide future pathways to permanent residency.</w:t>
      </w:r>
    </w:p>
    <w:p w14:paraId="723D958C" w14:textId="5DBFE8AA" w:rsidR="00EB3CF6" w:rsidRDefault="005F5617" w:rsidP="003C7299">
      <w:pPr>
        <w:rPr>
          <w:iCs/>
        </w:rPr>
      </w:pPr>
      <w:r>
        <w:t xml:space="preserve">Under current visa and program arrangements, workers are not able to be accompanied by dependents. </w:t>
      </w:r>
      <w:r w:rsidR="00207789">
        <w:rPr>
          <w:iCs/>
        </w:rPr>
        <w:t xml:space="preserve">Various stakeholders raised the issue of family </w:t>
      </w:r>
      <w:r w:rsidR="00C46033">
        <w:rPr>
          <w:iCs/>
        </w:rPr>
        <w:t>separation and</w:t>
      </w:r>
      <w:r w:rsidR="00207789">
        <w:rPr>
          <w:iCs/>
        </w:rPr>
        <w:t xml:space="preserve"> </w:t>
      </w:r>
      <w:r>
        <w:rPr>
          <w:iCs/>
        </w:rPr>
        <w:t xml:space="preserve">suggested </w:t>
      </w:r>
      <w:r w:rsidR="00207789" w:rsidRPr="00D31505">
        <w:rPr>
          <w:b/>
          <w:bCs/>
          <w:iCs/>
        </w:rPr>
        <w:t xml:space="preserve">consideration </w:t>
      </w:r>
      <w:r w:rsidR="00207789" w:rsidRPr="00D31505">
        <w:rPr>
          <w:b/>
          <w:bCs/>
          <w:iCs/>
        </w:rPr>
        <w:lastRenderedPageBreak/>
        <w:t xml:space="preserve">be given to </w:t>
      </w:r>
      <w:r>
        <w:rPr>
          <w:b/>
          <w:bCs/>
          <w:iCs/>
        </w:rPr>
        <w:t xml:space="preserve">allowing dependents to </w:t>
      </w:r>
      <w:r w:rsidR="00207789" w:rsidRPr="00D31505">
        <w:rPr>
          <w:b/>
          <w:bCs/>
          <w:iCs/>
        </w:rPr>
        <w:t>accompany workers</w:t>
      </w:r>
      <w:r w:rsidR="00207789">
        <w:rPr>
          <w:iCs/>
        </w:rPr>
        <w:t xml:space="preserve"> for part </w:t>
      </w:r>
      <w:r>
        <w:rPr>
          <w:iCs/>
        </w:rPr>
        <w:t>of</w:t>
      </w:r>
      <w:r w:rsidR="00247D62">
        <w:rPr>
          <w:iCs/>
        </w:rPr>
        <w:t>,</w:t>
      </w:r>
      <w:r>
        <w:rPr>
          <w:iCs/>
        </w:rPr>
        <w:t xml:space="preserve"> </w:t>
      </w:r>
      <w:r w:rsidR="00207789">
        <w:rPr>
          <w:iCs/>
        </w:rPr>
        <w:t xml:space="preserve">or </w:t>
      </w:r>
      <w:proofErr w:type="gramStart"/>
      <w:r w:rsidR="001B7669">
        <w:rPr>
          <w:iCs/>
        </w:rPr>
        <w:t>all</w:t>
      </w:r>
      <w:r w:rsidR="00207789">
        <w:rPr>
          <w:iCs/>
        </w:rPr>
        <w:t xml:space="preserve"> of</w:t>
      </w:r>
      <w:proofErr w:type="gramEnd"/>
      <w:r w:rsidR="00247D62">
        <w:rPr>
          <w:iCs/>
        </w:rPr>
        <w:t>,</w:t>
      </w:r>
      <w:r w:rsidR="00207789">
        <w:rPr>
          <w:iCs/>
        </w:rPr>
        <w:t xml:space="preserve"> their employment. </w:t>
      </w:r>
      <w:r w:rsidR="00BD0142">
        <w:rPr>
          <w:iCs/>
        </w:rPr>
        <w:t xml:space="preserve">They indicated that extended periods away from family and community negatively impacts the wellbeing and mental health of </w:t>
      </w:r>
      <w:r w:rsidR="00207789">
        <w:rPr>
          <w:iCs/>
        </w:rPr>
        <w:t xml:space="preserve">some Pacific </w:t>
      </w:r>
      <w:r w:rsidR="00786164">
        <w:rPr>
          <w:iCs/>
        </w:rPr>
        <w:t xml:space="preserve">and Timorese </w:t>
      </w:r>
      <w:r w:rsidR="00207789">
        <w:rPr>
          <w:iCs/>
        </w:rPr>
        <w:t>workers.</w:t>
      </w:r>
    </w:p>
    <w:p w14:paraId="0E53AC44" w14:textId="2BA80539" w:rsidR="005F5617" w:rsidRPr="009314E5" w:rsidRDefault="00EB3CF6" w:rsidP="003C7299">
      <w:r>
        <w:t xml:space="preserve">The preparation of workers prior to mobilisation was raised by </w:t>
      </w:r>
      <w:proofErr w:type="gramStart"/>
      <w:r>
        <w:t>a number of</w:t>
      </w:r>
      <w:proofErr w:type="gramEnd"/>
      <w:r>
        <w:t xml:space="preserve"> stakeholders throughout the consultation. These stakeholders advocated for </w:t>
      </w:r>
      <w:r w:rsidRPr="00D31505">
        <w:rPr>
          <w:b/>
          <w:bCs/>
        </w:rPr>
        <w:t>increased training opportunities for workers prior to coming to Australia</w:t>
      </w:r>
      <w:r>
        <w:t xml:space="preserve">, for example in first aid, English language, money management and computer literacy, to better prepare workers for their new roles and for living in Australia. </w:t>
      </w:r>
    </w:p>
    <w:p w14:paraId="0F864F1D" w14:textId="5E5005F6" w:rsidR="00BB6884" w:rsidRPr="00BB6884" w:rsidRDefault="002872B2" w:rsidP="003C7299">
      <w:pPr>
        <w:rPr>
          <w:b/>
          <w:bCs/>
          <w:i/>
          <w:highlight w:val="yellow"/>
        </w:rPr>
      </w:pPr>
      <w:r>
        <w:rPr>
          <w:iCs/>
        </w:rPr>
        <w:t>Accommodation was consisten</w:t>
      </w:r>
      <w:r w:rsidR="00C11456">
        <w:rPr>
          <w:iCs/>
        </w:rPr>
        <w:t>tl</w:t>
      </w:r>
      <w:r>
        <w:rPr>
          <w:iCs/>
        </w:rPr>
        <w:t xml:space="preserve">y raised as a source of frustration </w:t>
      </w:r>
      <w:r w:rsidR="00C11456">
        <w:rPr>
          <w:iCs/>
        </w:rPr>
        <w:t>by</w:t>
      </w:r>
      <w:r>
        <w:rPr>
          <w:iCs/>
        </w:rPr>
        <w:t xml:space="preserve"> stakeholders. </w:t>
      </w:r>
      <w:r w:rsidR="006556DC">
        <w:rPr>
          <w:iCs/>
        </w:rPr>
        <w:t>Employer stakeholders advo</w:t>
      </w:r>
      <w:r w:rsidR="0082578F">
        <w:rPr>
          <w:iCs/>
        </w:rPr>
        <w:t>cated strongly for</w:t>
      </w:r>
      <w:r w:rsidR="00C11456">
        <w:rPr>
          <w:iCs/>
        </w:rPr>
        <w:t xml:space="preserve"> a</w:t>
      </w:r>
      <w:r w:rsidR="0082578F">
        <w:rPr>
          <w:iCs/>
        </w:rPr>
        <w:t xml:space="preserve"> more </w:t>
      </w:r>
      <w:r w:rsidR="0082578F">
        <w:rPr>
          <w:b/>
          <w:bCs/>
          <w:iCs/>
        </w:rPr>
        <w:t xml:space="preserve">streamlined </w:t>
      </w:r>
      <w:r w:rsidR="00C11456">
        <w:rPr>
          <w:b/>
          <w:bCs/>
          <w:iCs/>
        </w:rPr>
        <w:t xml:space="preserve">SWP </w:t>
      </w:r>
      <w:r w:rsidR="0082578F">
        <w:rPr>
          <w:b/>
          <w:bCs/>
          <w:iCs/>
        </w:rPr>
        <w:t xml:space="preserve">accommodation </w:t>
      </w:r>
      <w:r w:rsidR="0082578F" w:rsidRPr="0082578F">
        <w:rPr>
          <w:iCs/>
        </w:rPr>
        <w:t>approval</w:t>
      </w:r>
      <w:r w:rsidR="00C11456">
        <w:rPr>
          <w:iCs/>
        </w:rPr>
        <w:t xml:space="preserve"> process</w:t>
      </w:r>
      <w:r w:rsidR="0082578F">
        <w:rPr>
          <w:iCs/>
        </w:rPr>
        <w:t xml:space="preserve">. </w:t>
      </w:r>
      <w:r w:rsidR="006556DC" w:rsidRPr="0082578F">
        <w:rPr>
          <w:iCs/>
        </w:rPr>
        <w:t>A</w:t>
      </w:r>
      <w:r w:rsidR="0082578F">
        <w:rPr>
          <w:iCs/>
        </w:rPr>
        <w:t xml:space="preserve">nother </w:t>
      </w:r>
      <w:r>
        <w:rPr>
          <w:iCs/>
        </w:rPr>
        <w:t xml:space="preserve">issue </w:t>
      </w:r>
      <w:r w:rsidR="0082578F">
        <w:rPr>
          <w:iCs/>
        </w:rPr>
        <w:t xml:space="preserve">raised </w:t>
      </w:r>
      <w:r w:rsidR="006556DC">
        <w:rPr>
          <w:iCs/>
        </w:rPr>
        <w:t>was the</w:t>
      </w:r>
      <w:r w:rsidR="00E2271D">
        <w:rPr>
          <w:iCs/>
        </w:rPr>
        <w:t xml:space="preserve"> </w:t>
      </w:r>
      <w:r w:rsidR="00D2175F" w:rsidRPr="00D31505">
        <w:rPr>
          <w:b/>
          <w:bCs/>
          <w:iCs/>
        </w:rPr>
        <w:t>shortage of suitable accommodation</w:t>
      </w:r>
      <w:r w:rsidR="00D2175F">
        <w:rPr>
          <w:iCs/>
        </w:rPr>
        <w:t xml:space="preserve"> </w:t>
      </w:r>
      <w:r w:rsidR="00C6096F">
        <w:rPr>
          <w:iCs/>
        </w:rPr>
        <w:t xml:space="preserve">in </w:t>
      </w:r>
      <w:r w:rsidR="00442296">
        <w:rPr>
          <w:iCs/>
        </w:rPr>
        <w:t>r</w:t>
      </w:r>
      <w:r w:rsidR="00C6096F">
        <w:rPr>
          <w:iCs/>
        </w:rPr>
        <w:t>egional Australia</w:t>
      </w:r>
      <w:r w:rsidR="00C11456">
        <w:rPr>
          <w:iCs/>
        </w:rPr>
        <w:t>,</w:t>
      </w:r>
      <w:r w:rsidR="00C6096F">
        <w:rPr>
          <w:iCs/>
        </w:rPr>
        <w:t xml:space="preserve"> with </w:t>
      </w:r>
      <w:r w:rsidR="00BD0142">
        <w:rPr>
          <w:iCs/>
        </w:rPr>
        <w:t xml:space="preserve">some stakeholders proposing the government introduce </w:t>
      </w:r>
      <w:r w:rsidR="00D2175F" w:rsidRPr="00D31505">
        <w:rPr>
          <w:b/>
          <w:bCs/>
          <w:iCs/>
        </w:rPr>
        <w:t>incentives for investment</w:t>
      </w:r>
      <w:r w:rsidR="00D2175F" w:rsidRPr="00C11456">
        <w:rPr>
          <w:b/>
          <w:bCs/>
          <w:iCs/>
        </w:rPr>
        <w:t xml:space="preserve"> in accommodation</w:t>
      </w:r>
      <w:r w:rsidR="00C11456" w:rsidRPr="00C11456">
        <w:rPr>
          <w:b/>
          <w:bCs/>
          <w:iCs/>
        </w:rPr>
        <w:t xml:space="preserve"> for seasonal workers</w:t>
      </w:r>
      <w:r w:rsidR="00C11456">
        <w:rPr>
          <w:iCs/>
        </w:rPr>
        <w:t xml:space="preserve"> (including but not only Pacific workers) by employers or other investors</w:t>
      </w:r>
      <w:r w:rsidR="00EB6BEB">
        <w:rPr>
          <w:iCs/>
        </w:rPr>
        <w:t xml:space="preserve">. </w:t>
      </w:r>
    </w:p>
    <w:p w14:paraId="1C205EB4" w14:textId="20A618B5" w:rsidR="002872B2" w:rsidRDefault="002872B2" w:rsidP="00BD730E">
      <w:bookmarkStart w:id="1" w:name="_Hlk78814776"/>
      <w:r>
        <w:rPr>
          <w:iCs/>
        </w:rPr>
        <w:t xml:space="preserve">Another source of frustration was </w:t>
      </w:r>
      <w:bookmarkStart w:id="2" w:name="_Hlk78485757"/>
      <w:r>
        <w:t>t</w:t>
      </w:r>
      <w:r w:rsidR="00B14B22">
        <w:t>he</w:t>
      </w:r>
      <w:r w:rsidR="00CA7A63">
        <w:t xml:space="preserve"> impact of</w:t>
      </w:r>
      <w:r w:rsidR="003F3473">
        <w:t xml:space="preserve"> </w:t>
      </w:r>
      <w:r w:rsidR="00C11456">
        <w:t xml:space="preserve">SWP and PLS </w:t>
      </w:r>
      <w:r w:rsidR="00BC5DC3" w:rsidRPr="00C11456">
        <w:rPr>
          <w:b/>
          <w:bCs/>
        </w:rPr>
        <w:t xml:space="preserve">workers </w:t>
      </w:r>
      <w:r w:rsidR="00AA3443" w:rsidRPr="00C11456">
        <w:rPr>
          <w:b/>
          <w:bCs/>
        </w:rPr>
        <w:t>leaving their jobs</w:t>
      </w:r>
      <w:r w:rsidR="00BA6A7E" w:rsidRPr="00C11456">
        <w:rPr>
          <w:b/>
          <w:bCs/>
        </w:rPr>
        <w:t xml:space="preserve"> in breach of their visa conditions </w:t>
      </w:r>
      <w:r w:rsidR="00BA6A7E" w:rsidRPr="00FB3E1B">
        <w:t>(</w:t>
      </w:r>
      <w:r w:rsidR="00C11456">
        <w:t xml:space="preserve">often referred to as </w:t>
      </w:r>
      <w:r w:rsidR="00BA6A7E" w:rsidRPr="00FB3E1B">
        <w:t>absconding)</w:t>
      </w:r>
      <w:r>
        <w:t xml:space="preserve"> and a perceived lack of adequate compliance action to deter wrong doers and send a clear message </w:t>
      </w:r>
      <w:r w:rsidR="00C11456">
        <w:t xml:space="preserve">to employers and workers </w:t>
      </w:r>
      <w:r>
        <w:t>about the risks.</w:t>
      </w:r>
      <w:r w:rsidR="006A7A7E" w:rsidRPr="00FB3E1B">
        <w:t xml:space="preserve"> Stakehol</w:t>
      </w:r>
      <w:r w:rsidR="00DE5B51">
        <w:t>d</w:t>
      </w:r>
      <w:r w:rsidR="006A7A7E" w:rsidRPr="00FB3E1B">
        <w:t xml:space="preserve">ers </w:t>
      </w:r>
      <w:r>
        <w:t xml:space="preserve">acknowledged </w:t>
      </w:r>
      <w:r w:rsidR="00BD0142">
        <w:t xml:space="preserve">there were many </w:t>
      </w:r>
      <w:r w:rsidR="006A7A7E" w:rsidRPr="00FB3E1B">
        <w:t xml:space="preserve">reasons why </w:t>
      </w:r>
      <w:r w:rsidR="00BD0142">
        <w:t xml:space="preserve">a </w:t>
      </w:r>
      <w:r w:rsidR="006A7A7E" w:rsidRPr="00FB3E1B">
        <w:t>worker</w:t>
      </w:r>
      <w:r w:rsidR="00BD0142">
        <w:t xml:space="preserve"> may</w:t>
      </w:r>
      <w:r w:rsidR="006A7A7E" w:rsidRPr="00FB3E1B">
        <w:t xml:space="preserve"> </w:t>
      </w:r>
      <w:r w:rsidR="00D620CA" w:rsidRPr="00FB3E1B">
        <w:t>abscond</w:t>
      </w:r>
      <w:r w:rsidR="00BD0142">
        <w:t>,</w:t>
      </w:r>
      <w:r w:rsidR="00D620CA" w:rsidRPr="00FB3E1B">
        <w:t xml:space="preserve"> including </w:t>
      </w:r>
      <w:r w:rsidR="00BC5DC3">
        <w:t xml:space="preserve">being encouraged or </w:t>
      </w:r>
      <w:r w:rsidR="001A59D4">
        <w:t>deceived</w:t>
      </w:r>
      <w:r w:rsidR="00BC5DC3">
        <w:t xml:space="preserve"> into leaving their employer</w:t>
      </w:r>
      <w:r>
        <w:t xml:space="preserve">, often on the promise of </w:t>
      </w:r>
      <w:r w:rsidR="003C4910">
        <w:t xml:space="preserve">more </w:t>
      </w:r>
      <w:r>
        <w:t>pay and more attractive conditions</w:t>
      </w:r>
      <w:r w:rsidR="00BC5DC3">
        <w:t>. This undermine</w:t>
      </w:r>
      <w:r w:rsidR="00BD0142">
        <w:t>s</w:t>
      </w:r>
      <w:r w:rsidR="00BC5DC3">
        <w:t xml:space="preserve"> the </w:t>
      </w:r>
      <w:r w:rsidR="001D6B8A">
        <w:t xml:space="preserve">objectives, </w:t>
      </w:r>
      <w:proofErr w:type="gramStart"/>
      <w:r w:rsidR="001D6B8A">
        <w:t>integrity</w:t>
      </w:r>
      <w:proofErr w:type="gramEnd"/>
      <w:r w:rsidR="001D6B8A">
        <w:t xml:space="preserve"> and value of the programs.</w:t>
      </w:r>
      <w:r w:rsidR="00BC5DC3">
        <w:t xml:space="preserve"> </w:t>
      </w:r>
      <w:bookmarkEnd w:id="1"/>
    </w:p>
    <w:p w14:paraId="62EFB57E" w14:textId="1B003B1C" w:rsidR="00A92B30" w:rsidRPr="00A92B30" w:rsidRDefault="00A92B30" w:rsidP="00BD730E">
      <w:pPr>
        <w:rPr>
          <w:i/>
          <w:iCs/>
        </w:rPr>
      </w:pPr>
      <w:r w:rsidRPr="00A92B30">
        <w:rPr>
          <w:i/>
          <w:iCs/>
        </w:rPr>
        <w:t>COVID-</w:t>
      </w:r>
      <w:r w:rsidR="00A3420A">
        <w:rPr>
          <w:i/>
          <w:iCs/>
        </w:rPr>
        <w:t>s</w:t>
      </w:r>
      <w:r w:rsidRPr="00A92B30">
        <w:rPr>
          <w:i/>
          <w:iCs/>
        </w:rPr>
        <w:t xml:space="preserve">pecific </w:t>
      </w:r>
      <w:r w:rsidR="008127E3">
        <w:rPr>
          <w:i/>
          <w:iCs/>
        </w:rPr>
        <w:t xml:space="preserve">and other </w:t>
      </w:r>
      <w:r w:rsidR="00227EED">
        <w:rPr>
          <w:i/>
          <w:iCs/>
        </w:rPr>
        <w:t>i</w:t>
      </w:r>
      <w:r w:rsidRPr="00A92B30">
        <w:rPr>
          <w:i/>
          <w:iCs/>
        </w:rPr>
        <w:t xml:space="preserve">ssues </w:t>
      </w:r>
      <w:r w:rsidR="008127E3">
        <w:rPr>
          <w:i/>
          <w:iCs/>
        </w:rPr>
        <w:t>raised</w:t>
      </w:r>
    </w:p>
    <w:p w14:paraId="0AA6EAAC" w14:textId="180108A0" w:rsidR="001F603F" w:rsidRPr="00E50424" w:rsidRDefault="008C58EC" w:rsidP="001521CD">
      <w:pPr>
        <w:rPr>
          <w:b/>
          <w:bCs/>
        </w:rPr>
      </w:pPr>
      <w:r>
        <w:t>Although t</w:t>
      </w:r>
      <w:r w:rsidR="002872B2">
        <w:t xml:space="preserve">he consultation </w:t>
      </w:r>
      <w:r>
        <w:t xml:space="preserve">focused on future arrangements for Pacific labour mobility and sought </w:t>
      </w:r>
      <w:r w:rsidR="002872B2">
        <w:t>to look beyond the pandemi</w:t>
      </w:r>
      <w:r>
        <w:t xml:space="preserve">c, COVID-specific arrangements were the subject of some discussion during the consultation period. The </w:t>
      </w:r>
      <w:r w:rsidR="004872F5">
        <w:t xml:space="preserve">tourism, </w:t>
      </w:r>
      <w:proofErr w:type="gramStart"/>
      <w:r w:rsidR="004872F5">
        <w:t>hospitality</w:t>
      </w:r>
      <w:proofErr w:type="gramEnd"/>
      <w:r w:rsidR="004872F5">
        <w:t xml:space="preserve"> and aged care sectors </w:t>
      </w:r>
      <w:r>
        <w:t xml:space="preserve">in particularly </w:t>
      </w:r>
      <w:r w:rsidR="004872F5">
        <w:t>expressed frustration at the</w:t>
      </w:r>
      <w:r w:rsidR="001A59D4">
        <w:t>ir</w:t>
      </w:r>
      <w:r w:rsidR="004872F5">
        <w:t xml:space="preserve"> inability to recruit workers in most states and territories due to prioritisation of </w:t>
      </w:r>
      <w:r w:rsidR="001A59D4">
        <w:t>the horticulture and meat processing</w:t>
      </w:r>
      <w:r w:rsidR="004872F5">
        <w:t xml:space="preserve"> sectors for limited quarantine places.</w:t>
      </w:r>
      <w:r w:rsidR="00E50424">
        <w:t xml:space="preserve"> </w:t>
      </w:r>
      <w:r w:rsidR="00E50424">
        <w:rPr>
          <w:iCs/>
        </w:rPr>
        <w:t>A</w:t>
      </w:r>
      <w:r w:rsidR="00E50424">
        <w:t xml:space="preserve">ged care stakeholders </w:t>
      </w:r>
      <w:r w:rsidR="00BD0142">
        <w:t xml:space="preserve">were </w:t>
      </w:r>
      <w:r w:rsidR="00E50424">
        <w:t xml:space="preserve">highly motivated to participate in the programs and would like to see pathways </w:t>
      </w:r>
      <w:proofErr w:type="gramStart"/>
      <w:r w:rsidR="00E50424">
        <w:t>open up</w:t>
      </w:r>
      <w:proofErr w:type="gramEnd"/>
      <w:r w:rsidR="00E50424">
        <w:t xml:space="preserve"> in the current COVID context</w:t>
      </w:r>
      <w:r w:rsidR="00AE6CCC">
        <w:t>.</w:t>
      </w:r>
    </w:p>
    <w:p w14:paraId="4476CA6D" w14:textId="74D91826" w:rsidR="00BD0142" w:rsidRDefault="008C58EC" w:rsidP="00BD0142">
      <w:pPr>
        <w:rPr>
          <w:iCs/>
        </w:rPr>
      </w:pPr>
      <w:r>
        <w:rPr>
          <w:iCs/>
        </w:rPr>
        <w:t xml:space="preserve">Other </w:t>
      </w:r>
      <w:r w:rsidR="00BD0142">
        <w:rPr>
          <w:iCs/>
        </w:rPr>
        <w:t xml:space="preserve">related </w:t>
      </w:r>
      <w:r>
        <w:rPr>
          <w:iCs/>
        </w:rPr>
        <w:t xml:space="preserve">issues </w:t>
      </w:r>
      <w:bookmarkEnd w:id="2"/>
      <w:r w:rsidR="00BD0142">
        <w:rPr>
          <w:iCs/>
        </w:rPr>
        <w:t>included:</w:t>
      </w:r>
    </w:p>
    <w:p w14:paraId="30A3984A" w14:textId="4A435024" w:rsidR="00D2175F" w:rsidRPr="00BD0142" w:rsidRDefault="001B7669" w:rsidP="00BD0142">
      <w:pPr>
        <w:pStyle w:val="ListParagraph"/>
        <w:numPr>
          <w:ilvl w:val="0"/>
          <w:numId w:val="1"/>
        </w:numPr>
        <w:rPr>
          <w:iCs/>
        </w:rPr>
      </w:pPr>
      <w:r>
        <w:rPr>
          <w:iCs/>
        </w:rPr>
        <w:t xml:space="preserve">Clarifying </w:t>
      </w:r>
      <w:r w:rsidR="008C58EC" w:rsidRPr="00BD0142">
        <w:rPr>
          <w:iCs/>
        </w:rPr>
        <w:t>w</w:t>
      </w:r>
      <w:r w:rsidR="001A59D4" w:rsidRPr="00BD0142">
        <w:rPr>
          <w:iCs/>
        </w:rPr>
        <w:t>orker r</w:t>
      </w:r>
      <w:r w:rsidR="00D2175F" w:rsidRPr="00BD0142">
        <w:rPr>
          <w:iCs/>
        </w:rPr>
        <w:t xml:space="preserve">epatriation guidelines </w:t>
      </w:r>
      <w:r>
        <w:rPr>
          <w:iCs/>
        </w:rPr>
        <w:t>during COVID-</w:t>
      </w:r>
      <w:proofErr w:type="gramStart"/>
      <w:r>
        <w:rPr>
          <w:iCs/>
        </w:rPr>
        <w:t>19</w:t>
      </w:r>
      <w:r w:rsidR="008C58EC" w:rsidRPr="00BD0142">
        <w:rPr>
          <w:iCs/>
        </w:rPr>
        <w:t>;</w:t>
      </w:r>
      <w:proofErr w:type="gramEnd"/>
    </w:p>
    <w:p w14:paraId="68B5FD28" w14:textId="2DA87622" w:rsidR="00694125" w:rsidRDefault="008C58EC" w:rsidP="00DD746F">
      <w:pPr>
        <w:pStyle w:val="ListParagraph"/>
        <w:numPr>
          <w:ilvl w:val="0"/>
          <w:numId w:val="1"/>
        </w:numPr>
        <w:rPr>
          <w:iCs/>
        </w:rPr>
      </w:pPr>
      <w:r>
        <w:rPr>
          <w:iCs/>
        </w:rPr>
        <w:t>s</w:t>
      </w:r>
      <w:r w:rsidR="00694125">
        <w:rPr>
          <w:iCs/>
        </w:rPr>
        <w:t xml:space="preserve">tates and territories need to </w:t>
      </w:r>
      <w:r w:rsidR="003C0DFE">
        <w:rPr>
          <w:iCs/>
        </w:rPr>
        <w:t>provide clear</w:t>
      </w:r>
      <w:r w:rsidR="00694125">
        <w:rPr>
          <w:iCs/>
        </w:rPr>
        <w:t xml:space="preserve"> quarantine pathways</w:t>
      </w:r>
      <w:r w:rsidR="001521CD">
        <w:rPr>
          <w:iCs/>
        </w:rPr>
        <w:t xml:space="preserve">, </w:t>
      </w:r>
      <w:r w:rsidR="003C0DFE">
        <w:rPr>
          <w:iCs/>
        </w:rPr>
        <w:t xml:space="preserve">and better outline </w:t>
      </w:r>
      <w:r w:rsidR="00694125">
        <w:rPr>
          <w:iCs/>
        </w:rPr>
        <w:t xml:space="preserve">availability and </w:t>
      </w:r>
      <w:proofErr w:type="gramStart"/>
      <w:r w:rsidR="00694125">
        <w:rPr>
          <w:iCs/>
        </w:rPr>
        <w:t>costs</w:t>
      </w:r>
      <w:r>
        <w:rPr>
          <w:iCs/>
        </w:rPr>
        <w:t>;</w:t>
      </w:r>
      <w:proofErr w:type="gramEnd"/>
    </w:p>
    <w:p w14:paraId="545A90AF" w14:textId="64FC0BFF" w:rsidR="008C58EC" w:rsidRDefault="008C58EC" w:rsidP="00EB3CF6">
      <w:pPr>
        <w:pStyle w:val="ListParagraph"/>
        <w:numPr>
          <w:ilvl w:val="0"/>
          <w:numId w:val="1"/>
        </w:numPr>
        <w:rPr>
          <w:iCs/>
        </w:rPr>
      </w:pPr>
      <w:r w:rsidRPr="008C58EC">
        <w:rPr>
          <w:iCs/>
        </w:rPr>
        <w:t>i</w:t>
      </w:r>
      <w:r w:rsidR="008109A4" w:rsidRPr="008C58EC">
        <w:rPr>
          <w:iCs/>
        </w:rPr>
        <w:t xml:space="preserve">mproved communication and information sharing </w:t>
      </w:r>
      <w:r w:rsidR="003C0DFE">
        <w:rPr>
          <w:iCs/>
        </w:rPr>
        <w:t xml:space="preserve">between </w:t>
      </w:r>
      <w:r w:rsidR="008109A4" w:rsidRPr="008C58EC">
        <w:rPr>
          <w:iCs/>
        </w:rPr>
        <w:t>states</w:t>
      </w:r>
      <w:r w:rsidR="003C4910">
        <w:rPr>
          <w:iCs/>
        </w:rPr>
        <w:t>/territories</w:t>
      </w:r>
      <w:r w:rsidR="008109A4" w:rsidRPr="008C58EC">
        <w:rPr>
          <w:iCs/>
        </w:rPr>
        <w:t xml:space="preserve"> and </w:t>
      </w:r>
      <w:r w:rsidR="00381F9A" w:rsidRPr="008C58EC">
        <w:rPr>
          <w:iCs/>
        </w:rPr>
        <w:t>A</w:t>
      </w:r>
      <w:r w:rsidR="00310B04" w:rsidRPr="008C58EC">
        <w:rPr>
          <w:iCs/>
        </w:rPr>
        <w:t xml:space="preserve">pproved </w:t>
      </w:r>
      <w:r w:rsidR="008109A4" w:rsidRPr="008C58EC">
        <w:rPr>
          <w:iCs/>
        </w:rPr>
        <w:t>E</w:t>
      </w:r>
      <w:r w:rsidR="00310B04" w:rsidRPr="008C58EC">
        <w:rPr>
          <w:iCs/>
        </w:rPr>
        <w:t>mployer</w:t>
      </w:r>
      <w:r w:rsidR="008109A4" w:rsidRPr="008C58EC">
        <w:rPr>
          <w:iCs/>
        </w:rPr>
        <w:t xml:space="preserve">s </w:t>
      </w:r>
      <w:r w:rsidR="001B7669">
        <w:rPr>
          <w:iCs/>
        </w:rPr>
        <w:t xml:space="preserve">so they </w:t>
      </w:r>
      <w:r w:rsidR="008109A4" w:rsidRPr="008C58EC">
        <w:rPr>
          <w:iCs/>
        </w:rPr>
        <w:t xml:space="preserve">can better plan </w:t>
      </w:r>
      <w:proofErr w:type="gramStart"/>
      <w:r w:rsidR="008109A4" w:rsidRPr="008C58EC">
        <w:rPr>
          <w:iCs/>
        </w:rPr>
        <w:t>recruitments</w:t>
      </w:r>
      <w:r>
        <w:rPr>
          <w:iCs/>
        </w:rPr>
        <w:t>;</w:t>
      </w:r>
      <w:proofErr w:type="gramEnd"/>
    </w:p>
    <w:p w14:paraId="0E181F5E" w14:textId="34651745" w:rsidR="0066503B" w:rsidRPr="008C58EC" w:rsidRDefault="008C58EC">
      <w:pPr>
        <w:pStyle w:val="ListParagraph"/>
        <w:numPr>
          <w:ilvl w:val="0"/>
          <w:numId w:val="1"/>
        </w:numPr>
        <w:rPr>
          <w:iCs/>
        </w:rPr>
      </w:pPr>
      <w:r>
        <w:rPr>
          <w:iCs/>
        </w:rPr>
        <w:t>a</w:t>
      </w:r>
      <w:r w:rsidR="001A59D4" w:rsidRPr="008C58EC">
        <w:rPr>
          <w:iCs/>
        </w:rPr>
        <w:t xml:space="preserve"> request for g</w:t>
      </w:r>
      <w:r w:rsidR="0066503B" w:rsidRPr="008C58EC">
        <w:rPr>
          <w:iCs/>
        </w:rPr>
        <w:t>reater data sharing</w:t>
      </w:r>
      <w:r w:rsidR="001A59D4" w:rsidRPr="008C58EC">
        <w:rPr>
          <w:iCs/>
        </w:rPr>
        <w:t xml:space="preserve"> </w:t>
      </w:r>
      <w:r w:rsidR="003C0DFE">
        <w:rPr>
          <w:iCs/>
        </w:rPr>
        <w:t>from the Commonwealth with</w:t>
      </w:r>
      <w:r w:rsidR="001A59D4" w:rsidRPr="008C58EC">
        <w:rPr>
          <w:iCs/>
        </w:rPr>
        <w:t xml:space="preserve"> the states and </w:t>
      </w:r>
      <w:proofErr w:type="gramStart"/>
      <w:r w:rsidR="001A59D4" w:rsidRPr="008C58EC">
        <w:rPr>
          <w:iCs/>
        </w:rPr>
        <w:t>territories</w:t>
      </w:r>
      <w:r>
        <w:rPr>
          <w:iCs/>
        </w:rPr>
        <w:t>;</w:t>
      </w:r>
      <w:proofErr w:type="gramEnd"/>
    </w:p>
    <w:p w14:paraId="6C43BF68" w14:textId="5B443692" w:rsidR="001B7669" w:rsidRDefault="008C58EC" w:rsidP="00DD746F">
      <w:pPr>
        <w:pStyle w:val="ListParagraph"/>
        <w:numPr>
          <w:ilvl w:val="0"/>
          <w:numId w:val="1"/>
        </w:numPr>
        <w:rPr>
          <w:iCs/>
        </w:rPr>
      </w:pPr>
      <w:r>
        <w:rPr>
          <w:iCs/>
        </w:rPr>
        <w:t>the l</w:t>
      </w:r>
      <w:r w:rsidR="00BC2616">
        <w:rPr>
          <w:iCs/>
        </w:rPr>
        <w:t xml:space="preserve">ength of time </w:t>
      </w:r>
      <w:r w:rsidR="001B7669">
        <w:rPr>
          <w:iCs/>
        </w:rPr>
        <w:t xml:space="preserve">required </w:t>
      </w:r>
      <w:r w:rsidR="00BC2616">
        <w:rPr>
          <w:iCs/>
        </w:rPr>
        <w:t>to process recruitments</w:t>
      </w:r>
      <w:r w:rsidR="001B7669">
        <w:rPr>
          <w:iCs/>
        </w:rPr>
        <w:t>; and</w:t>
      </w:r>
    </w:p>
    <w:p w14:paraId="007469F2" w14:textId="1366463A" w:rsidR="00455A6B" w:rsidRDefault="006A45B7" w:rsidP="000A6A86">
      <w:pPr>
        <w:pStyle w:val="ListParagraph"/>
        <w:numPr>
          <w:ilvl w:val="0"/>
          <w:numId w:val="1"/>
        </w:numPr>
      </w:pPr>
      <w:r>
        <w:t xml:space="preserve">a future </w:t>
      </w:r>
      <w:r w:rsidR="004872F5">
        <w:t>agriculture visa</w:t>
      </w:r>
      <w:r w:rsidR="001B7669">
        <w:t>,</w:t>
      </w:r>
      <w:r w:rsidR="004872F5">
        <w:t xml:space="preserve"> </w:t>
      </w:r>
      <w:r>
        <w:t xml:space="preserve">noting any new visa </w:t>
      </w:r>
      <w:r w:rsidR="004872F5">
        <w:t xml:space="preserve">must complement Pacific labour mobility without eroding </w:t>
      </w:r>
      <w:r w:rsidR="008857CB">
        <w:t xml:space="preserve">worker </w:t>
      </w:r>
      <w:r w:rsidR="001A59D4">
        <w:t xml:space="preserve">conditions </w:t>
      </w:r>
      <w:r w:rsidR="004133EA">
        <w:t>or</w:t>
      </w:r>
      <w:r w:rsidR="001A59D4">
        <w:t xml:space="preserve"> undermin</w:t>
      </w:r>
      <w:r w:rsidR="001B30E5">
        <w:t>ing</w:t>
      </w:r>
      <w:r w:rsidR="001A59D4">
        <w:t xml:space="preserve"> benefits of Pacific labour mobility.</w:t>
      </w:r>
    </w:p>
    <w:p w14:paraId="24142497" w14:textId="29E6CA89" w:rsidR="008473FF" w:rsidRDefault="006A45B7">
      <w:pPr>
        <w:rPr>
          <w:rFonts w:asciiTheme="majorHAnsi" w:eastAsiaTheme="majorEastAsia" w:hAnsiTheme="majorHAnsi" w:cstheme="majorBidi"/>
          <w:color w:val="2E74B5" w:themeColor="accent5" w:themeShade="BF"/>
          <w:sz w:val="26"/>
          <w:szCs w:val="26"/>
        </w:rPr>
      </w:pPr>
      <w:r>
        <w:t xml:space="preserve">More </w:t>
      </w:r>
      <w:r w:rsidR="00455A6B">
        <w:t>detail</w:t>
      </w:r>
      <w:r>
        <w:t xml:space="preserve">ed feedback is </w:t>
      </w:r>
      <w:r w:rsidR="00455A6B">
        <w:t>at Attachment A.</w:t>
      </w:r>
      <w:r w:rsidR="00C56374">
        <w:t xml:space="preserve"> </w:t>
      </w:r>
      <w:r w:rsidR="008E13D6">
        <w:t>Attachment B lists consultations undertaken, and Attachment C summarises from whom written submissions were received.</w:t>
      </w:r>
      <w:r w:rsidR="008473FF">
        <w:rPr>
          <w:rFonts w:asciiTheme="majorHAnsi" w:eastAsiaTheme="majorEastAsia" w:hAnsiTheme="majorHAnsi" w:cstheme="majorBidi"/>
          <w:color w:val="2E74B5" w:themeColor="accent5" w:themeShade="BF"/>
          <w:sz w:val="26"/>
          <w:szCs w:val="26"/>
        </w:rPr>
        <w:br w:type="page"/>
      </w:r>
    </w:p>
    <w:p w14:paraId="669F64D0" w14:textId="653A785C" w:rsidR="00443740" w:rsidRDefault="006A45B7" w:rsidP="00443740">
      <w:pPr>
        <w:pStyle w:val="Heading2"/>
      </w:pPr>
      <w:r>
        <w:lastRenderedPageBreak/>
        <w:t xml:space="preserve">ATTACHMENT A: Pacific Labour Mobility </w:t>
      </w:r>
      <w:r w:rsidR="00455A6B">
        <w:t xml:space="preserve">Consultation </w:t>
      </w:r>
      <w:r>
        <w:t>- K</w:t>
      </w:r>
      <w:r w:rsidR="00443740">
        <w:t xml:space="preserve">ey </w:t>
      </w:r>
      <w:r>
        <w:t>F</w:t>
      </w:r>
      <w:r w:rsidR="00443740">
        <w:t xml:space="preserve">eedback </w:t>
      </w:r>
    </w:p>
    <w:p w14:paraId="67D6424D" w14:textId="4819AB31" w:rsidR="008E13D6" w:rsidRPr="008C76DF" w:rsidRDefault="008E13D6" w:rsidP="008C76DF">
      <w:pPr>
        <w:pStyle w:val="Heading3"/>
        <w:rPr>
          <w:b/>
          <w:bCs w:val="0"/>
          <w:i w:val="0"/>
          <w:iCs w:val="0"/>
          <w:color w:val="auto"/>
          <w:u w:val="single"/>
        </w:rPr>
      </w:pPr>
      <w:r w:rsidRPr="008C76DF">
        <w:rPr>
          <w:b/>
          <w:bCs w:val="0"/>
          <w:i w:val="0"/>
          <w:iCs w:val="0"/>
          <w:color w:val="auto"/>
          <w:u w:val="single"/>
        </w:rPr>
        <w:t>The importance of partnerships</w:t>
      </w:r>
    </w:p>
    <w:p w14:paraId="564A51B1" w14:textId="77777777" w:rsidR="008E13D6" w:rsidRPr="0017155B" w:rsidRDefault="008E13D6" w:rsidP="008E13D6">
      <w:pPr>
        <w:rPr>
          <w:iCs/>
        </w:rPr>
      </w:pPr>
      <w:r>
        <w:rPr>
          <w:iCs/>
        </w:rPr>
        <w:t xml:space="preserve">The key relationship in the Pacific labour mobility programs is that between the Approved Employer and the worker. That said, the Commonwealth, </w:t>
      </w:r>
      <w:r w:rsidRPr="0017155B">
        <w:rPr>
          <w:iCs/>
        </w:rPr>
        <w:t xml:space="preserve">Pacific Governments, labour sending units and country liaison officers have an important role in delivering the programs. </w:t>
      </w:r>
      <w:proofErr w:type="gramStart"/>
      <w:r w:rsidRPr="0017155B">
        <w:rPr>
          <w:iCs/>
        </w:rPr>
        <w:t>A large number of</w:t>
      </w:r>
      <w:proofErr w:type="gramEnd"/>
      <w:r w:rsidRPr="0017155B">
        <w:rPr>
          <w:iCs/>
        </w:rPr>
        <w:t xml:space="preserve"> other stakeholders, including community and sporting groups, unions, diaspora, and state, territory and local governments, were identified as having an important role to play in delivering the programs, particularly in building program understanding and connecting workers to communities, to ensure good outcomes.</w:t>
      </w:r>
    </w:p>
    <w:p w14:paraId="1BC95729" w14:textId="76E5541F" w:rsidR="008E13D6" w:rsidRPr="008E13D6" w:rsidRDefault="008E13D6" w:rsidP="001F603F">
      <w:pPr>
        <w:rPr>
          <w:iCs/>
        </w:rPr>
      </w:pPr>
      <w:r w:rsidRPr="0017155B">
        <w:rPr>
          <w:iCs/>
        </w:rPr>
        <w:t>It was also noted that it is important to engage federal and state-based regulators, such as Fair Work Ombudsman, work health and safety regulators and labour hire authorities to ensure good outcomes.</w:t>
      </w:r>
    </w:p>
    <w:p w14:paraId="03FFB186" w14:textId="6493C9D2" w:rsidR="008377FD" w:rsidRPr="008C76DF" w:rsidRDefault="003C0DFE" w:rsidP="008C76DF">
      <w:pPr>
        <w:pStyle w:val="Heading3"/>
        <w:rPr>
          <w:b/>
          <w:bCs w:val="0"/>
          <w:i w:val="0"/>
          <w:iCs w:val="0"/>
          <w:color w:val="auto"/>
          <w:u w:val="single"/>
        </w:rPr>
      </w:pPr>
      <w:r w:rsidRPr="008C76DF">
        <w:rPr>
          <w:b/>
          <w:bCs w:val="0"/>
          <w:i w:val="0"/>
          <w:iCs w:val="0"/>
          <w:color w:val="auto"/>
          <w:u w:val="single"/>
        </w:rPr>
        <w:t>More streamlined administrative arrangements</w:t>
      </w:r>
    </w:p>
    <w:p w14:paraId="60F96FEE" w14:textId="5FA29C5D" w:rsidR="008E13D6" w:rsidRPr="008E13D6" w:rsidRDefault="007B23A5" w:rsidP="003C0DFE">
      <w:pPr>
        <w:rPr>
          <w:iCs/>
        </w:rPr>
      </w:pPr>
      <w:r w:rsidRPr="0002387C">
        <w:rPr>
          <w:iCs/>
          <w:noProof/>
        </w:rPr>
        <mc:AlternateContent>
          <mc:Choice Requires="wps">
            <w:drawing>
              <wp:inline distT="0" distB="0" distL="0" distR="0" wp14:anchorId="5668F5DB" wp14:editId="23AAFC3C">
                <wp:extent cx="5715000" cy="447675"/>
                <wp:effectExtent l="0" t="0" r="19050" b="28575"/>
                <wp:docPr id="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47675"/>
                        </a:xfrm>
                        <a:prstGeom prst="roundRect">
                          <a:avLst/>
                        </a:prstGeom>
                        <a:ln>
                          <a:solidFill>
                            <a:srgbClr val="0070C0"/>
                          </a:solidFill>
                          <a:headEnd/>
                          <a:tailEnd/>
                        </a:ln>
                      </wps:spPr>
                      <wps:style>
                        <a:lnRef idx="2">
                          <a:schemeClr val="accent4"/>
                        </a:lnRef>
                        <a:fillRef idx="1">
                          <a:schemeClr val="lt1"/>
                        </a:fillRef>
                        <a:effectRef idx="0">
                          <a:schemeClr val="accent4"/>
                        </a:effectRef>
                        <a:fontRef idx="minor">
                          <a:schemeClr val="dk1"/>
                        </a:fontRef>
                      </wps:style>
                      <wps:txbx>
                        <w:txbxContent>
                          <w:p w14:paraId="53E7F931" w14:textId="43BFB0E1" w:rsidR="00A55566" w:rsidRPr="00D03D47" w:rsidRDefault="00A55566" w:rsidP="005F3D0E">
                            <w:pPr>
                              <w:jc w:val="center"/>
                              <w:rPr>
                                <w:sz w:val="18"/>
                                <w:szCs w:val="18"/>
                              </w:rPr>
                            </w:pPr>
                            <w:r w:rsidRPr="00D03D47">
                              <w:rPr>
                                <w:i/>
                                <w:iCs/>
                                <w:sz w:val="18"/>
                                <w:szCs w:val="18"/>
                              </w:rPr>
                              <w:t>‘Combine the two programs into one umbrella program. The two systems can be perceived as confusing and perhaps there would be efficiencies in aligning them.’</w:t>
                            </w:r>
                            <w:r w:rsidRPr="00D03D47">
                              <w:rPr>
                                <w:sz w:val="18"/>
                                <w:szCs w:val="18"/>
                              </w:rPr>
                              <w:t xml:space="preserve"> </w:t>
                            </w:r>
                            <w:r w:rsidR="00064C8C">
                              <w:rPr>
                                <w:sz w:val="18"/>
                                <w:szCs w:val="18"/>
                              </w:rPr>
                              <w:t>-</w:t>
                            </w:r>
                            <w:r w:rsidRPr="00D03D47">
                              <w:rPr>
                                <w:sz w:val="18"/>
                                <w:szCs w:val="18"/>
                              </w:rPr>
                              <w:t>Education Milne Bay (organisation based in Papua New Guinea)</w:t>
                            </w:r>
                          </w:p>
                          <w:p w14:paraId="188E542E" w14:textId="705DA74C" w:rsidR="0088306C" w:rsidRPr="00150DFD" w:rsidRDefault="0088306C" w:rsidP="005F3D0E">
                            <w:pPr>
                              <w:jc w:val="center"/>
                              <w:rPr>
                                <w:sz w:val="18"/>
                                <w:szCs w:val="18"/>
                              </w:rPr>
                            </w:pPr>
                          </w:p>
                        </w:txbxContent>
                      </wps:txbx>
                      <wps:bodyPr rot="0" vert="horz" wrap="square" lIns="91440" tIns="45720" rIns="91440" bIns="45720" anchor="t" anchorCtr="0">
                        <a:noAutofit/>
                      </wps:bodyPr>
                    </wps:wsp>
                  </a:graphicData>
                </a:graphic>
              </wp:inline>
            </w:drawing>
          </mc:Choice>
          <mc:Fallback>
            <w:pict>
              <v:roundrect w14:anchorId="5668F5DB" id="_x0000_s1028" alt="&quot;&quot;" style="width:450pt;height:35.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" fillcolor="white [3201]" strokecolor="#0070c0" strokeweight="1pt">
                <v:stroke joinstyle="miter"/>
                <v:textbox>
                  <w:txbxContent>
                    <w:p w14:paraId="53E7F931" w14:textId="43BFB0E1" w:rsidR="00A55566" w:rsidRPr="00D03D47" w:rsidRDefault="00A55566" w:rsidP="005F3D0E">
                      <w:pPr>
                        <w:jc w:val="center"/>
                        <w:rPr>
                          <w:sz w:val="18"/>
                          <w:szCs w:val="18"/>
                        </w:rPr>
                      </w:pPr>
                      <w:r w:rsidRPr="00D03D47">
                        <w:rPr>
                          <w:i/>
                          <w:iCs/>
                          <w:sz w:val="18"/>
                          <w:szCs w:val="18"/>
                        </w:rPr>
                        <w:t>‘Combine the two programs into one umbrella program. The two systems can be perceived as confusing and perhaps there would be efficiencies in aligning them.’</w:t>
                      </w:r>
                      <w:r w:rsidRPr="00D03D47">
                        <w:rPr>
                          <w:sz w:val="18"/>
                          <w:szCs w:val="18"/>
                        </w:rPr>
                        <w:t xml:space="preserve"> </w:t>
                      </w:r>
                      <w:r w:rsidR="00064C8C">
                        <w:rPr>
                          <w:sz w:val="18"/>
                          <w:szCs w:val="18"/>
                        </w:rPr>
                        <w:t>-</w:t>
                      </w:r>
                      <w:r w:rsidRPr="00D03D47">
                        <w:rPr>
                          <w:sz w:val="18"/>
                          <w:szCs w:val="18"/>
                        </w:rPr>
                        <w:t>Education Milne Bay (organisation based in Papua New Guinea)</w:t>
                      </w:r>
                    </w:p>
                    <w:p w14:paraId="188E542E" w14:textId="705DA74C" w:rsidR="0088306C" w:rsidRPr="00150DFD" w:rsidRDefault="0088306C" w:rsidP="005F3D0E">
                      <w:pPr>
                        <w:jc w:val="center"/>
                        <w:rPr>
                          <w:sz w:val="18"/>
                          <w:szCs w:val="18"/>
                        </w:rPr>
                      </w:pPr>
                    </w:p>
                  </w:txbxContent>
                </v:textbox>
                <w10:anchorlock/>
              </v:roundrect>
            </w:pict>
          </mc:Fallback>
        </mc:AlternateContent>
      </w:r>
      <w:r w:rsidR="00B917F2">
        <w:rPr>
          <w:iCs/>
        </w:rPr>
        <w:t xml:space="preserve">There was general </w:t>
      </w:r>
      <w:r w:rsidR="00B917F2" w:rsidRPr="0093235F">
        <w:rPr>
          <w:b/>
          <w:bCs/>
          <w:iCs/>
        </w:rPr>
        <w:t xml:space="preserve">support for alignment of the </w:t>
      </w:r>
      <w:r w:rsidR="006A45B7">
        <w:rPr>
          <w:b/>
          <w:bCs/>
          <w:iCs/>
        </w:rPr>
        <w:t>Seasonal Worker Programme (SWP) and Pacific Labour Scheme (PLS)</w:t>
      </w:r>
      <w:r w:rsidR="00B917F2">
        <w:rPr>
          <w:iCs/>
        </w:rPr>
        <w:t xml:space="preserve">, with </w:t>
      </w:r>
      <w:r w:rsidR="0086013D">
        <w:rPr>
          <w:iCs/>
        </w:rPr>
        <w:t xml:space="preserve">a </w:t>
      </w:r>
      <w:r w:rsidR="0086013D" w:rsidRPr="0093235F">
        <w:rPr>
          <w:b/>
          <w:bCs/>
          <w:iCs/>
        </w:rPr>
        <w:t>single</w:t>
      </w:r>
      <w:r w:rsidR="00B917F2" w:rsidRPr="0093235F">
        <w:rPr>
          <w:b/>
          <w:bCs/>
          <w:iCs/>
        </w:rPr>
        <w:t xml:space="preserve"> </w:t>
      </w:r>
      <w:r w:rsidR="00527EC7">
        <w:rPr>
          <w:b/>
          <w:bCs/>
          <w:iCs/>
        </w:rPr>
        <w:t xml:space="preserve">Australian government </w:t>
      </w:r>
      <w:r w:rsidR="00783618">
        <w:rPr>
          <w:b/>
          <w:bCs/>
          <w:iCs/>
        </w:rPr>
        <w:t xml:space="preserve">department </w:t>
      </w:r>
      <w:r w:rsidR="00527EC7">
        <w:rPr>
          <w:b/>
          <w:bCs/>
          <w:iCs/>
        </w:rPr>
        <w:t>administering the programs</w:t>
      </w:r>
      <w:r w:rsidR="00527EC7">
        <w:rPr>
          <w:iCs/>
        </w:rPr>
        <w:t xml:space="preserve"> under</w:t>
      </w:r>
      <w:r w:rsidR="00AC71B8">
        <w:rPr>
          <w:b/>
          <w:bCs/>
          <w:iCs/>
        </w:rPr>
        <w:t xml:space="preserve"> a single Deed of Agreement and </w:t>
      </w:r>
      <w:r w:rsidR="003C4910">
        <w:rPr>
          <w:b/>
          <w:bCs/>
          <w:iCs/>
        </w:rPr>
        <w:t xml:space="preserve">employer </w:t>
      </w:r>
      <w:r w:rsidR="00AC71B8">
        <w:rPr>
          <w:b/>
          <w:bCs/>
          <w:iCs/>
        </w:rPr>
        <w:t>guidelines</w:t>
      </w:r>
      <w:r w:rsidR="00306E7C">
        <w:rPr>
          <w:b/>
          <w:bCs/>
          <w:iCs/>
        </w:rPr>
        <w:t xml:space="preserve">. </w:t>
      </w:r>
      <w:r w:rsidR="006A45B7" w:rsidRPr="006A45B7">
        <w:rPr>
          <w:iCs/>
        </w:rPr>
        <w:t>Many s</w:t>
      </w:r>
      <w:r w:rsidR="00527EC7" w:rsidRPr="006A45B7">
        <w:rPr>
          <w:iCs/>
        </w:rPr>
        <w:t>takeholders</w:t>
      </w:r>
      <w:r w:rsidR="00527EC7">
        <w:rPr>
          <w:iCs/>
        </w:rPr>
        <w:t xml:space="preserve"> felt this would </w:t>
      </w:r>
      <w:r w:rsidR="00B917F2">
        <w:rPr>
          <w:iCs/>
        </w:rPr>
        <w:t xml:space="preserve">reduce duplication and </w:t>
      </w:r>
      <w:r w:rsidR="00306E7C">
        <w:rPr>
          <w:iCs/>
        </w:rPr>
        <w:t>improve</w:t>
      </w:r>
      <w:r w:rsidR="00B917F2">
        <w:rPr>
          <w:iCs/>
        </w:rPr>
        <w:t xml:space="preserve"> clarity for employers, </w:t>
      </w:r>
      <w:proofErr w:type="gramStart"/>
      <w:r w:rsidR="00B917F2">
        <w:rPr>
          <w:iCs/>
        </w:rPr>
        <w:t>workers</w:t>
      </w:r>
      <w:proofErr w:type="gramEnd"/>
      <w:r w:rsidR="00B917F2">
        <w:rPr>
          <w:iCs/>
        </w:rPr>
        <w:t xml:space="preserve"> and participating countries. </w:t>
      </w:r>
      <w:r w:rsidR="008E13D6">
        <w:rPr>
          <w:iCs/>
        </w:rPr>
        <w:t xml:space="preserve">Stakeholders also indicated support for a single </w:t>
      </w:r>
      <w:r w:rsidR="008E13D6">
        <w:rPr>
          <w:b/>
          <w:bCs/>
          <w:iCs/>
        </w:rPr>
        <w:t xml:space="preserve">Approved Employer application process, </w:t>
      </w:r>
      <w:r w:rsidR="008E13D6" w:rsidRPr="0014006F">
        <w:rPr>
          <w:iCs/>
        </w:rPr>
        <w:t>as well as</w:t>
      </w:r>
      <w:r w:rsidR="008E13D6">
        <w:rPr>
          <w:b/>
          <w:bCs/>
          <w:iCs/>
        </w:rPr>
        <w:t xml:space="preserve"> single recruitment and accommodation approval processes</w:t>
      </w:r>
      <w:r w:rsidR="008E13D6">
        <w:rPr>
          <w:iCs/>
        </w:rPr>
        <w:t xml:space="preserve">. Approved Employers also advocated for </w:t>
      </w:r>
      <w:r w:rsidR="008E13D6">
        <w:rPr>
          <w:b/>
          <w:bCs/>
          <w:iCs/>
        </w:rPr>
        <w:t>streamlined reporting requirements</w:t>
      </w:r>
      <w:r w:rsidR="008E13D6">
        <w:rPr>
          <w:iCs/>
        </w:rPr>
        <w:t>, for example arrival and departure reports.</w:t>
      </w:r>
    </w:p>
    <w:p w14:paraId="31C82EA5" w14:textId="3AC2A725" w:rsidR="003C0DFE" w:rsidRDefault="00527EC7" w:rsidP="003C0DFE">
      <w:pPr>
        <w:rPr>
          <w:iCs/>
        </w:rPr>
      </w:pPr>
      <w:proofErr w:type="gramStart"/>
      <w:r>
        <w:rPr>
          <w:iCs/>
        </w:rPr>
        <w:t>A number of</w:t>
      </w:r>
      <w:proofErr w:type="gramEnd"/>
      <w:r>
        <w:rPr>
          <w:iCs/>
        </w:rPr>
        <w:t xml:space="preserve"> industry stakeholders and Approved Employers </w:t>
      </w:r>
      <w:r w:rsidR="003C4910">
        <w:rPr>
          <w:iCs/>
        </w:rPr>
        <w:t xml:space="preserve">indicated a preference for the </w:t>
      </w:r>
      <w:r>
        <w:rPr>
          <w:iCs/>
        </w:rPr>
        <w:t>Department of Foreign Affairs and Trad</w:t>
      </w:r>
      <w:r w:rsidR="003C4910">
        <w:rPr>
          <w:iCs/>
        </w:rPr>
        <w:t xml:space="preserve">e </w:t>
      </w:r>
      <w:r w:rsidR="008E13D6">
        <w:rPr>
          <w:iCs/>
        </w:rPr>
        <w:t xml:space="preserve">delivery </w:t>
      </w:r>
      <w:r w:rsidR="003C4910">
        <w:rPr>
          <w:iCs/>
        </w:rPr>
        <w:t>model</w:t>
      </w:r>
      <w:r w:rsidR="008E13D6">
        <w:rPr>
          <w:iCs/>
        </w:rPr>
        <w:t>,</w:t>
      </w:r>
      <w:r w:rsidR="003C4910">
        <w:rPr>
          <w:iCs/>
        </w:rPr>
        <w:t xml:space="preserve"> which uses a contractor to support delivery of </w:t>
      </w:r>
      <w:r>
        <w:rPr>
          <w:iCs/>
        </w:rPr>
        <w:t>the program</w:t>
      </w:r>
      <w:r w:rsidR="006A45B7">
        <w:rPr>
          <w:iCs/>
        </w:rPr>
        <w:t>. T</w:t>
      </w:r>
      <w:r>
        <w:rPr>
          <w:iCs/>
        </w:rPr>
        <w:t>hey perceive</w:t>
      </w:r>
      <w:r w:rsidR="006A45B7">
        <w:rPr>
          <w:iCs/>
        </w:rPr>
        <w:t>d</w:t>
      </w:r>
      <w:r>
        <w:rPr>
          <w:iCs/>
        </w:rPr>
        <w:t xml:space="preserve"> this model </w:t>
      </w:r>
      <w:r w:rsidR="006A45B7">
        <w:rPr>
          <w:iCs/>
        </w:rPr>
        <w:t>to be better able to support continued program growth</w:t>
      </w:r>
      <w:r>
        <w:rPr>
          <w:iCs/>
        </w:rPr>
        <w:t xml:space="preserve">. </w:t>
      </w:r>
    </w:p>
    <w:p w14:paraId="505F0993" w14:textId="5C68A4F5" w:rsidR="003C0DFE" w:rsidRPr="008C76DF" w:rsidRDefault="003C0DFE" w:rsidP="008C76DF">
      <w:pPr>
        <w:pStyle w:val="Heading3"/>
        <w:rPr>
          <w:b/>
          <w:bCs w:val="0"/>
          <w:i w:val="0"/>
          <w:iCs w:val="0"/>
          <w:color w:val="auto"/>
          <w:u w:val="single"/>
        </w:rPr>
      </w:pPr>
      <w:r w:rsidRPr="008C76DF">
        <w:rPr>
          <w:b/>
          <w:bCs w:val="0"/>
          <w:i w:val="0"/>
          <w:iCs w:val="0"/>
          <w:color w:val="auto"/>
          <w:u w:val="single"/>
        </w:rPr>
        <w:t>Program settings</w:t>
      </w:r>
    </w:p>
    <w:p w14:paraId="358D437D" w14:textId="2B6E40F3" w:rsidR="00527EC7" w:rsidRPr="00527EC7" w:rsidRDefault="00527EC7" w:rsidP="003C0DFE">
      <w:pPr>
        <w:rPr>
          <w:i/>
        </w:rPr>
      </w:pPr>
      <w:r>
        <w:rPr>
          <w:i/>
        </w:rPr>
        <w:t>Barriers to uptake</w:t>
      </w:r>
      <w:r w:rsidR="008E13D6">
        <w:rPr>
          <w:i/>
        </w:rPr>
        <w:t xml:space="preserve"> by small employers</w:t>
      </w:r>
    </w:p>
    <w:p w14:paraId="590FF4E9" w14:textId="4EDAEBA5" w:rsidR="008E13D6" w:rsidRDefault="003C0DFE" w:rsidP="003C0DFE">
      <w:pPr>
        <w:rPr>
          <w:iCs/>
        </w:rPr>
      </w:pPr>
      <w:r w:rsidRPr="0093235F">
        <w:rPr>
          <w:b/>
          <w:bCs/>
          <w:iCs/>
        </w:rPr>
        <w:t>Upfront costs, out of pocket expenses</w:t>
      </w:r>
      <w:r>
        <w:rPr>
          <w:iCs/>
        </w:rPr>
        <w:t xml:space="preserve">, </w:t>
      </w:r>
      <w:r w:rsidRPr="0093235F">
        <w:rPr>
          <w:b/>
          <w:bCs/>
          <w:iCs/>
        </w:rPr>
        <w:t>administration</w:t>
      </w:r>
      <w:r>
        <w:rPr>
          <w:iCs/>
        </w:rPr>
        <w:t xml:space="preserve"> and </w:t>
      </w:r>
      <w:r w:rsidRPr="0093235F">
        <w:rPr>
          <w:b/>
          <w:bCs/>
          <w:iCs/>
        </w:rPr>
        <w:t>regulatory burden</w:t>
      </w:r>
      <w:r>
        <w:rPr>
          <w:iCs/>
        </w:rPr>
        <w:t xml:space="preserve"> were noted as </w:t>
      </w:r>
      <w:r w:rsidRPr="0093235F">
        <w:rPr>
          <w:b/>
          <w:bCs/>
          <w:iCs/>
        </w:rPr>
        <w:t>significant barriers</w:t>
      </w:r>
      <w:r>
        <w:rPr>
          <w:iCs/>
        </w:rPr>
        <w:t xml:space="preserve"> </w:t>
      </w:r>
      <w:r w:rsidR="00264128">
        <w:rPr>
          <w:iCs/>
        </w:rPr>
        <w:t xml:space="preserve">and/or deterrents </w:t>
      </w:r>
      <w:r>
        <w:rPr>
          <w:iCs/>
        </w:rPr>
        <w:t xml:space="preserve">to </w:t>
      </w:r>
      <w:r w:rsidR="008E13D6">
        <w:rPr>
          <w:iCs/>
        </w:rPr>
        <w:t xml:space="preserve">some small and medium employers </w:t>
      </w:r>
      <w:r w:rsidR="00264128">
        <w:rPr>
          <w:iCs/>
        </w:rPr>
        <w:t xml:space="preserve">participating in </w:t>
      </w:r>
      <w:r>
        <w:rPr>
          <w:iCs/>
        </w:rPr>
        <w:t xml:space="preserve">the programs. </w:t>
      </w:r>
      <w:r w:rsidR="008E13D6">
        <w:rPr>
          <w:iCs/>
        </w:rPr>
        <w:t>While a small number of stakeholders wanted to see the programs open to all employers, provided they had completed labour market testing, many acknowledged that Pacific labour mobility was not the solution to all workforce shortages for all types of employers.</w:t>
      </w:r>
    </w:p>
    <w:p w14:paraId="498DF6F4" w14:textId="14604EE7" w:rsidR="003C0DFE" w:rsidRDefault="003C0DFE" w:rsidP="003C0DFE">
      <w:pPr>
        <w:rPr>
          <w:iCs/>
        </w:rPr>
      </w:pPr>
      <w:r>
        <w:rPr>
          <w:iCs/>
        </w:rPr>
        <w:t xml:space="preserve">Some stakeholders </w:t>
      </w:r>
      <w:r w:rsidR="00264128">
        <w:rPr>
          <w:iCs/>
        </w:rPr>
        <w:t>suggested</w:t>
      </w:r>
      <w:r>
        <w:rPr>
          <w:iCs/>
        </w:rPr>
        <w:t xml:space="preserve"> that</w:t>
      </w:r>
      <w:r w:rsidR="008E13D6">
        <w:rPr>
          <w:iCs/>
        </w:rPr>
        <w:t>,</w:t>
      </w:r>
      <w:r>
        <w:rPr>
          <w:iCs/>
        </w:rPr>
        <w:t xml:space="preserve"> </w:t>
      </w:r>
      <w:r w:rsidR="00264128">
        <w:rPr>
          <w:iCs/>
        </w:rPr>
        <w:t xml:space="preserve">although </w:t>
      </w:r>
      <w:r>
        <w:rPr>
          <w:iCs/>
        </w:rPr>
        <w:t xml:space="preserve">labour hire companies </w:t>
      </w:r>
      <w:r w:rsidR="00264128">
        <w:rPr>
          <w:iCs/>
        </w:rPr>
        <w:t xml:space="preserve">helped facilitate </w:t>
      </w:r>
      <w:r>
        <w:rPr>
          <w:iCs/>
        </w:rPr>
        <w:t xml:space="preserve">access to the programs for employers, they </w:t>
      </w:r>
      <w:r w:rsidR="00264128">
        <w:rPr>
          <w:iCs/>
        </w:rPr>
        <w:t xml:space="preserve">also came </w:t>
      </w:r>
      <w:r>
        <w:rPr>
          <w:iCs/>
        </w:rPr>
        <w:t>at an additional cost, which may be beyond the financial limits of small businesses.</w:t>
      </w:r>
      <w:r w:rsidR="008C2644">
        <w:rPr>
          <w:iCs/>
        </w:rPr>
        <w:t xml:space="preserve"> </w:t>
      </w:r>
      <w:r w:rsidR="008E13D6">
        <w:rPr>
          <w:iCs/>
        </w:rPr>
        <w:t>A</w:t>
      </w:r>
      <w:r>
        <w:rPr>
          <w:iCs/>
        </w:rPr>
        <w:t xml:space="preserve"> deterrent to uptake by some employers </w:t>
      </w:r>
      <w:r w:rsidR="00264128">
        <w:rPr>
          <w:iCs/>
        </w:rPr>
        <w:t>wa</w:t>
      </w:r>
      <w:r>
        <w:rPr>
          <w:iCs/>
        </w:rPr>
        <w:t xml:space="preserve">s the </w:t>
      </w:r>
      <w:r w:rsidR="008E13D6">
        <w:rPr>
          <w:iCs/>
        </w:rPr>
        <w:t xml:space="preserve">perceived </w:t>
      </w:r>
      <w:r>
        <w:rPr>
          <w:iCs/>
        </w:rPr>
        <w:t xml:space="preserve">lack of </w:t>
      </w:r>
      <w:r w:rsidR="008E13D6">
        <w:rPr>
          <w:iCs/>
        </w:rPr>
        <w:t xml:space="preserve">opportunity for </w:t>
      </w:r>
      <w:r>
        <w:rPr>
          <w:iCs/>
        </w:rPr>
        <w:t>direct engagement with workers and participating countries in the recruitment process.</w:t>
      </w:r>
    </w:p>
    <w:p w14:paraId="4D946121" w14:textId="02682A5B" w:rsidR="003C0DFE" w:rsidRPr="008C2644" w:rsidRDefault="008C2644" w:rsidP="0014590C">
      <w:pPr>
        <w:rPr>
          <w:i/>
        </w:rPr>
      </w:pPr>
      <w:r>
        <w:rPr>
          <w:i/>
        </w:rPr>
        <w:t>Labour market testing</w:t>
      </w:r>
    </w:p>
    <w:p w14:paraId="2C3660CD" w14:textId="21568E8E" w:rsidR="003C0DFE" w:rsidRDefault="003C0DFE" w:rsidP="003C0DFE">
      <w:pPr>
        <w:rPr>
          <w:iCs/>
        </w:rPr>
      </w:pPr>
      <w:r w:rsidRPr="0093235F">
        <w:rPr>
          <w:b/>
          <w:bCs/>
          <w:iCs/>
        </w:rPr>
        <w:t>Labour market testing requirements</w:t>
      </w:r>
      <w:r>
        <w:rPr>
          <w:iCs/>
        </w:rPr>
        <w:t xml:space="preserve"> </w:t>
      </w:r>
      <w:r w:rsidR="008E13D6">
        <w:rPr>
          <w:iCs/>
        </w:rPr>
        <w:t xml:space="preserve">prior to recruitment of Pacific workers </w:t>
      </w:r>
      <w:r>
        <w:rPr>
          <w:iCs/>
        </w:rPr>
        <w:t xml:space="preserve">were </w:t>
      </w:r>
      <w:r w:rsidR="00264128">
        <w:rPr>
          <w:iCs/>
        </w:rPr>
        <w:t>described</w:t>
      </w:r>
      <w:r>
        <w:rPr>
          <w:iCs/>
        </w:rPr>
        <w:t xml:space="preserve"> as </w:t>
      </w:r>
      <w:r w:rsidRPr="0093235F">
        <w:rPr>
          <w:b/>
          <w:bCs/>
          <w:iCs/>
        </w:rPr>
        <w:t>onerous and repetitive</w:t>
      </w:r>
      <w:r>
        <w:rPr>
          <w:iCs/>
        </w:rPr>
        <w:t xml:space="preserve">. It was suggested that </w:t>
      </w:r>
      <w:r w:rsidR="00264128">
        <w:rPr>
          <w:iCs/>
        </w:rPr>
        <w:t xml:space="preserve">the period of validity of </w:t>
      </w:r>
      <w:r>
        <w:rPr>
          <w:iCs/>
        </w:rPr>
        <w:t xml:space="preserve">labour market testing should be </w:t>
      </w:r>
      <w:r w:rsidR="00264128">
        <w:rPr>
          <w:b/>
          <w:bCs/>
          <w:iCs/>
        </w:rPr>
        <w:t xml:space="preserve">extended to </w:t>
      </w:r>
      <w:r w:rsidRPr="0093235F">
        <w:rPr>
          <w:b/>
          <w:bCs/>
          <w:iCs/>
        </w:rPr>
        <w:t>12 months</w:t>
      </w:r>
      <w:r>
        <w:rPr>
          <w:iCs/>
        </w:rPr>
        <w:t xml:space="preserve"> and </w:t>
      </w:r>
      <w:r w:rsidR="00264128">
        <w:rPr>
          <w:iCs/>
        </w:rPr>
        <w:t>consideration should be given to allow</w:t>
      </w:r>
      <w:r w:rsidR="006A45B7">
        <w:rPr>
          <w:iCs/>
        </w:rPr>
        <w:t>ing</w:t>
      </w:r>
      <w:r w:rsidR="00264128">
        <w:rPr>
          <w:iCs/>
        </w:rPr>
        <w:t xml:space="preserve"> </w:t>
      </w:r>
      <w:r w:rsidRPr="0093235F">
        <w:rPr>
          <w:b/>
          <w:bCs/>
          <w:iCs/>
        </w:rPr>
        <w:t xml:space="preserve">all Approved Employers in a regional or </w:t>
      </w:r>
      <w:r w:rsidR="00264128">
        <w:rPr>
          <w:b/>
          <w:bCs/>
          <w:iCs/>
        </w:rPr>
        <w:t xml:space="preserve">rural </w:t>
      </w:r>
      <w:r w:rsidRPr="0093235F">
        <w:rPr>
          <w:b/>
          <w:bCs/>
          <w:iCs/>
        </w:rPr>
        <w:t>catchment area</w:t>
      </w:r>
      <w:r w:rsidR="00264128">
        <w:rPr>
          <w:b/>
          <w:bCs/>
          <w:iCs/>
        </w:rPr>
        <w:t xml:space="preserve"> to use LMT already </w:t>
      </w:r>
      <w:r w:rsidR="006A45B7">
        <w:rPr>
          <w:b/>
          <w:bCs/>
          <w:iCs/>
        </w:rPr>
        <w:t>undertaken</w:t>
      </w:r>
      <w:r w:rsidR="008E13D6">
        <w:rPr>
          <w:b/>
          <w:bCs/>
          <w:iCs/>
        </w:rPr>
        <w:t xml:space="preserve"> in that location</w:t>
      </w:r>
      <w:r w:rsidR="00264128">
        <w:rPr>
          <w:b/>
          <w:bCs/>
          <w:iCs/>
        </w:rPr>
        <w:t>.</w:t>
      </w:r>
      <w:r>
        <w:rPr>
          <w:iCs/>
        </w:rPr>
        <w:t xml:space="preserve"> This would reduce duplication </w:t>
      </w:r>
      <w:r w:rsidR="008E13D6">
        <w:rPr>
          <w:iCs/>
        </w:rPr>
        <w:t>in the</w:t>
      </w:r>
      <w:r>
        <w:rPr>
          <w:iCs/>
        </w:rPr>
        <w:t xml:space="preserve"> same labour market. Some stakeholders also </w:t>
      </w:r>
      <w:r w:rsidR="00264128">
        <w:rPr>
          <w:iCs/>
        </w:rPr>
        <w:t>proposed</w:t>
      </w:r>
      <w:r w:rsidR="008E13D6">
        <w:rPr>
          <w:iCs/>
        </w:rPr>
        <w:t xml:space="preserve"> that the</w:t>
      </w:r>
      <w:r w:rsidR="00264128">
        <w:rPr>
          <w:iCs/>
        </w:rPr>
        <w:t xml:space="preserve"> </w:t>
      </w:r>
      <w:r>
        <w:rPr>
          <w:iCs/>
        </w:rPr>
        <w:t xml:space="preserve">labour market testing requirement </w:t>
      </w:r>
      <w:r w:rsidR="006A45B7">
        <w:rPr>
          <w:iCs/>
        </w:rPr>
        <w:t xml:space="preserve">be waived where there was an </w:t>
      </w:r>
      <w:r>
        <w:rPr>
          <w:iCs/>
        </w:rPr>
        <w:t>unexpected</w:t>
      </w:r>
      <w:r w:rsidR="006A45B7">
        <w:rPr>
          <w:iCs/>
        </w:rPr>
        <w:t xml:space="preserve"> </w:t>
      </w:r>
      <w:r>
        <w:rPr>
          <w:iCs/>
        </w:rPr>
        <w:t>need to move workers</w:t>
      </w:r>
      <w:r w:rsidR="006A45B7">
        <w:rPr>
          <w:iCs/>
        </w:rPr>
        <w:t>, particularly for a short period</w:t>
      </w:r>
      <w:r>
        <w:rPr>
          <w:iCs/>
        </w:rPr>
        <w:t>.</w:t>
      </w:r>
    </w:p>
    <w:p w14:paraId="23C17F9F" w14:textId="41D6B734" w:rsidR="008C2644" w:rsidRDefault="008C2644" w:rsidP="003C0DFE">
      <w:pPr>
        <w:rPr>
          <w:iCs/>
        </w:rPr>
      </w:pPr>
      <w:r>
        <w:rPr>
          <w:i/>
        </w:rPr>
        <w:t>Postcode restrictions</w:t>
      </w:r>
    </w:p>
    <w:p w14:paraId="7E0ED5F5" w14:textId="599FB245" w:rsidR="008C2644" w:rsidRDefault="008C2644" w:rsidP="008C2644">
      <w:pPr>
        <w:rPr>
          <w:iCs/>
        </w:rPr>
      </w:pPr>
      <w:r w:rsidRPr="002860C2">
        <w:rPr>
          <w:b/>
          <w:bCs/>
          <w:iCs/>
        </w:rPr>
        <w:t>Some</w:t>
      </w:r>
      <w:r>
        <w:rPr>
          <w:iCs/>
        </w:rPr>
        <w:t xml:space="preserve"> stakeholders </w:t>
      </w:r>
      <w:r w:rsidR="00264128">
        <w:rPr>
          <w:iCs/>
        </w:rPr>
        <w:t xml:space="preserve">expressed </w:t>
      </w:r>
      <w:r w:rsidRPr="002860C2">
        <w:rPr>
          <w:b/>
          <w:bCs/>
          <w:iCs/>
        </w:rPr>
        <w:t>frustration</w:t>
      </w:r>
      <w:r>
        <w:rPr>
          <w:iCs/>
        </w:rPr>
        <w:t xml:space="preserve"> at the </w:t>
      </w:r>
      <w:r w:rsidRPr="002860C2">
        <w:rPr>
          <w:b/>
          <w:bCs/>
          <w:iCs/>
        </w:rPr>
        <w:t>current postcode restrictions</w:t>
      </w:r>
      <w:r>
        <w:rPr>
          <w:iCs/>
        </w:rPr>
        <w:t>, particularly where the</w:t>
      </w:r>
      <w:r w:rsidR="00264128">
        <w:rPr>
          <w:iCs/>
        </w:rPr>
        <w:t>ir</w:t>
      </w:r>
      <w:r>
        <w:rPr>
          <w:iCs/>
        </w:rPr>
        <w:t xml:space="preserve"> businesses </w:t>
      </w:r>
      <w:proofErr w:type="gramStart"/>
      <w:r w:rsidR="00264128">
        <w:rPr>
          <w:iCs/>
        </w:rPr>
        <w:t>were located in</w:t>
      </w:r>
      <w:proofErr w:type="gramEnd"/>
      <w:r w:rsidR="00264128">
        <w:rPr>
          <w:iCs/>
        </w:rPr>
        <w:t xml:space="preserve"> an eligible area for one program, but not the other. </w:t>
      </w:r>
      <w:r>
        <w:rPr>
          <w:iCs/>
        </w:rPr>
        <w:t xml:space="preserve">However, aged care stakeholders noted that </w:t>
      </w:r>
      <w:r w:rsidR="00785A48">
        <w:rPr>
          <w:iCs/>
        </w:rPr>
        <w:t>al</w:t>
      </w:r>
      <w:r>
        <w:rPr>
          <w:iCs/>
        </w:rPr>
        <w:t xml:space="preserve">though there </w:t>
      </w:r>
      <w:r w:rsidR="00785A48">
        <w:rPr>
          <w:iCs/>
        </w:rPr>
        <w:t xml:space="preserve">were worker </w:t>
      </w:r>
      <w:r>
        <w:rPr>
          <w:iCs/>
        </w:rPr>
        <w:t xml:space="preserve">shortages in urban and peri-urban locations, they </w:t>
      </w:r>
      <w:r w:rsidR="006A45B7">
        <w:rPr>
          <w:iCs/>
        </w:rPr>
        <w:t xml:space="preserve">maintained support for a </w:t>
      </w:r>
      <w:r w:rsidR="009C2C4F">
        <w:rPr>
          <w:iCs/>
        </w:rPr>
        <w:t xml:space="preserve">priority </w:t>
      </w:r>
      <w:r w:rsidR="006A45B7">
        <w:rPr>
          <w:iCs/>
        </w:rPr>
        <w:t xml:space="preserve">rural and regional focus to support </w:t>
      </w:r>
      <w:r w:rsidR="009C2C4F">
        <w:rPr>
          <w:iCs/>
        </w:rPr>
        <w:t>care facilities</w:t>
      </w:r>
      <w:r w:rsidR="006A45B7">
        <w:rPr>
          <w:iCs/>
        </w:rPr>
        <w:t xml:space="preserve"> operating in more geographically isolated areas</w:t>
      </w:r>
      <w:r w:rsidR="009C2C4F">
        <w:rPr>
          <w:iCs/>
        </w:rPr>
        <w:t xml:space="preserve"> to attract and retain Pacific workers</w:t>
      </w:r>
      <w:r>
        <w:rPr>
          <w:iCs/>
        </w:rPr>
        <w:t xml:space="preserve">. </w:t>
      </w:r>
    </w:p>
    <w:p w14:paraId="58051DF5" w14:textId="77777777" w:rsidR="003C0DFE" w:rsidRPr="00CB5A30" w:rsidRDefault="003C0DFE" w:rsidP="003C0DFE">
      <w:pPr>
        <w:rPr>
          <w:i/>
        </w:rPr>
      </w:pPr>
      <w:r>
        <w:rPr>
          <w:i/>
        </w:rPr>
        <w:t>Portability</w:t>
      </w:r>
    </w:p>
    <w:p w14:paraId="323C6A88" w14:textId="77777777" w:rsidR="00064C8C" w:rsidRDefault="007B23A5" w:rsidP="003C0DFE">
      <w:r>
        <w:rPr>
          <w:noProof/>
        </w:rPr>
        <mc:AlternateContent>
          <mc:Choice Requires="wps">
            <w:drawing>
              <wp:inline distT="0" distB="0" distL="0" distR="0" wp14:anchorId="6BA6EFB1" wp14:editId="35D718EE">
                <wp:extent cx="5667375" cy="781050"/>
                <wp:effectExtent l="0" t="0" r="28575" b="19050"/>
                <wp:docPr id="1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781050"/>
                        </a:xfrm>
                        <a:prstGeom prst="roundRect">
                          <a:avLst/>
                        </a:prstGeom>
                        <a:ln>
                          <a:solidFill>
                            <a:srgbClr val="002060"/>
                          </a:solidFill>
                          <a:headEnd/>
                          <a:tailEnd/>
                        </a:ln>
                      </wps:spPr>
                      <wps:style>
                        <a:lnRef idx="2">
                          <a:schemeClr val="accent2"/>
                        </a:lnRef>
                        <a:fillRef idx="1">
                          <a:schemeClr val="lt1"/>
                        </a:fillRef>
                        <a:effectRef idx="0">
                          <a:schemeClr val="accent2"/>
                        </a:effectRef>
                        <a:fontRef idx="minor">
                          <a:schemeClr val="dk1"/>
                        </a:fontRef>
                      </wps:style>
                      <wps:txbx>
                        <w:txbxContent>
                          <w:p w14:paraId="6E33506D" w14:textId="77777777" w:rsidR="0088306C" w:rsidRDefault="0088306C" w:rsidP="007B23A5">
                            <w:pPr>
                              <w:spacing w:after="40"/>
                              <w:rPr>
                                <w:sz w:val="18"/>
                                <w:szCs w:val="18"/>
                              </w:rPr>
                            </w:pPr>
                            <w:r>
                              <w:rPr>
                                <w:i/>
                                <w:iCs/>
                                <w:sz w:val="18"/>
                                <w:szCs w:val="18"/>
                              </w:rPr>
                              <w:t>‘</w:t>
                            </w:r>
                            <w:r w:rsidRPr="00150DFD">
                              <w:rPr>
                                <w:i/>
                                <w:iCs/>
                                <w:sz w:val="18"/>
                                <w:szCs w:val="18"/>
                              </w:rPr>
                              <w:t>Greater flexibility to move workers between Approved Employers would enable highly seasonal crops (</w:t>
                            </w:r>
                            <w:proofErr w:type="gramStart"/>
                            <w:r w:rsidRPr="00150DFD">
                              <w:rPr>
                                <w:i/>
                                <w:iCs/>
                                <w:sz w:val="18"/>
                                <w:szCs w:val="18"/>
                              </w:rPr>
                              <w:t>i.e.</w:t>
                            </w:r>
                            <w:proofErr w:type="gramEnd"/>
                            <w:r w:rsidRPr="00150DFD">
                              <w:rPr>
                                <w:i/>
                                <w:iCs/>
                                <w:sz w:val="18"/>
                                <w:szCs w:val="18"/>
                              </w:rPr>
                              <w:t xml:space="preserve"> those with a short harvest window) to access workers and would also mitigate risk for visa holders where a season may fall short, or a weather event destroys a crop that results in those workers no longer having work.</w:t>
                            </w:r>
                            <w:r>
                              <w:rPr>
                                <w:i/>
                                <w:iCs/>
                                <w:sz w:val="18"/>
                                <w:szCs w:val="18"/>
                              </w:rPr>
                              <w:t>’</w:t>
                            </w:r>
                          </w:p>
                          <w:p w14:paraId="41A15012" w14:textId="77777777" w:rsidR="0088306C" w:rsidRPr="00150DFD" w:rsidRDefault="0088306C" w:rsidP="007B23A5">
                            <w:pPr>
                              <w:spacing w:after="40"/>
                              <w:rPr>
                                <w:sz w:val="14"/>
                                <w:szCs w:val="14"/>
                              </w:rPr>
                            </w:pPr>
                            <w:r>
                              <w:rPr>
                                <w:sz w:val="18"/>
                                <w:szCs w:val="18"/>
                              </w:rPr>
                              <w:t>Australian Fresh Produce Alliance</w:t>
                            </w:r>
                          </w:p>
                        </w:txbxContent>
                      </wps:txbx>
                      <wps:bodyPr rot="0" vert="horz" wrap="square" lIns="91440" tIns="45720" rIns="91440" bIns="45720" anchor="t" anchorCtr="0">
                        <a:noAutofit/>
                      </wps:bodyPr>
                    </wps:wsp>
                  </a:graphicData>
                </a:graphic>
              </wp:inline>
            </w:drawing>
          </mc:Choice>
          <mc:Fallback>
            <w:pict>
              <v:roundrect w14:anchorId="6BA6EFB1" id="_x0000_s1029" alt="&quot;&quot;" style="width:446.25pt;height:6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" fillcolor="white [3201]" strokecolor="#002060" strokeweight="1pt">
                <v:stroke joinstyle="miter"/>
                <v:textbox>
                  <w:txbxContent>
                    <w:p w14:paraId="6E33506D" w14:textId="77777777" w:rsidR="0088306C" w:rsidRDefault="0088306C" w:rsidP="007B23A5">
                      <w:pPr>
                        <w:spacing w:after="40"/>
                        <w:rPr>
                          <w:sz w:val="18"/>
                          <w:szCs w:val="18"/>
                        </w:rPr>
                      </w:pPr>
                      <w:r>
                        <w:rPr>
                          <w:i/>
                          <w:iCs/>
                          <w:sz w:val="18"/>
                          <w:szCs w:val="18"/>
                        </w:rPr>
                        <w:t>‘</w:t>
                      </w:r>
                      <w:r w:rsidRPr="00150DFD">
                        <w:rPr>
                          <w:i/>
                          <w:iCs/>
                          <w:sz w:val="18"/>
                          <w:szCs w:val="18"/>
                        </w:rPr>
                        <w:t>Greater flexibility to move workers between Approved Employers would enable highly seasonal crops (</w:t>
                      </w:r>
                      <w:proofErr w:type="gramStart"/>
                      <w:r w:rsidRPr="00150DFD">
                        <w:rPr>
                          <w:i/>
                          <w:iCs/>
                          <w:sz w:val="18"/>
                          <w:szCs w:val="18"/>
                        </w:rPr>
                        <w:t>i.e.</w:t>
                      </w:r>
                      <w:proofErr w:type="gramEnd"/>
                      <w:r w:rsidRPr="00150DFD">
                        <w:rPr>
                          <w:i/>
                          <w:iCs/>
                          <w:sz w:val="18"/>
                          <w:szCs w:val="18"/>
                        </w:rPr>
                        <w:t xml:space="preserve"> those with a short harvest window) to access workers and would also mitigate risk for visa holders where a season may fall short, or a weather event destroys a crop that results in those workers no longer having work.</w:t>
                      </w:r>
                      <w:r>
                        <w:rPr>
                          <w:i/>
                          <w:iCs/>
                          <w:sz w:val="18"/>
                          <w:szCs w:val="18"/>
                        </w:rPr>
                        <w:t>’</w:t>
                      </w:r>
                    </w:p>
                    <w:p w14:paraId="41A15012" w14:textId="77777777" w:rsidR="0088306C" w:rsidRPr="00150DFD" w:rsidRDefault="0088306C" w:rsidP="007B23A5">
                      <w:pPr>
                        <w:spacing w:after="40"/>
                        <w:rPr>
                          <w:sz w:val="14"/>
                          <w:szCs w:val="14"/>
                        </w:rPr>
                      </w:pPr>
                      <w:r>
                        <w:rPr>
                          <w:sz w:val="18"/>
                          <w:szCs w:val="18"/>
                        </w:rPr>
                        <w:t>Australian Fresh Produce Alliance</w:t>
                      </w:r>
                    </w:p>
                  </w:txbxContent>
                </v:textbox>
                <w10:anchorlock/>
              </v:roundrect>
            </w:pict>
          </mc:Fallback>
        </mc:AlternateContent>
      </w:r>
    </w:p>
    <w:p w14:paraId="575B2395" w14:textId="4D7590AF" w:rsidR="003C0DFE" w:rsidRDefault="003C0DFE" w:rsidP="003C0DFE">
      <w:r>
        <w:t xml:space="preserve">A </w:t>
      </w:r>
      <w:r w:rsidR="00785A48">
        <w:t>suggestion raised repeatedly</w:t>
      </w:r>
      <w:r>
        <w:t xml:space="preserve">, particularly from the horticulture, </w:t>
      </w:r>
      <w:proofErr w:type="gramStart"/>
      <w:r>
        <w:t>tourism</w:t>
      </w:r>
      <w:proofErr w:type="gramEnd"/>
      <w:r>
        <w:t xml:space="preserve"> and hospitality sectors</w:t>
      </w:r>
      <w:r w:rsidR="00785A48">
        <w:t>,</w:t>
      </w:r>
      <w:r>
        <w:t xml:space="preserve"> was</w:t>
      </w:r>
      <w:r w:rsidR="00785A48">
        <w:t xml:space="preserve"> the need for</w:t>
      </w:r>
      <w:r>
        <w:t xml:space="preserve"> </w:t>
      </w:r>
      <w:r w:rsidRPr="0093235F">
        <w:rPr>
          <w:b/>
          <w:bCs/>
        </w:rPr>
        <w:t>greater flexibility to move workers between Approved Employers</w:t>
      </w:r>
      <w:r>
        <w:t xml:space="preserve"> (portability)</w:t>
      </w:r>
      <w:r w:rsidR="009C2C4F">
        <w:t>. This would help</w:t>
      </w:r>
      <w:r>
        <w:t xml:space="preserve"> to meet shifting workforce needs in a timely manner</w:t>
      </w:r>
      <w:r w:rsidRPr="00C70F50">
        <w:t xml:space="preserve"> </w:t>
      </w:r>
      <w:r w:rsidRPr="002C2257">
        <w:t xml:space="preserve">and </w:t>
      </w:r>
      <w:r w:rsidR="00785A48">
        <w:t xml:space="preserve">enable </w:t>
      </w:r>
      <w:r w:rsidRPr="002C2257">
        <w:t>workers to maximise</w:t>
      </w:r>
      <w:r>
        <w:t xml:space="preserve"> their incomes and minimise periods of inactivity</w:t>
      </w:r>
      <w:r w:rsidR="009C2C4F">
        <w:t xml:space="preserve"> or low hours </w:t>
      </w:r>
      <w:r>
        <w:t xml:space="preserve">during seasonal </w:t>
      </w:r>
      <w:r w:rsidR="00785A48">
        <w:t>fluctuations</w:t>
      </w:r>
      <w:r>
        <w:t xml:space="preserve">. This flexibility would need to be balanced with worker interests and program integrity. </w:t>
      </w:r>
    </w:p>
    <w:p w14:paraId="5E70F454" w14:textId="5627E6E9" w:rsidR="003C0DFE" w:rsidRDefault="003C0DFE" w:rsidP="003C0DFE">
      <w:r>
        <w:t xml:space="preserve">The consultation highlighted </w:t>
      </w:r>
      <w:r w:rsidRPr="0093235F">
        <w:rPr>
          <w:b/>
          <w:bCs/>
        </w:rPr>
        <w:t>two types of portability</w:t>
      </w:r>
      <w:r>
        <w:t>:</w:t>
      </w:r>
    </w:p>
    <w:p w14:paraId="2E5A1541" w14:textId="5051E3B1" w:rsidR="003C0DFE" w:rsidRDefault="003C0DFE" w:rsidP="003C0DFE">
      <w:pPr>
        <w:pStyle w:val="ListParagraph"/>
        <w:numPr>
          <w:ilvl w:val="0"/>
          <w:numId w:val="2"/>
        </w:numPr>
      </w:pPr>
      <w:r w:rsidRPr="0093235F">
        <w:rPr>
          <w:b/>
          <w:bCs/>
        </w:rPr>
        <w:t>within a region or catchment area</w:t>
      </w:r>
      <w:r>
        <w:t>, particularly to cover short quiet periods, highly seasonal crops or as season</w:t>
      </w:r>
      <w:r w:rsidR="00527EC7">
        <w:t>s</w:t>
      </w:r>
      <w:r>
        <w:t xml:space="preserve"> fall short; and </w:t>
      </w:r>
    </w:p>
    <w:p w14:paraId="50EE372E" w14:textId="77777777" w:rsidR="003C0DFE" w:rsidRPr="0093235F" w:rsidRDefault="003C0DFE" w:rsidP="003C0DFE">
      <w:pPr>
        <w:pStyle w:val="ListParagraph"/>
        <w:numPr>
          <w:ilvl w:val="0"/>
          <w:numId w:val="2"/>
        </w:numPr>
        <w:rPr>
          <w:b/>
          <w:bCs/>
        </w:rPr>
      </w:pPr>
      <w:r w:rsidRPr="0093235F">
        <w:rPr>
          <w:b/>
          <w:bCs/>
        </w:rPr>
        <w:t>across regions</w:t>
      </w:r>
      <w:r>
        <w:t>.</w:t>
      </w:r>
    </w:p>
    <w:p w14:paraId="5DC7AE02" w14:textId="167034B6" w:rsidR="003C0DFE" w:rsidRDefault="003C0DFE" w:rsidP="003C0DFE">
      <w:r>
        <w:t>Many stakeholders noted that the concept of the SWP Portability pilot</w:t>
      </w:r>
      <w:r w:rsidR="00685253">
        <w:rPr>
          <w:rStyle w:val="FootnoteReference"/>
        </w:rPr>
        <w:footnoteReference w:id="1"/>
      </w:r>
      <w:r>
        <w:t xml:space="preserve"> was good but </w:t>
      </w:r>
      <w:r w:rsidR="0088306C">
        <w:t xml:space="preserve">it had been </w:t>
      </w:r>
      <w:r>
        <w:t>impacted by COVID</w:t>
      </w:r>
      <w:r w:rsidR="0088306C">
        <w:t xml:space="preserve"> and </w:t>
      </w:r>
      <w:r w:rsidR="009C2C4F">
        <w:t xml:space="preserve">it </w:t>
      </w:r>
      <w:r w:rsidR="0088306C">
        <w:t>had been challeng</w:t>
      </w:r>
      <w:r w:rsidR="009C2C4F">
        <w:t>ing</w:t>
      </w:r>
      <w:r w:rsidR="0088306C">
        <w:t xml:space="preserve"> for </w:t>
      </w:r>
      <w:r>
        <w:t xml:space="preserve">Approved Employers </w:t>
      </w:r>
      <w:r w:rsidR="0088306C">
        <w:t xml:space="preserve">to reach </w:t>
      </w:r>
      <w:r>
        <w:t>agree</w:t>
      </w:r>
      <w:r w:rsidR="0088306C">
        <w:t>ment</w:t>
      </w:r>
      <w:r>
        <w:t xml:space="preserve"> </w:t>
      </w:r>
      <w:r w:rsidR="0088306C">
        <w:t xml:space="preserve">on </w:t>
      </w:r>
      <w:r>
        <w:t>cost</w:t>
      </w:r>
      <w:r w:rsidR="0088306C">
        <w:t>s</w:t>
      </w:r>
      <w:r>
        <w:t xml:space="preserve"> and timing of sharing workers. </w:t>
      </w:r>
    </w:p>
    <w:p w14:paraId="506B7BCF" w14:textId="1C8284AC" w:rsidR="003C0DFE" w:rsidRDefault="00527EC7" w:rsidP="003C0DFE">
      <w:r>
        <w:t xml:space="preserve">During </w:t>
      </w:r>
      <w:r w:rsidR="004E7A76">
        <w:t>the pandemic</w:t>
      </w:r>
      <w:r>
        <w:t>, the Australian government, states and territories</w:t>
      </w:r>
      <w:r w:rsidR="004E7A76">
        <w:t>,</w:t>
      </w:r>
      <w:r>
        <w:t xml:space="preserve"> and Approved Employers have worked together and </w:t>
      </w:r>
      <w:r w:rsidR="003C0DFE">
        <w:t xml:space="preserve">demonstrated that it </w:t>
      </w:r>
      <w:r w:rsidR="0088306C">
        <w:t>was</w:t>
      </w:r>
      <w:r w:rsidR="003C0DFE">
        <w:t xml:space="preserve"> possible to move workers between locations and </w:t>
      </w:r>
      <w:r w:rsidR="004E7A76">
        <w:t>e</w:t>
      </w:r>
      <w:r w:rsidR="003C0DFE">
        <w:t xml:space="preserve">mployers efficiently and effectively while </w:t>
      </w:r>
      <w:r w:rsidR="004E7A76">
        <w:t xml:space="preserve">also upholding strong </w:t>
      </w:r>
      <w:r w:rsidR="003C0DFE">
        <w:t>worker welfare</w:t>
      </w:r>
      <w:r w:rsidR="004E7A76">
        <w:t xml:space="preserve"> protections</w:t>
      </w:r>
      <w:r w:rsidR="003C0DFE">
        <w:t xml:space="preserve">. </w:t>
      </w:r>
      <w:r w:rsidR="0088306C">
        <w:t xml:space="preserve">Some </w:t>
      </w:r>
      <w:r w:rsidR="00985B16">
        <w:t xml:space="preserve">stakeholders </w:t>
      </w:r>
      <w:r w:rsidR="0088306C">
        <w:t xml:space="preserve">suggested this experience had better equipped </w:t>
      </w:r>
      <w:r w:rsidR="003C0DFE">
        <w:t xml:space="preserve">Approved Employers </w:t>
      </w:r>
      <w:r w:rsidR="0088306C">
        <w:t xml:space="preserve">to </w:t>
      </w:r>
      <w:r w:rsidR="003C0DFE">
        <w:t xml:space="preserve">work together </w:t>
      </w:r>
      <w:r w:rsidR="0088306C">
        <w:t xml:space="preserve">which may encourage greater interest in worker </w:t>
      </w:r>
      <w:r w:rsidR="003C0DFE">
        <w:t>portability</w:t>
      </w:r>
      <w:r w:rsidR="0088306C">
        <w:t xml:space="preserve"> going forward</w:t>
      </w:r>
      <w:r w:rsidR="003C0DFE">
        <w:t xml:space="preserve">. For example, Tasmanian horticulture employers </w:t>
      </w:r>
      <w:r w:rsidR="0088306C">
        <w:t xml:space="preserve">expressed strong interest in future collaborations that would see them </w:t>
      </w:r>
      <w:r w:rsidR="003C0DFE">
        <w:t>shar</w:t>
      </w:r>
      <w:r w:rsidR="0088306C">
        <w:t>ing</w:t>
      </w:r>
      <w:r w:rsidR="003C0DFE">
        <w:t xml:space="preserve"> workers for complementary seasons. </w:t>
      </w:r>
    </w:p>
    <w:p w14:paraId="4679A26B" w14:textId="73708F27" w:rsidR="003C0DFE" w:rsidRDefault="003C0DFE" w:rsidP="003C0DFE">
      <w:pPr>
        <w:rPr>
          <w:iCs/>
        </w:rPr>
      </w:pPr>
      <w:r>
        <w:rPr>
          <w:iCs/>
        </w:rPr>
        <w:t xml:space="preserve">There were </w:t>
      </w:r>
      <w:proofErr w:type="gramStart"/>
      <w:r>
        <w:rPr>
          <w:iCs/>
        </w:rPr>
        <w:t>a number of</w:t>
      </w:r>
      <w:proofErr w:type="gramEnd"/>
      <w:r>
        <w:rPr>
          <w:iCs/>
        </w:rPr>
        <w:t xml:space="preserve"> </w:t>
      </w:r>
      <w:r w:rsidRPr="004E7A76">
        <w:rPr>
          <w:iCs/>
        </w:rPr>
        <w:t>suggestions</w:t>
      </w:r>
      <w:r>
        <w:rPr>
          <w:iCs/>
        </w:rPr>
        <w:t xml:space="preserve"> </w:t>
      </w:r>
      <w:r w:rsidR="004E7A76">
        <w:rPr>
          <w:iCs/>
        </w:rPr>
        <w:t xml:space="preserve">about </w:t>
      </w:r>
      <w:r>
        <w:rPr>
          <w:iCs/>
        </w:rPr>
        <w:t>how portability could be built into the program</w:t>
      </w:r>
      <w:r w:rsidR="004E7A76">
        <w:rPr>
          <w:iCs/>
        </w:rPr>
        <w:t xml:space="preserve">. These included </w:t>
      </w:r>
      <w:r w:rsidR="009C2C4F">
        <w:rPr>
          <w:b/>
          <w:bCs/>
          <w:iCs/>
        </w:rPr>
        <w:t>allowing workers movement between employers</w:t>
      </w:r>
      <w:r>
        <w:rPr>
          <w:iCs/>
        </w:rPr>
        <w:t xml:space="preserve"> based on </w:t>
      </w:r>
      <w:r w:rsidR="009C2C4F">
        <w:rPr>
          <w:iCs/>
        </w:rPr>
        <w:t xml:space="preserve">current </w:t>
      </w:r>
      <w:r>
        <w:rPr>
          <w:iCs/>
        </w:rPr>
        <w:t>COVID redeployment flexibilities</w:t>
      </w:r>
      <w:r w:rsidR="004E7A76">
        <w:rPr>
          <w:iCs/>
        </w:rPr>
        <w:t>,</w:t>
      </w:r>
      <w:r w:rsidR="009C2C4F">
        <w:rPr>
          <w:iCs/>
        </w:rPr>
        <w:t xml:space="preserve"> allowing</w:t>
      </w:r>
      <w:r w:rsidR="004E7A76">
        <w:rPr>
          <w:iCs/>
        </w:rPr>
        <w:t xml:space="preserve"> </w:t>
      </w:r>
      <w:r w:rsidRPr="0093235F">
        <w:rPr>
          <w:b/>
          <w:bCs/>
          <w:iCs/>
        </w:rPr>
        <w:t>multiple temporary activities sponsors</w:t>
      </w:r>
      <w:r w:rsidR="009C2C4F">
        <w:rPr>
          <w:b/>
          <w:bCs/>
          <w:iCs/>
        </w:rPr>
        <w:t xml:space="preserve"> for a single recruitment</w:t>
      </w:r>
      <w:r w:rsidR="004E7A76">
        <w:rPr>
          <w:iCs/>
        </w:rPr>
        <w:t xml:space="preserve">, or </w:t>
      </w:r>
      <w:r w:rsidR="00527EC7">
        <w:rPr>
          <w:iCs/>
        </w:rPr>
        <w:t>a</w:t>
      </w:r>
      <w:r>
        <w:rPr>
          <w:iCs/>
        </w:rPr>
        <w:t xml:space="preserve"> </w:t>
      </w:r>
      <w:r w:rsidRPr="0093235F">
        <w:rPr>
          <w:b/>
          <w:bCs/>
          <w:iCs/>
        </w:rPr>
        <w:t xml:space="preserve">secondment style </w:t>
      </w:r>
      <w:r w:rsidR="004E7A76">
        <w:rPr>
          <w:b/>
          <w:bCs/>
          <w:iCs/>
        </w:rPr>
        <w:t xml:space="preserve">arrangement that enabled workers to be </w:t>
      </w:r>
      <w:r w:rsidRPr="0093235F">
        <w:rPr>
          <w:b/>
          <w:bCs/>
          <w:iCs/>
        </w:rPr>
        <w:t>shar</w:t>
      </w:r>
      <w:r w:rsidR="004E7A76">
        <w:rPr>
          <w:b/>
          <w:bCs/>
          <w:iCs/>
        </w:rPr>
        <w:t>ed</w:t>
      </w:r>
      <w:r w:rsidR="009C2C4F">
        <w:rPr>
          <w:b/>
          <w:bCs/>
          <w:iCs/>
        </w:rPr>
        <w:t xml:space="preserve"> with others</w:t>
      </w:r>
      <w:r w:rsidR="009C2C4F">
        <w:rPr>
          <w:iCs/>
        </w:rPr>
        <w:t xml:space="preserve"> by an Approved Employer who retains responsibility for the workers under the Deed with the Commonwealth and Temporary Activity Sponsorship of the worker visa</w:t>
      </w:r>
      <w:r>
        <w:rPr>
          <w:iCs/>
        </w:rPr>
        <w:t xml:space="preserve">. </w:t>
      </w:r>
    </w:p>
    <w:p w14:paraId="02532815" w14:textId="77777777" w:rsidR="00064C8C" w:rsidRDefault="00A55566" w:rsidP="003C0DFE">
      <w:r>
        <w:rPr>
          <w:noProof/>
        </w:rPr>
        <mc:AlternateContent>
          <mc:Choice Requires="wps">
            <w:drawing>
              <wp:inline distT="0" distB="0" distL="0" distR="0" wp14:anchorId="3243A95F" wp14:editId="17E42C6B">
                <wp:extent cx="5772150" cy="1076325"/>
                <wp:effectExtent l="0" t="0" r="19050" b="28575"/>
                <wp:docPr id="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076325"/>
                        </a:xfrm>
                        <a:prstGeom prst="roundRect">
                          <a:avLst/>
                        </a:prstGeom>
                        <a:ln>
                          <a:solidFill>
                            <a:srgbClr val="00A278"/>
                          </a:solidFill>
                          <a:headEnd/>
                          <a:tailEnd/>
                        </a:ln>
                      </wps:spPr>
                      <wps:style>
                        <a:lnRef idx="2">
                          <a:schemeClr val="accent4"/>
                        </a:lnRef>
                        <a:fillRef idx="1">
                          <a:schemeClr val="lt1"/>
                        </a:fillRef>
                        <a:effectRef idx="0">
                          <a:schemeClr val="accent4"/>
                        </a:effectRef>
                        <a:fontRef idx="minor">
                          <a:schemeClr val="dk1"/>
                        </a:fontRef>
                      </wps:style>
                      <wps:txbx>
                        <w:txbxContent>
                          <w:p w14:paraId="512925E1" w14:textId="51CFA0BC" w:rsidR="00A55566" w:rsidRDefault="00A55566" w:rsidP="00A55566">
                            <w:pPr>
                              <w:rPr>
                                <w:sz w:val="18"/>
                                <w:szCs w:val="18"/>
                              </w:rPr>
                            </w:pPr>
                            <w:r>
                              <w:rPr>
                                <w:i/>
                                <w:iCs/>
                                <w:sz w:val="18"/>
                                <w:szCs w:val="18"/>
                              </w:rPr>
                              <w:t>‘The policy settings concerning the portability of visas issued to temporary migrant workers should be changed to allow more flexibility for workers…The workers are left in limbo when a labour hire provider cannot provide the workers with appropriate employment…The rigidity of the pre COVID-19 arrangements… should be replaced with a more flexible program…’</w:t>
                            </w:r>
                            <w:r>
                              <w:rPr>
                                <w:sz w:val="18"/>
                                <w:szCs w:val="18"/>
                              </w:rPr>
                              <w:t xml:space="preserve"> </w:t>
                            </w:r>
                          </w:p>
                          <w:p w14:paraId="329EFEE8" w14:textId="77777777" w:rsidR="00A55566" w:rsidRPr="00D441FC" w:rsidRDefault="00A55566" w:rsidP="00A55566">
                            <w:r>
                              <w:rPr>
                                <w:sz w:val="18"/>
                                <w:szCs w:val="18"/>
                              </w:rPr>
                              <w:t>Australian Catholic Religious Against Trafficking of Humans (ACRATH)</w:t>
                            </w:r>
                          </w:p>
                          <w:p w14:paraId="7CFC167D" w14:textId="18A5DFC7" w:rsidR="0088306C" w:rsidRPr="00150DFD" w:rsidRDefault="0088306C" w:rsidP="00A55566">
                            <w:pPr>
                              <w:spacing w:after="40"/>
                              <w:rPr>
                                <w:sz w:val="18"/>
                                <w:szCs w:val="18"/>
                              </w:rPr>
                            </w:pPr>
                          </w:p>
                        </w:txbxContent>
                      </wps:txbx>
                      <wps:bodyPr rot="0" vert="horz" wrap="square" lIns="91440" tIns="45720" rIns="91440" bIns="45720" anchor="t" anchorCtr="0">
                        <a:noAutofit/>
                      </wps:bodyPr>
                    </wps:wsp>
                  </a:graphicData>
                </a:graphic>
              </wp:inline>
            </w:drawing>
          </mc:Choice>
          <mc:Fallback>
            <w:pict>
              <v:roundrect w14:anchorId="3243A95F" id="_x0000_s1030" alt="&quot;&quot;" style="width:454.5pt;height:84.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" fillcolor="white [3201]" strokecolor="#00a278" strokeweight="1pt">
                <v:stroke joinstyle="miter"/>
                <v:textbox>
                  <w:txbxContent>
                    <w:p w14:paraId="512925E1" w14:textId="51CFA0BC" w:rsidR="00A55566" w:rsidRDefault="00A55566" w:rsidP="00A55566">
                      <w:pPr>
                        <w:rPr>
                          <w:sz w:val="18"/>
                          <w:szCs w:val="18"/>
                        </w:rPr>
                      </w:pPr>
                      <w:r>
                        <w:rPr>
                          <w:i/>
                          <w:iCs/>
                          <w:sz w:val="18"/>
                          <w:szCs w:val="18"/>
                        </w:rPr>
                        <w:t>‘The policy settings concerning the portability of visas issued to temporary migrant workers should be changed to allow more flexibility for workers…The workers are left in limbo when a labour hire provider cannot provide the workers with appropriate employment…The rigidity of the pre COVID-19 arrangements… should be replaced with a more flexible program…’</w:t>
                      </w:r>
                      <w:r>
                        <w:rPr>
                          <w:sz w:val="18"/>
                          <w:szCs w:val="18"/>
                        </w:rPr>
                        <w:t xml:space="preserve"> </w:t>
                      </w:r>
                    </w:p>
                    <w:p w14:paraId="329EFEE8" w14:textId="77777777" w:rsidR="00A55566" w:rsidRPr="00D441FC" w:rsidRDefault="00A55566" w:rsidP="00A55566">
                      <w:r>
                        <w:rPr>
                          <w:sz w:val="18"/>
                          <w:szCs w:val="18"/>
                        </w:rPr>
                        <w:t>Australian Catholic Religious Against Trafficking of Humans (ACRATH)</w:t>
                      </w:r>
                    </w:p>
                    <w:p w14:paraId="7CFC167D" w14:textId="18A5DFC7" w:rsidR="0088306C" w:rsidRPr="00150DFD" w:rsidRDefault="0088306C" w:rsidP="00A55566">
                      <w:pPr>
                        <w:spacing w:after="40"/>
                        <w:rPr>
                          <w:sz w:val="18"/>
                          <w:szCs w:val="18"/>
                        </w:rPr>
                      </w:pPr>
                    </w:p>
                  </w:txbxContent>
                </v:textbox>
                <w10:anchorlock/>
              </v:roundrect>
            </w:pict>
          </mc:Fallback>
        </mc:AlternateContent>
      </w:r>
    </w:p>
    <w:p w14:paraId="4358C421" w14:textId="7292BC6A" w:rsidR="003C0DFE" w:rsidRPr="00FA0C40" w:rsidRDefault="003C0DFE" w:rsidP="003C0DFE">
      <w:pPr>
        <w:rPr>
          <w:iCs/>
          <w:highlight w:val="yellow"/>
        </w:rPr>
      </w:pPr>
      <w:proofErr w:type="gramStart"/>
      <w:r>
        <w:t>A number of</w:t>
      </w:r>
      <w:proofErr w:type="gramEnd"/>
      <w:r>
        <w:t xml:space="preserve"> unions and community groups consulted </w:t>
      </w:r>
      <w:r w:rsidR="009C2C4F">
        <w:t>also supported</w:t>
      </w:r>
      <w:r>
        <w:t xml:space="preserve"> increased worker portability</w:t>
      </w:r>
      <w:r w:rsidR="004E7A76">
        <w:t>,</w:t>
      </w:r>
      <w:r>
        <w:t xml:space="preserve"> provided </w:t>
      </w:r>
      <w:r w:rsidRPr="0093235F">
        <w:rPr>
          <w:b/>
          <w:bCs/>
        </w:rPr>
        <w:t>standards, integrity and worker welfare protections were maintained</w:t>
      </w:r>
      <w:r>
        <w:t xml:space="preserve">. Increased worker portability </w:t>
      </w:r>
      <w:r w:rsidR="0088306C">
        <w:t xml:space="preserve">would </w:t>
      </w:r>
      <w:r>
        <w:t xml:space="preserve">ensure workers </w:t>
      </w:r>
      <w:r w:rsidR="0088306C">
        <w:t xml:space="preserve">were </w:t>
      </w:r>
      <w:r>
        <w:t>employed productively and flexibly, supporting employers’ short-term labour needs, while ensuring workers maximise</w:t>
      </w:r>
      <w:r w:rsidR="0088306C">
        <w:t xml:space="preserve">d </w:t>
      </w:r>
      <w:r>
        <w:t>their incomes and minimise</w:t>
      </w:r>
      <w:r w:rsidR="0088306C">
        <w:t>d</w:t>
      </w:r>
      <w:r>
        <w:t xml:space="preserve"> inactivity during </w:t>
      </w:r>
      <w:r w:rsidR="00685253">
        <w:t>quiet periods</w:t>
      </w:r>
      <w:r>
        <w:t xml:space="preserve">. </w:t>
      </w:r>
      <w:r w:rsidRPr="00FA0C40">
        <w:t xml:space="preserve">Community stakeholders noted that </w:t>
      </w:r>
      <w:r w:rsidR="00FA0C40" w:rsidRPr="00FA0C40">
        <w:t xml:space="preserve">greater </w:t>
      </w:r>
      <w:r w:rsidRPr="00FA0C40">
        <w:rPr>
          <w:iCs/>
        </w:rPr>
        <w:t xml:space="preserve">flexibility </w:t>
      </w:r>
      <w:r w:rsidR="00FA0C40" w:rsidRPr="00FA0C40">
        <w:rPr>
          <w:iCs/>
        </w:rPr>
        <w:t>for workers</w:t>
      </w:r>
      <w:r w:rsidRPr="00FA0C40">
        <w:rPr>
          <w:iCs/>
        </w:rPr>
        <w:t xml:space="preserve"> </w:t>
      </w:r>
      <w:r w:rsidR="0088306C">
        <w:rPr>
          <w:iCs/>
        </w:rPr>
        <w:t xml:space="preserve">with reduced hours </w:t>
      </w:r>
      <w:r w:rsidR="00FA0C40" w:rsidRPr="00FA0C40">
        <w:rPr>
          <w:iCs/>
        </w:rPr>
        <w:t xml:space="preserve">to move between employers may </w:t>
      </w:r>
      <w:r w:rsidR="0088306C">
        <w:rPr>
          <w:iCs/>
        </w:rPr>
        <w:t xml:space="preserve">avert problems with workers </w:t>
      </w:r>
      <w:r w:rsidR="00FA0C40" w:rsidRPr="00FA0C40">
        <w:rPr>
          <w:iCs/>
        </w:rPr>
        <w:t xml:space="preserve">being lured out of the programs by unapproved employers </w:t>
      </w:r>
      <w:r w:rsidR="0088306C">
        <w:rPr>
          <w:iCs/>
        </w:rPr>
        <w:t xml:space="preserve">on the promise of higher incomes. Portability would enable workers to </w:t>
      </w:r>
      <w:r w:rsidR="00FA0C40" w:rsidRPr="00FA0C40">
        <w:rPr>
          <w:iCs/>
        </w:rPr>
        <w:t xml:space="preserve">maximise their incomes and minimise inactivity. </w:t>
      </w:r>
    </w:p>
    <w:p w14:paraId="3F68F6FC" w14:textId="3CA20E39" w:rsidR="003C0DFE" w:rsidRPr="00B76CA9" w:rsidRDefault="003C0DFE" w:rsidP="003C0DFE">
      <w:pPr>
        <w:rPr>
          <w:iCs/>
        </w:rPr>
      </w:pPr>
      <w:r>
        <w:rPr>
          <w:iCs/>
        </w:rPr>
        <w:t xml:space="preserve">Many stakeholders </w:t>
      </w:r>
      <w:r w:rsidR="0088306C">
        <w:rPr>
          <w:iCs/>
        </w:rPr>
        <w:t xml:space="preserve">emphasised </w:t>
      </w:r>
      <w:r>
        <w:rPr>
          <w:iCs/>
        </w:rPr>
        <w:t xml:space="preserve">that </w:t>
      </w:r>
      <w:r w:rsidRPr="0093235F">
        <w:rPr>
          <w:b/>
          <w:bCs/>
          <w:iCs/>
        </w:rPr>
        <w:t xml:space="preserve">transparency and accountability in worker movement </w:t>
      </w:r>
      <w:r w:rsidR="0088306C">
        <w:rPr>
          <w:b/>
          <w:bCs/>
          <w:iCs/>
        </w:rPr>
        <w:t>would be</w:t>
      </w:r>
      <w:r w:rsidRPr="0093235F">
        <w:rPr>
          <w:b/>
          <w:bCs/>
          <w:iCs/>
        </w:rPr>
        <w:t xml:space="preserve"> </w:t>
      </w:r>
      <w:r w:rsidR="0088306C">
        <w:rPr>
          <w:b/>
          <w:bCs/>
          <w:iCs/>
        </w:rPr>
        <w:t>essential</w:t>
      </w:r>
      <w:r>
        <w:rPr>
          <w:iCs/>
        </w:rPr>
        <w:t xml:space="preserve">. </w:t>
      </w:r>
    </w:p>
    <w:p w14:paraId="4A83B1B9" w14:textId="2606E00B" w:rsidR="003C0DFE" w:rsidRPr="008C76DF" w:rsidRDefault="0074063F" w:rsidP="008C76DF">
      <w:pPr>
        <w:pStyle w:val="Heading3"/>
        <w:rPr>
          <w:b/>
          <w:bCs w:val="0"/>
          <w:i w:val="0"/>
          <w:iCs w:val="0"/>
          <w:color w:val="auto"/>
          <w:u w:val="single"/>
        </w:rPr>
      </w:pPr>
      <w:r w:rsidRPr="008C76DF">
        <w:rPr>
          <w:b/>
          <w:bCs w:val="0"/>
          <w:i w:val="0"/>
          <w:iCs w:val="0"/>
          <w:color w:val="auto"/>
          <w:u w:val="single"/>
        </w:rPr>
        <w:t>Visa</w:t>
      </w:r>
      <w:r w:rsidR="003C0DFE" w:rsidRPr="008C76DF">
        <w:rPr>
          <w:b/>
          <w:bCs w:val="0"/>
          <w:i w:val="0"/>
          <w:iCs w:val="0"/>
          <w:color w:val="auto"/>
          <w:u w:val="single"/>
        </w:rPr>
        <w:t xml:space="preserve"> settings</w:t>
      </w:r>
    </w:p>
    <w:p w14:paraId="32CC23C7" w14:textId="48B31DB3" w:rsidR="0031465F" w:rsidRPr="0031465F" w:rsidRDefault="0031465F" w:rsidP="0074063F">
      <w:pPr>
        <w:rPr>
          <w:i/>
          <w:iCs/>
        </w:rPr>
      </w:pPr>
      <w:r>
        <w:rPr>
          <w:i/>
          <w:iCs/>
        </w:rPr>
        <w:t>Visa length</w:t>
      </w:r>
    </w:p>
    <w:p w14:paraId="0AB294A3" w14:textId="3D9693EA" w:rsidR="0074063F" w:rsidRDefault="0074063F" w:rsidP="0074063F">
      <w:r>
        <w:t xml:space="preserve">During the consultation, agriculture stakeholders, particularly horticulture, noted the </w:t>
      </w:r>
      <w:r w:rsidRPr="0093235F">
        <w:rPr>
          <w:b/>
          <w:bCs/>
        </w:rPr>
        <w:t>value of maintaining two visa streams—short-term (9 months) and longer-term visa (1-</w:t>
      </w:r>
      <w:r w:rsidR="008C2644">
        <w:rPr>
          <w:b/>
          <w:bCs/>
        </w:rPr>
        <w:t>3</w:t>
      </w:r>
      <w:r w:rsidRPr="0093235F">
        <w:rPr>
          <w:b/>
          <w:bCs/>
        </w:rPr>
        <w:t xml:space="preserve"> years)</w:t>
      </w:r>
      <w:r>
        <w:t xml:space="preserve">—with </w:t>
      </w:r>
      <w:r w:rsidR="006F0CE3">
        <w:t xml:space="preserve">continuation of a </w:t>
      </w:r>
      <w:r>
        <w:t xml:space="preserve">multi-year visa </w:t>
      </w:r>
      <w:r w:rsidR="006F0CE3">
        <w:t xml:space="preserve">(up to 3 years) </w:t>
      </w:r>
      <w:r>
        <w:t xml:space="preserve">for </w:t>
      </w:r>
      <w:r w:rsidR="0088306C">
        <w:t>seasonal work</w:t>
      </w:r>
      <w:r>
        <w:t>. Th</w:t>
      </w:r>
      <w:r w:rsidR="0088306C">
        <w:t>is seasonal</w:t>
      </w:r>
      <w:r>
        <w:t xml:space="preserve"> visa would allow shorter, intens</w:t>
      </w:r>
      <w:r w:rsidR="00E57D11">
        <w:t>e</w:t>
      </w:r>
      <w:r>
        <w:t xml:space="preserve"> workforce needs to be met, while </w:t>
      </w:r>
      <w:r w:rsidR="009C2C4F">
        <w:t>supporting</w:t>
      </w:r>
      <w:r>
        <w:t xml:space="preserve"> worker </w:t>
      </w:r>
      <w:r w:rsidR="009C2C4F">
        <w:t>welfare</w:t>
      </w:r>
      <w:r w:rsidR="00E57D11">
        <w:t xml:space="preserve"> </w:t>
      </w:r>
      <w:r>
        <w:t>and limiting worker fatigue.</w:t>
      </w:r>
    </w:p>
    <w:p w14:paraId="13073687" w14:textId="77777777" w:rsidR="00064C8C" w:rsidRDefault="008F6D65" w:rsidP="0074063F">
      <w:r>
        <w:rPr>
          <w:noProof/>
        </w:rPr>
        <mc:AlternateContent>
          <mc:Choice Requires="wps">
            <w:drawing>
              <wp:inline distT="0" distB="0" distL="0" distR="0" wp14:anchorId="30EB10C8" wp14:editId="2788C310">
                <wp:extent cx="5695950" cy="466725"/>
                <wp:effectExtent l="0" t="0" r="19050" b="28575"/>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466725"/>
                        </a:xfrm>
                        <a:prstGeom prst="roundRect">
                          <a:avLst/>
                        </a:prstGeom>
                        <a:ln>
                          <a:solidFill>
                            <a:srgbClr val="002060"/>
                          </a:solidFill>
                          <a:headEnd/>
                          <a:tailEnd/>
                        </a:ln>
                      </wps:spPr>
                      <wps:style>
                        <a:lnRef idx="2">
                          <a:schemeClr val="accent6"/>
                        </a:lnRef>
                        <a:fillRef idx="1">
                          <a:schemeClr val="lt1"/>
                        </a:fillRef>
                        <a:effectRef idx="0">
                          <a:schemeClr val="accent6"/>
                        </a:effectRef>
                        <a:fontRef idx="minor">
                          <a:schemeClr val="dk1"/>
                        </a:fontRef>
                      </wps:style>
                      <wps:txbx>
                        <w:txbxContent>
                          <w:p w14:paraId="75686980" w14:textId="6ECCB84C" w:rsidR="0088306C" w:rsidRPr="00F23A35" w:rsidRDefault="0088306C" w:rsidP="007B23A5">
                            <w:pPr>
                              <w:spacing w:after="40"/>
                              <w:rPr>
                                <w:sz w:val="18"/>
                                <w:szCs w:val="18"/>
                              </w:rPr>
                            </w:pPr>
                            <w:r w:rsidRPr="008F6D65">
                              <w:rPr>
                                <w:i/>
                                <w:iCs/>
                                <w:sz w:val="18"/>
                                <w:szCs w:val="18"/>
                              </w:rPr>
                              <w:t>‘Visa length of 4 years rather than 3 so the workers can develop skills over the period and transition to a skilled visa following the required time</w:t>
                            </w:r>
                            <w:r w:rsidRPr="008F6D65">
                              <w:rPr>
                                <w:sz w:val="18"/>
                                <w:szCs w:val="18"/>
                              </w:rPr>
                              <w:t>.’</w:t>
                            </w:r>
                            <w:r w:rsidR="00064C8C">
                              <w:rPr>
                                <w:sz w:val="18"/>
                                <w:szCs w:val="18"/>
                              </w:rPr>
                              <w:t xml:space="preserve"> -</w:t>
                            </w:r>
                            <w:r w:rsidRPr="008F6D65">
                              <w:rPr>
                                <w:sz w:val="18"/>
                                <w:szCs w:val="18"/>
                              </w:rPr>
                              <w:t>FIP Group</w:t>
                            </w:r>
                          </w:p>
                        </w:txbxContent>
                      </wps:txbx>
                      <wps:bodyPr rot="0" vert="horz" wrap="square" lIns="91440" tIns="45720" rIns="91440" bIns="45720" anchor="t" anchorCtr="0">
                        <a:noAutofit/>
                      </wps:bodyPr>
                    </wps:wsp>
                  </a:graphicData>
                </a:graphic>
              </wp:inline>
            </w:drawing>
          </mc:Choice>
          <mc:Fallback>
            <w:pict>
              <v:roundrect w14:anchorId="30EB10C8" id="_x0000_s1031" alt="&quot;&quot;" style="width:448.5pt;height:36.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" fillcolor="white [3201]" strokecolor="#002060" strokeweight="1pt">
                <v:stroke joinstyle="miter"/>
                <v:textbox>
                  <w:txbxContent>
                    <w:p w14:paraId="75686980" w14:textId="6ECCB84C" w:rsidR="0088306C" w:rsidRPr="00F23A35" w:rsidRDefault="0088306C" w:rsidP="007B23A5">
                      <w:pPr>
                        <w:spacing w:after="40"/>
                        <w:rPr>
                          <w:sz w:val="18"/>
                          <w:szCs w:val="18"/>
                        </w:rPr>
                      </w:pPr>
                      <w:r w:rsidRPr="008F6D65">
                        <w:rPr>
                          <w:i/>
                          <w:iCs/>
                          <w:sz w:val="18"/>
                          <w:szCs w:val="18"/>
                        </w:rPr>
                        <w:t>‘Visa length of 4 years rather than 3 so the workers can develop skills over the period and transition to a skilled visa following the required time</w:t>
                      </w:r>
                      <w:r w:rsidRPr="008F6D65">
                        <w:rPr>
                          <w:sz w:val="18"/>
                          <w:szCs w:val="18"/>
                        </w:rPr>
                        <w:t>.’</w:t>
                      </w:r>
                      <w:r w:rsidR="00064C8C">
                        <w:rPr>
                          <w:sz w:val="18"/>
                          <w:szCs w:val="18"/>
                        </w:rPr>
                        <w:t xml:space="preserve"> -</w:t>
                      </w:r>
                      <w:r w:rsidRPr="008F6D65">
                        <w:rPr>
                          <w:sz w:val="18"/>
                          <w:szCs w:val="18"/>
                        </w:rPr>
                        <w:t>FIP Group</w:t>
                      </w:r>
                    </w:p>
                  </w:txbxContent>
                </v:textbox>
                <w10:anchorlock/>
              </v:roundrect>
            </w:pict>
          </mc:Fallback>
        </mc:AlternateContent>
      </w:r>
    </w:p>
    <w:p w14:paraId="4FB75C7E" w14:textId="25FA6BD3" w:rsidR="0031465F" w:rsidRDefault="0074063F" w:rsidP="0074063F">
      <w:r>
        <w:t xml:space="preserve">While the horticulture sector </w:t>
      </w:r>
      <w:r w:rsidR="00E57D11">
        <w:t xml:space="preserve">was largely satisfied with the </w:t>
      </w:r>
      <w:r>
        <w:t xml:space="preserve">current SWP visa length, there </w:t>
      </w:r>
      <w:r w:rsidR="00E57D11">
        <w:t xml:space="preserve">was </w:t>
      </w:r>
      <w:r>
        <w:t xml:space="preserve">a </w:t>
      </w:r>
      <w:r w:rsidR="00E57D11">
        <w:t xml:space="preserve">strong interest </w:t>
      </w:r>
      <w:r>
        <w:t xml:space="preserve">from some sectors, particularly meat processing and dairy, </w:t>
      </w:r>
      <w:proofErr w:type="gramStart"/>
      <w:r>
        <w:t>workers</w:t>
      </w:r>
      <w:proofErr w:type="gramEnd"/>
      <w:r>
        <w:t xml:space="preserve"> and community groups, for the </w:t>
      </w:r>
      <w:r w:rsidRPr="00B75DB8">
        <w:rPr>
          <w:b/>
          <w:bCs/>
        </w:rPr>
        <w:t>PLS visa to be extended to at least 4 years</w:t>
      </w:r>
      <w:r w:rsidR="00E57D11">
        <w:t xml:space="preserve">. Alternatively, these stakeholders suggested workers be permitted to </w:t>
      </w:r>
      <w:r>
        <w:t xml:space="preserve">apply for a further 3-year visa onshore. This would </w:t>
      </w:r>
      <w:r w:rsidRPr="00B75DB8">
        <w:rPr>
          <w:b/>
          <w:bCs/>
        </w:rPr>
        <w:t>enable workers</w:t>
      </w:r>
      <w:r>
        <w:t xml:space="preserve"> to </w:t>
      </w:r>
      <w:r w:rsidRPr="00B75DB8">
        <w:rPr>
          <w:b/>
          <w:bCs/>
        </w:rPr>
        <w:t>develop skills and undertake formal skills qualifications</w:t>
      </w:r>
      <w:r>
        <w:t xml:space="preserve">, such as </w:t>
      </w:r>
      <w:r w:rsidR="00E57D11">
        <w:t xml:space="preserve">a </w:t>
      </w:r>
      <w:r>
        <w:t xml:space="preserve">Certificate III in meat processing. </w:t>
      </w:r>
      <w:r w:rsidR="00E57D11">
        <w:t>It was noted that this would benefit both the employer and the worker.</w:t>
      </w:r>
    </w:p>
    <w:p w14:paraId="63016745" w14:textId="54B5445C" w:rsidR="0031465F" w:rsidRDefault="0031465F" w:rsidP="0031465F">
      <w:r w:rsidRPr="00176EA8">
        <w:t xml:space="preserve">Community groups highlighted the need to </w:t>
      </w:r>
      <w:r>
        <w:t>consider</w:t>
      </w:r>
      <w:r w:rsidRPr="00176EA8">
        <w:t xml:space="preserve"> worker welfare </w:t>
      </w:r>
      <w:r>
        <w:t>in</w:t>
      </w:r>
      <w:r w:rsidRPr="00176EA8">
        <w:t xml:space="preserve"> </w:t>
      </w:r>
      <w:r>
        <w:t>relation to visa</w:t>
      </w:r>
      <w:r w:rsidRPr="00176EA8">
        <w:t xml:space="preserve"> length, </w:t>
      </w:r>
      <w:r>
        <w:t>and the impact on families and community dynamics</w:t>
      </w:r>
      <w:r w:rsidR="009C2C4F">
        <w:t>,</w:t>
      </w:r>
      <w:r>
        <w:t xml:space="preserve"> noting</w:t>
      </w:r>
      <w:r w:rsidRPr="00176EA8">
        <w:t xml:space="preserve"> some workers </w:t>
      </w:r>
      <w:r>
        <w:t>may</w:t>
      </w:r>
      <w:r w:rsidRPr="00176EA8">
        <w:t xml:space="preserve"> experience negative social consequences with longer visa lengths.</w:t>
      </w:r>
    </w:p>
    <w:p w14:paraId="46F430D3" w14:textId="119C5ECD" w:rsidR="0031465F" w:rsidRPr="0031465F" w:rsidRDefault="0031465F" w:rsidP="0074063F">
      <w:pPr>
        <w:rPr>
          <w:i/>
          <w:iCs/>
        </w:rPr>
      </w:pPr>
      <w:r>
        <w:rPr>
          <w:i/>
          <w:iCs/>
        </w:rPr>
        <w:t>Pathways to other visas</w:t>
      </w:r>
    </w:p>
    <w:p w14:paraId="7FFCEB21" w14:textId="063AF7B8" w:rsidR="0074063F" w:rsidRPr="00527EC7" w:rsidRDefault="0074063F" w:rsidP="0074063F">
      <w:r>
        <w:t xml:space="preserve">The horticulture sector, and some regional councils and Pacific community groups, </w:t>
      </w:r>
      <w:r w:rsidR="00E57D11">
        <w:t xml:space="preserve">also suggested </w:t>
      </w:r>
      <w:r w:rsidR="00E57D11" w:rsidRPr="00E57D11">
        <w:rPr>
          <w:b/>
          <w:bCs/>
        </w:rPr>
        <w:t>high value</w:t>
      </w:r>
      <w:r w:rsidR="00E57D11">
        <w:t xml:space="preserve"> </w:t>
      </w:r>
      <w:r w:rsidRPr="00B75DB8">
        <w:rPr>
          <w:b/>
          <w:bCs/>
        </w:rPr>
        <w:t xml:space="preserve">SWP workers </w:t>
      </w:r>
      <w:r w:rsidR="00E57D11">
        <w:rPr>
          <w:b/>
          <w:bCs/>
        </w:rPr>
        <w:t xml:space="preserve">should be able </w:t>
      </w:r>
      <w:r w:rsidRPr="00B75DB8">
        <w:rPr>
          <w:b/>
          <w:bCs/>
        </w:rPr>
        <w:t>to</w:t>
      </w:r>
      <w:r>
        <w:rPr>
          <w:b/>
          <w:bCs/>
        </w:rPr>
        <w:t xml:space="preserve"> ‘graduate’ to</w:t>
      </w:r>
      <w:r w:rsidRPr="00B75DB8">
        <w:rPr>
          <w:b/>
          <w:bCs/>
        </w:rPr>
        <w:t xml:space="preserve"> a longer</w:t>
      </w:r>
      <w:r w:rsidR="00E57D11">
        <w:rPr>
          <w:b/>
          <w:bCs/>
        </w:rPr>
        <w:t>-</w:t>
      </w:r>
      <w:r w:rsidRPr="00B75DB8">
        <w:rPr>
          <w:b/>
          <w:bCs/>
        </w:rPr>
        <w:t>term visa</w:t>
      </w:r>
      <w:r>
        <w:rPr>
          <w:b/>
          <w:bCs/>
        </w:rPr>
        <w:t xml:space="preserve"> </w:t>
      </w:r>
      <w:r w:rsidR="00527EC7">
        <w:t xml:space="preserve">to take </w:t>
      </w:r>
      <w:r w:rsidR="00E57D11">
        <w:t xml:space="preserve">up </w:t>
      </w:r>
      <w:r w:rsidR="00527EC7">
        <w:t xml:space="preserve">less seasonal, </w:t>
      </w:r>
      <w:proofErr w:type="gramStart"/>
      <w:r w:rsidR="00527EC7">
        <w:t>low</w:t>
      </w:r>
      <w:proofErr w:type="gramEnd"/>
      <w:r w:rsidR="00527EC7">
        <w:t xml:space="preserve"> and semi-skilled positions. This would enable employers to retain high performing workers and provide pathways for SWP workers to upskill and progress</w:t>
      </w:r>
      <w:r w:rsidR="00E57D11">
        <w:t>, without the need to return home and reapply</w:t>
      </w:r>
      <w:r w:rsidR="00527EC7">
        <w:t>.</w:t>
      </w:r>
      <w:r w:rsidR="00E57D11">
        <w:t xml:space="preserve"> </w:t>
      </w:r>
    </w:p>
    <w:p w14:paraId="0A933746" w14:textId="1136D2E3" w:rsidR="00003890" w:rsidRPr="00003890" w:rsidRDefault="0074063F" w:rsidP="0074063F">
      <w:r>
        <w:t>The meat processing</w:t>
      </w:r>
      <w:r w:rsidR="00527EC7">
        <w:t>, aged care</w:t>
      </w:r>
      <w:r>
        <w:t xml:space="preserve"> and dairy sectors, and </w:t>
      </w:r>
      <w:r w:rsidR="00527EC7">
        <w:t xml:space="preserve">some </w:t>
      </w:r>
      <w:r>
        <w:t>workers</w:t>
      </w:r>
      <w:r w:rsidR="00527EC7">
        <w:t xml:space="preserve"> themselves</w:t>
      </w:r>
      <w:r>
        <w:t xml:space="preserve">, </w:t>
      </w:r>
      <w:r w:rsidR="00E57D11">
        <w:t xml:space="preserve">were </w:t>
      </w:r>
      <w:r>
        <w:t xml:space="preserve">also seeking an </w:t>
      </w:r>
      <w:r w:rsidRPr="00B75DB8">
        <w:rPr>
          <w:b/>
          <w:bCs/>
        </w:rPr>
        <w:t>onshore pathway to other visa streams</w:t>
      </w:r>
      <w:r>
        <w:t>, such as the Temporary Skills Shortage</w:t>
      </w:r>
      <w:r w:rsidR="00527EC7">
        <w:t xml:space="preserve"> visa</w:t>
      </w:r>
      <w:r>
        <w:t xml:space="preserve">, for workers who have or obtain a </w:t>
      </w:r>
      <w:proofErr w:type="gramStart"/>
      <w:r>
        <w:t>formal skills qualifications</w:t>
      </w:r>
      <w:proofErr w:type="gramEnd"/>
      <w:r>
        <w:t xml:space="preserve">. </w:t>
      </w:r>
      <w:r w:rsidR="00003890">
        <w:t xml:space="preserve">This may also provide future </w:t>
      </w:r>
      <w:r w:rsidR="00003890">
        <w:rPr>
          <w:b/>
          <w:bCs/>
        </w:rPr>
        <w:t>pathways to permanent residency</w:t>
      </w:r>
      <w:r w:rsidR="00003890">
        <w:t xml:space="preserve"> for Pacific </w:t>
      </w:r>
      <w:r w:rsidR="00786164">
        <w:t xml:space="preserve">and Timorese </w:t>
      </w:r>
      <w:r w:rsidR="00003890">
        <w:t xml:space="preserve">workers, </w:t>
      </w:r>
      <w:r w:rsidR="00E57D11">
        <w:t xml:space="preserve">which is of great interest to the </w:t>
      </w:r>
      <w:r w:rsidR="00003890">
        <w:t xml:space="preserve">meat processing, aged </w:t>
      </w:r>
      <w:proofErr w:type="gramStart"/>
      <w:r w:rsidR="00003890">
        <w:t>care</w:t>
      </w:r>
      <w:proofErr w:type="gramEnd"/>
      <w:r w:rsidR="00003890">
        <w:t xml:space="preserve"> and dairy sectors</w:t>
      </w:r>
      <w:r w:rsidR="00E57D11">
        <w:t xml:space="preserve">, as well as </w:t>
      </w:r>
      <w:r w:rsidR="00003890">
        <w:t xml:space="preserve">workers </w:t>
      </w:r>
      <w:r w:rsidR="00E57D11">
        <w:t xml:space="preserve">and </w:t>
      </w:r>
      <w:r w:rsidR="00003890">
        <w:t xml:space="preserve">Pacific community groups. </w:t>
      </w:r>
    </w:p>
    <w:p w14:paraId="21B5C1FC" w14:textId="77777777" w:rsidR="00064C8C" w:rsidRDefault="002D29FC" w:rsidP="0074063F">
      <w:pPr>
        <w:rPr>
          <w:i/>
        </w:rPr>
      </w:pPr>
      <w:r>
        <w:rPr>
          <w:noProof/>
        </w:rPr>
        <mc:AlternateContent>
          <mc:Choice Requires="wps">
            <w:drawing>
              <wp:inline distT="0" distB="0" distL="0" distR="0" wp14:anchorId="272BF0E4" wp14:editId="44B00D83">
                <wp:extent cx="5715000" cy="771525"/>
                <wp:effectExtent l="0" t="0" r="19050" b="28575"/>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71525"/>
                        </a:xfrm>
                        <a:prstGeom prst="roundRect">
                          <a:avLst/>
                        </a:prstGeom>
                        <a:solidFill>
                          <a:srgbClr val="FFFFFF"/>
                        </a:solidFill>
                        <a:ln w="3175">
                          <a:solidFill>
                            <a:srgbClr val="00A278"/>
                          </a:solidFill>
                          <a:miter lim="800000"/>
                          <a:headEnd/>
                          <a:tailEnd/>
                        </a:ln>
                      </wps:spPr>
                      <wps:txbx>
                        <w:txbxContent>
                          <w:p w14:paraId="2B1AE54C" w14:textId="56145710" w:rsidR="002D29FC" w:rsidRPr="00D441FC" w:rsidRDefault="002D29FC" w:rsidP="002D29FC">
                            <w:r>
                              <w:rPr>
                                <w:i/>
                                <w:iCs/>
                                <w:sz w:val="18"/>
                                <w:szCs w:val="18"/>
                              </w:rPr>
                              <w:t>‘ACRATH strongly recommends that the families of workers be allowed to travel to Australia for the duration of their employment. This is particularly relevant for workers who travel to Australia for one-to-three-year periods. This would help alleviate mental health issues and promote better outcomes for workers and businesses.’</w:t>
                            </w:r>
                            <w:r>
                              <w:rPr>
                                <w:sz w:val="18"/>
                                <w:szCs w:val="18"/>
                              </w:rPr>
                              <w:t xml:space="preserve"> </w:t>
                            </w:r>
                            <w:r w:rsidR="00064C8C">
                              <w:rPr>
                                <w:sz w:val="18"/>
                                <w:szCs w:val="18"/>
                              </w:rPr>
                              <w:t>-</w:t>
                            </w:r>
                            <w:r>
                              <w:rPr>
                                <w:sz w:val="18"/>
                                <w:szCs w:val="18"/>
                              </w:rPr>
                              <w:t>Australian Catholic Religious Against Trafficking of Humans (ACRATH)</w:t>
                            </w:r>
                          </w:p>
                        </w:txbxContent>
                      </wps:txbx>
                      <wps:bodyPr rot="0" vert="horz" wrap="square" lIns="91440" tIns="45720" rIns="91440" bIns="45720" anchor="t" anchorCtr="0">
                        <a:noAutofit/>
                      </wps:bodyPr>
                    </wps:wsp>
                  </a:graphicData>
                </a:graphic>
              </wp:inline>
            </w:drawing>
          </mc:Choice>
          <mc:Fallback>
            <w:pict>
              <v:roundrect w14:anchorId="272BF0E4" id="_x0000_s1032" alt="&quot;&quot;" style="width:450pt;height:60.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" strokecolor="#00a278" strokeweight=".25pt">
                <v:stroke joinstyle="miter"/>
                <v:textbox>
                  <w:txbxContent>
                    <w:p w14:paraId="2B1AE54C" w14:textId="56145710" w:rsidR="002D29FC" w:rsidRPr="00D441FC" w:rsidRDefault="002D29FC" w:rsidP="002D29FC">
                      <w:r>
                        <w:rPr>
                          <w:i/>
                          <w:iCs/>
                          <w:sz w:val="18"/>
                          <w:szCs w:val="18"/>
                        </w:rPr>
                        <w:t>‘ACRATH strongly recommends that the families of workers be allowed to travel to Australia for the duration of their employment. This is particularly relevant for workers who travel to Australia for one-to-three-year periods. This would help alleviate mental health issues and promote better outcomes for workers and businesses.’</w:t>
                      </w:r>
                      <w:r>
                        <w:rPr>
                          <w:sz w:val="18"/>
                          <w:szCs w:val="18"/>
                        </w:rPr>
                        <w:t xml:space="preserve"> </w:t>
                      </w:r>
                      <w:r w:rsidR="00064C8C">
                        <w:rPr>
                          <w:sz w:val="18"/>
                          <w:szCs w:val="18"/>
                        </w:rPr>
                        <w:t>-</w:t>
                      </w:r>
                      <w:r>
                        <w:rPr>
                          <w:sz w:val="18"/>
                          <w:szCs w:val="18"/>
                        </w:rPr>
                        <w:t>Australian Catholic Religious Against Trafficking of Humans (ACRATH)</w:t>
                      </w:r>
                    </w:p>
                  </w:txbxContent>
                </v:textbox>
                <w10:anchorlock/>
              </v:roundrect>
            </w:pict>
          </mc:Fallback>
        </mc:AlternateContent>
      </w:r>
    </w:p>
    <w:p w14:paraId="0E395237" w14:textId="229AA4EC" w:rsidR="0031465F" w:rsidRPr="0031465F" w:rsidRDefault="0031465F" w:rsidP="0074063F">
      <w:pPr>
        <w:rPr>
          <w:i/>
        </w:rPr>
      </w:pPr>
      <w:r>
        <w:rPr>
          <w:i/>
        </w:rPr>
        <w:t>Family separation</w:t>
      </w:r>
    </w:p>
    <w:p w14:paraId="1E7693F0" w14:textId="2ADA4B85" w:rsidR="0074063F" w:rsidRDefault="0074063F" w:rsidP="0074063F">
      <w:pPr>
        <w:rPr>
          <w:iCs/>
        </w:rPr>
      </w:pPr>
      <w:r>
        <w:rPr>
          <w:iCs/>
        </w:rPr>
        <w:t xml:space="preserve">Various stakeholders, particularly Pacific community groups and workers, raised the </w:t>
      </w:r>
      <w:r w:rsidRPr="00B75DB8">
        <w:rPr>
          <w:b/>
          <w:bCs/>
          <w:iCs/>
        </w:rPr>
        <w:t>issue of family separation</w:t>
      </w:r>
      <w:r>
        <w:rPr>
          <w:iCs/>
        </w:rPr>
        <w:t xml:space="preserve">, and </w:t>
      </w:r>
      <w:r w:rsidR="00E57D11">
        <w:rPr>
          <w:iCs/>
        </w:rPr>
        <w:t xml:space="preserve">advocated </w:t>
      </w:r>
      <w:r>
        <w:rPr>
          <w:iCs/>
        </w:rPr>
        <w:t xml:space="preserve">for </w:t>
      </w:r>
      <w:r w:rsidR="00E57D11">
        <w:rPr>
          <w:iCs/>
        </w:rPr>
        <w:t xml:space="preserve">the government to </w:t>
      </w:r>
      <w:r w:rsidRPr="00B75DB8">
        <w:rPr>
          <w:b/>
          <w:bCs/>
          <w:iCs/>
        </w:rPr>
        <w:t xml:space="preserve">consider </w:t>
      </w:r>
      <w:r w:rsidR="00E57D11">
        <w:rPr>
          <w:b/>
          <w:bCs/>
          <w:iCs/>
        </w:rPr>
        <w:t xml:space="preserve">allowing </w:t>
      </w:r>
      <w:r w:rsidRPr="00B75DB8">
        <w:rPr>
          <w:b/>
          <w:bCs/>
          <w:iCs/>
        </w:rPr>
        <w:t>family members</w:t>
      </w:r>
      <w:r>
        <w:rPr>
          <w:iCs/>
        </w:rPr>
        <w:t xml:space="preserve">, specifically dependents, to </w:t>
      </w:r>
      <w:r w:rsidRPr="00B75DB8">
        <w:rPr>
          <w:b/>
          <w:bCs/>
          <w:iCs/>
        </w:rPr>
        <w:t>accompany workers</w:t>
      </w:r>
      <w:r>
        <w:rPr>
          <w:iCs/>
        </w:rPr>
        <w:t xml:space="preserve"> for part </w:t>
      </w:r>
      <w:r w:rsidR="00E57D11">
        <w:rPr>
          <w:iCs/>
        </w:rPr>
        <w:t xml:space="preserve">of </w:t>
      </w:r>
      <w:r>
        <w:rPr>
          <w:iCs/>
        </w:rPr>
        <w:t>or the duration of their employment. For some workers, being away from their family and community cause</w:t>
      </w:r>
      <w:r w:rsidR="00E57D11">
        <w:rPr>
          <w:iCs/>
        </w:rPr>
        <w:t>s</w:t>
      </w:r>
      <w:r>
        <w:rPr>
          <w:iCs/>
        </w:rPr>
        <w:t xml:space="preserve"> social dislocation and negatively impact</w:t>
      </w:r>
      <w:r w:rsidR="00E57D11">
        <w:rPr>
          <w:iCs/>
        </w:rPr>
        <w:t>s</w:t>
      </w:r>
      <w:r>
        <w:rPr>
          <w:iCs/>
        </w:rPr>
        <w:t xml:space="preserve"> workers’ wellbeing</w:t>
      </w:r>
      <w:r w:rsidR="00E57D11">
        <w:rPr>
          <w:iCs/>
        </w:rPr>
        <w:t xml:space="preserve"> and</w:t>
      </w:r>
      <w:r>
        <w:rPr>
          <w:iCs/>
        </w:rPr>
        <w:t xml:space="preserve"> mental health.</w:t>
      </w:r>
    </w:p>
    <w:p w14:paraId="7F625E67" w14:textId="77777777" w:rsidR="0031465F" w:rsidRPr="008C76DF" w:rsidRDefault="0031465F" w:rsidP="008C76DF">
      <w:pPr>
        <w:pStyle w:val="Heading3"/>
        <w:rPr>
          <w:b/>
          <w:bCs w:val="0"/>
          <w:i w:val="0"/>
          <w:iCs w:val="0"/>
          <w:color w:val="auto"/>
          <w:u w:val="single"/>
        </w:rPr>
      </w:pPr>
      <w:r w:rsidRPr="008C76DF">
        <w:rPr>
          <w:b/>
          <w:bCs w:val="0"/>
          <w:i w:val="0"/>
          <w:iCs w:val="0"/>
          <w:color w:val="auto"/>
          <w:u w:val="single"/>
        </w:rPr>
        <w:t>Skills and training</w:t>
      </w:r>
    </w:p>
    <w:p w14:paraId="7BCC9CBC" w14:textId="0CBF4D05" w:rsidR="0031465F" w:rsidRDefault="00E57D11" w:rsidP="0031465F">
      <w:r>
        <w:t xml:space="preserve">Increased training opportunities for workers prior to mobilisation was raised by </w:t>
      </w:r>
      <w:proofErr w:type="gramStart"/>
      <w:r>
        <w:t>a</w:t>
      </w:r>
      <w:r w:rsidR="0031465F">
        <w:t xml:space="preserve"> number of</w:t>
      </w:r>
      <w:proofErr w:type="gramEnd"/>
      <w:r w:rsidR="0031465F">
        <w:t xml:space="preserve"> stakeholder</w:t>
      </w:r>
      <w:r>
        <w:t xml:space="preserve">s, who felt that enhanced training (e.g., </w:t>
      </w:r>
      <w:r w:rsidR="0031465F">
        <w:t>first aid, English, money management and computer training skills</w:t>
      </w:r>
      <w:r>
        <w:t>)</w:t>
      </w:r>
      <w:r w:rsidR="0031465F">
        <w:t xml:space="preserve"> would </w:t>
      </w:r>
      <w:r>
        <w:t>better prepare workers for living and working in Australia</w:t>
      </w:r>
      <w:r w:rsidR="0031465F">
        <w:t xml:space="preserve">. </w:t>
      </w:r>
    </w:p>
    <w:p w14:paraId="3CB47525" w14:textId="44EBC7FD" w:rsidR="0031465F" w:rsidRDefault="0031465F" w:rsidP="0031465F">
      <w:r w:rsidRPr="00FB3E1B">
        <w:t>Some</w:t>
      </w:r>
      <w:r>
        <w:t xml:space="preserve"> sectors</w:t>
      </w:r>
      <w:r w:rsidR="00E57D11">
        <w:t xml:space="preserve"> (e.g</w:t>
      </w:r>
      <w:r w:rsidR="006A0DA9">
        <w:t>.</w:t>
      </w:r>
      <w:r w:rsidR="009C2C4F">
        <w:t>:</w:t>
      </w:r>
      <w:r w:rsidR="00E57D11">
        <w:t xml:space="preserve"> </w:t>
      </w:r>
      <w:r>
        <w:t>meat processing, dairy</w:t>
      </w:r>
      <w:r w:rsidR="00E57D11">
        <w:t xml:space="preserve">, </w:t>
      </w:r>
      <w:r>
        <w:t>horticulture, aged care</w:t>
      </w:r>
      <w:r w:rsidR="00E57D11">
        <w:t xml:space="preserve">). </w:t>
      </w:r>
      <w:r>
        <w:t xml:space="preserve">Pacific </w:t>
      </w:r>
      <w:r w:rsidR="00786164">
        <w:t xml:space="preserve">and Timorese </w:t>
      </w:r>
      <w:r>
        <w:t xml:space="preserve">workers and community groups </w:t>
      </w:r>
      <w:r w:rsidR="00E57D11">
        <w:t xml:space="preserve">advocated strongly for </w:t>
      </w:r>
      <w:r w:rsidRPr="002860C2">
        <w:rPr>
          <w:b/>
          <w:bCs/>
        </w:rPr>
        <w:t xml:space="preserve">opportunities </w:t>
      </w:r>
      <w:r w:rsidR="00E57D11">
        <w:rPr>
          <w:b/>
          <w:bCs/>
        </w:rPr>
        <w:t>for worker</w:t>
      </w:r>
      <w:r w:rsidR="009C2C4F">
        <w:rPr>
          <w:b/>
          <w:bCs/>
        </w:rPr>
        <w:t>s</w:t>
      </w:r>
      <w:r w:rsidR="00E57D11">
        <w:rPr>
          <w:b/>
          <w:bCs/>
        </w:rPr>
        <w:t xml:space="preserve"> </w:t>
      </w:r>
      <w:r w:rsidRPr="002860C2">
        <w:rPr>
          <w:b/>
          <w:bCs/>
        </w:rPr>
        <w:t>to undertake formal skills training</w:t>
      </w:r>
      <w:r>
        <w:t xml:space="preserve"> whilst </w:t>
      </w:r>
      <w:r w:rsidRPr="002860C2">
        <w:rPr>
          <w:b/>
          <w:bCs/>
        </w:rPr>
        <w:t>in Australia</w:t>
      </w:r>
      <w:r>
        <w:t xml:space="preserve">. </w:t>
      </w:r>
      <w:r w:rsidRPr="008B3595">
        <w:t>Pacific stakeholders, as well as state and territory</w:t>
      </w:r>
      <w:r w:rsidR="00E57D11">
        <w:t xml:space="preserve"> governments</w:t>
      </w:r>
      <w:r w:rsidRPr="008B3595">
        <w:t xml:space="preserve">, aged </w:t>
      </w:r>
      <w:proofErr w:type="gramStart"/>
      <w:r w:rsidRPr="008B3595">
        <w:t>care</w:t>
      </w:r>
      <w:proofErr w:type="gramEnd"/>
      <w:r w:rsidRPr="008B3595">
        <w:t xml:space="preserve"> and horticulture stakeholders,</w:t>
      </w:r>
      <w:r>
        <w:t xml:space="preserve"> </w:t>
      </w:r>
      <w:r w:rsidR="00712993">
        <w:t xml:space="preserve">supported the idea of a </w:t>
      </w:r>
      <w:r w:rsidR="00712993" w:rsidRPr="00712993">
        <w:rPr>
          <w:b/>
          <w:bCs/>
        </w:rPr>
        <w:t>blended training</w:t>
      </w:r>
      <w:r w:rsidR="00712993">
        <w:t xml:space="preserve"> </w:t>
      </w:r>
      <w:r w:rsidR="00712993" w:rsidRPr="00712993">
        <w:rPr>
          <w:b/>
          <w:bCs/>
        </w:rPr>
        <w:t>model</w:t>
      </w:r>
      <w:r w:rsidR="00712993">
        <w:t xml:space="preserve"> whereby some components of study or training were delivered </w:t>
      </w:r>
      <w:r w:rsidR="00712993" w:rsidRPr="00712993">
        <w:t xml:space="preserve">in the Pacific and Timor-Leste </w:t>
      </w:r>
      <w:r w:rsidR="00712993">
        <w:t xml:space="preserve">prior to departure </w:t>
      </w:r>
      <w:r w:rsidRPr="00712993">
        <w:t xml:space="preserve">and </w:t>
      </w:r>
      <w:r w:rsidR="00712993" w:rsidRPr="00712993">
        <w:t xml:space="preserve">the remainder </w:t>
      </w:r>
      <w:r w:rsidRPr="00712993">
        <w:t>in</w:t>
      </w:r>
      <w:r w:rsidR="00712993" w:rsidRPr="00712993">
        <w:t xml:space="preserve"> </w:t>
      </w:r>
      <w:r w:rsidRPr="00712993">
        <w:t xml:space="preserve">Australia </w:t>
      </w:r>
      <w:r w:rsidR="00712993" w:rsidRPr="00712993">
        <w:t>upon arrival</w:t>
      </w:r>
      <w:r w:rsidR="00712993">
        <w:t xml:space="preserve">. </w:t>
      </w:r>
      <w:r w:rsidR="00003890">
        <w:t xml:space="preserve">This would </w:t>
      </w:r>
      <w:r w:rsidRPr="008B3595">
        <w:t xml:space="preserve">enable </w:t>
      </w:r>
      <w:r w:rsidR="00712993">
        <w:t xml:space="preserve">more workers to attain </w:t>
      </w:r>
      <w:r w:rsidRPr="008B3595">
        <w:t>qualification</w:t>
      </w:r>
      <w:r w:rsidR="00712993">
        <w:t>s</w:t>
      </w:r>
      <w:r w:rsidRPr="008B3595">
        <w:t xml:space="preserve"> and </w:t>
      </w:r>
      <w:r w:rsidR="00712993">
        <w:t xml:space="preserve">boost the number of </w:t>
      </w:r>
      <w:r w:rsidRPr="008B3595">
        <w:t xml:space="preserve">physically fit workers </w:t>
      </w:r>
      <w:r w:rsidR="00712993">
        <w:t xml:space="preserve">mobilised </w:t>
      </w:r>
      <w:r w:rsidRPr="008B3595">
        <w:t>with prior experience and identified aptitude.</w:t>
      </w:r>
      <w:r>
        <w:t xml:space="preserve"> </w:t>
      </w:r>
    </w:p>
    <w:p w14:paraId="1CF94F1F" w14:textId="77777777" w:rsidR="0031465F" w:rsidRPr="008C76DF" w:rsidRDefault="0031465F" w:rsidP="008C76DF">
      <w:pPr>
        <w:pStyle w:val="Heading3"/>
        <w:rPr>
          <w:b/>
          <w:bCs w:val="0"/>
          <w:i w:val="0"/>
          <w:iCs w:val="0"/>
          <w:color w:val="auto"/>
          <w:u w:val="single"/>
        </w:rPr>
      </w:pPr>
      <w:r w:rsidRPr="008C76DF">
        <w:rPr>
          <w:b/>
          <w:bCs w:val="0"/>
          <w:i w:val="0"/>
          <w:iCs w:val="0"/>
          <w:color w:val="auto"/>
          <w:u w:val="single"/>
        </w:rPr>
        <w:t>Accommodation</w:t>
      </w:r>
    </w:p>
    <w:p w14:paraId="235D2238" w14:textId="2227E1FC" w:rsidR="0031465F" w:rsidRDefault="00712993" w:rsidP="0031465F">
      <w:pPr>
        <w:rPr>
          <w:iCs/>
        </w:rPr>
      </w:pPr>
      <w:r>
        <w:rPr>
          <w:iCs/>
        </w:rPr>
        <w:t>During consultations, m</w:t>
      </w:r>
      <w:r w:rsidR="0031465F">
        <w:rPr>
          <w:iCs/>
        </w:rPr>
        <w:t xml:space="preserve">any stakeholders </w:t>
      </w:r>
      <w:r>
        <w:rPr>
          <w:iCs/>
        </w:rPr>
        <w:t xml:space="preserve">raised the </w:t>
      </w:r>
      <w:r w:rsidR="0031465F" w:rsidRPr="002860C2">
        <w:rPr>
          <w:b/>
          <w:bCs/>
          <w:iCs/>
        </w:rPr>
        <w:t>critical shortage of suitable accommodation</w:t>
      </w:r>
      <w:r w:rsidR="0031465F">
        <w:rPr>
          <w:iCs/>
        </w:rPr>
        <w:t xml:space="preserve"> </w:t>
      </w:r>
      <w:r>
        <w:rPr>
          <w:iCs/>
        </w:rPr>
        <w:t xml:space="preserve">as a significant challenge </w:t>
      </w:r>
      <w:r w:rsidR="0031465F">
        <w:rPr>
          <w:iCs/>
        </w:rPr>
        <w:t xml:space="preserve">and </w:t>
      </w:r>
      <w:r>
        <w:rPr>
          <w:iCs/>
        </w:rPr>
        <w:t xml:space="preserve">noted the </w:t>
      </w:r>
      <w:r w:rsidR="0031465F" w:rsidRPr="002860C2">
        <w:rPr>
          <w:b/>
          <w:bCs/>
          <w:iCs/>
        </w:rPr>
        <w:t>lack of incentives for investment in new accommodation</w:t>
      </w:r>
      <w:r w:rsidR="0031465F">
        <w:rPr>
          <w:iCs/>
        </w:rPr>
        <w:t xml:space="preserve">. </w:t>
      </w:r>
      <w:r>
        <w:rPr>
          <w:iCs/>
        </w:rPr>
        <w:t>S</w:t>
      </w:r>
      <w:r w:rsidR="0031465F">
        <w:rPr>
          <w:iCs/>
        </w:rPr>
        <w:t>uggest</w:t>
      </w:r>
      <w:r>
        <w:rPr>
          <w:iCs/>
        </w:rPr>
        <w:t xml:space="preserve">ed solutions </w:t>
      </w:r>
      <w:r w:rsidR="0031465F">
        <w:rPr>
          <w:iCs/>
        </w:rPr>
        <w:t>includ</w:t>
      </w:r>
      <w:r>
        <w:rPr>
          <w:iCs/>
        </w:rPr>
        <w:t>ed</w:t>
      </w:r>
      <w:r w:rsidR="0031465F">
        <w:rPr>
          <w:iCs/>
        </w:rPr>
        <w:t xml:space="preserve"> establish</w:t>
      </w:r>
      <w:r>
        <w:rPr>
          <w:iCs/>
        </w:rPr>
        <w:t>ing</w:t>
      </w:r>
      <w:r w:rsidR="0031465F">
        <w:rPr>
          <w:iCs/>
        </w:rPr>
        <w:t xml:space="preserve"> </w:t>
      </w:r>
      <w:r w:rsidR="0031465F" w:rsidRPr="002860C2">
        <w:rPr>
          <w:b/>
          <w:bCs/>
          <w:iCs/>
        </w:rPr>
        <w:t>‘accommodation camps’</w:t>
      </w:r>
      <w:r w:rsidR="0031465F">
        <w:rPr>
          <w:iCs/>
        </w:rPr>
        <w:t xml:space="preserve"> or </w:t>
      </w:r>
      <w:r w:rsidR="0031465F" w:rsidRPr="00CF7564">
        <w:rPr>
          <w:b/>
          <w:bCs/>
          <w:iCs/>
        </w:rPr>
        <w:t>tax incentives such as</w:t>
      </w:r>
      <w:r w:rsidR="0031465F">
        <w:rPr>
          <w:iCs/>
        </w:rPr>
        <w:t xml:space="preserve"> </w:t>
      </w:r>
      <w:r w:rsidR="0031465F" w:rsidRPr="002860C2">
        <w:rPr>
          <w:b/>
          <w:bCs/>
          <w:iCs/>
        </w:rPr>
        <w:t>accelerated depreciation</w:t>
      </w:r>
      <w:r w:rsidR="0031465F">
        <w:rPr>
          <w:iCs/>
        </w:rPr>
        <w:t xml:space="preserve"> for </w:t>
      </w:r>
      <w:r w:rsidR="009C2C4F">
        <w:rPr>
          <w:iCs/>
        </w:rPr>
        <w:t xml:space="preserve">investment in developing or upgrading suitable </w:t>
      </w:r>
      <w:r w:rsidR="0031465F">
        <w:rPr>
          <w:iCs/>
        </w:rPr>
        <w:t>accommodation.</w:t>
      </w:r>
    </w:p>
    <w:p w14:paraId="46F67C89" w14:textId="10A3C1CE" w:rsidR="0031465F" w:rsidRPr="00DA6386" w:rsidRDefault="0031465F" w:rsidP="0031465F">
      <w:pPr>
        <w:rPr>
          <w:iCs/>
        </w:rPr>
      </w:pPr>
      <w:r>
        <w:rPr>
          <w:iCs/>
        </w:rPr>
        <w:t xml:space="preserve">Approved Employers, industry bodies and local councils also noted that there </w:t>
      </w:r>
      <w:r w:rsidR="00712993">
        <w:rPr>
          <w:iCs/>
        </w:rPr>
        <w:t xml:space="preserve">was </w:t>
      </w:r>
      <w:r>
        <w:rPr>
          <w:iCs/>
        </w:rPr>
        <w:t xml:space="preserve">a </w:t>
      </w:r>
      <w:r w:rsidRPr="002860C2">
        <w:rPr>
          <w:b/>
          <w:bCs/>
          <w:iCs/>
        </w:rPr>
        <w:t>misalignment between state and local government legislation</w:t>
      </w:r>
      <w:r>
        <w:rPr>
          <w:iCs/>
        </w:rPr>
        <w:t xml:space="preserve">, particularly in Victoria, for those that have capacity to build or renovate properties. </w:t>
      </w:r>
    </w:p>
    <w:p w14:paraId="79146477" w14:textId="570D53EE" w:rsidR="0031465F" w:rsidRDefault="0031465F" w:rsidP="0031465F">
      <w:pPr>
        <w:rPr>
          <w:iCs/>
        </w:rPr>
      </w:pPr>
      <w:r>
        <w:rPr>
          <w:iCs/>
        </w:rPr>
        <w:t xml:space="preserve">Another key theme was the need to </w:t>
      </w:r>
      <w:r w:rsidRPr="002860C2">
        <w:rPr>
          <w:b/>
          <w:bCs/>
          <w:iCs/>
        </w:rPr>
        <w:t>streamline the accommodation approval process</w:t>
      </w:r>
      <w:r>
        <w:rPr>
          <w:iCs/>
        </w:rPr>
        <w:t xml:space="preserve">. The current accommodation approval process for </w:t>
      </w:r>
      <w:r w:rsidR="00712993">
        <w:rPr>
          <w:iCs/>
        </w:rPr>
        <w:t xml:space="preserve">seasonal workers </w:t>
      </w:r>
      <w:proofErr w:type="gramStart"/>
      <w:r w:rsidR="00712993">
        <w:rPr>
          <w:iCs/>
        </w:rPr>
        <w:t xml:space="preserve">was </w:t>
      </w:r>
      <w:r>
        <w:rPr>
          <w:iCs/>
        </w:rPr>
        <w:t>seen as</w:t>
      </w:r>
      <w:proofErr w:type="gramEnd"/>
      <w:r>
        <w:rPr>
          <w:iCs/>
        </w:rPr>
        <w:t xml:space="preserve"> arduous, inconsistent and duplicative. A number of different </w:t>
      </w:r>
      <w:r w:rsidRPr="002860C2">
        <w:rPr>
          <w:b/>
          <w:bCs/>
          <w:iCs/>
        </w:rPr>
        <w:t>suggestions</w:t>
      </w:r>
      <w:r>
        <w:rPr>
          <w:iCs/>
        </w:rPr>
        <w:t xml:space="preserve"> were put forward to streamline the process, </w:t>
      </w:r>
      <w:proofErr w:type="gramStart"/>
      <w:r w:rsidR="00712993">
        <w:rPr>
          <w:iCs/>
        </w:rPr>
        <w:t>including</w:t>
      </w:r>
      <w:r>
        <w:rPr>
          <w:iCs/>
        </w:rPr>
        <w:t>:</w:t>
      </w:r>
      <w:proofErr w:type="gramEnd"/>
      <w:r>
        <w:rPr>
          <w:iCs/>
        </w:rPr>
        <w:t xml:space="preserve"> </w:t>
      </w:r>
      <w:r w:rsidRPr="002860C2">
        <w:rPr>
          <w:b/>
          <w:bCs/>
          <w:iCs/>
        </w:rPr>
        <w:t>ensuring Approved Employers and contract managers</w:t>
      </w:r>
      <w:r>
        <w:rPr>
          <w:iCs/>
        </w:rPr>
        <w:t xml:space="preserve"> have the </w:t>
      </w:r>
      <w:r w:rsidRPr="002860C2">
        <w:rPr>
          <w:b/>
          <w:bCs/>
          <w:iCs/>
        </w:rPr>
        <w:t>same level of information</w:t>
      </w:r>
      <w:r>
        <w:rPr>
          <w:iCs/>
        </w:rPr>
        <w:t xml:space="preserve"> on requirements; </w:t>
      </w:r>
      <w:r w:rsidRPr="002860C2">
        <w:rPr>
          <w:b/>
          <w:bCs/>
          <w:iCs/>
        </w:rPr>
        <w:t>use of online video platforms</w:t>
      </w:r>
      <w:r>
        <w:rPr>
          <w:iCs/>
        </w:rPr>
        <w:t xml:space="preserve"> as a way to gain single instance question/answer/evidence; </w:t>
      </w:r>
      <w:r w:rsidR="00712993">
        <w:rPr>
          <w:iCs/>
        </w:rPr>
        <w:t xml:space="preserve">and, </w:t>
      </w:r>
      <w:r>
        <w:rPr>
          <w:iCs/>
        </w:rPr>
        <w:t xml:space="preserve">a </w:t>
      </w:r>
      <w:r w:rsidRPr="002860C2">
        <w:rPr>
          <w:b/>
          <w:bCs/>
          <w:iCs/>
        </w:rPr>
        <w:t>central accommodation database</w:t>
      </w:r>
      <w:r>
        <w:rPr>
          <w:iCs/>
        </w:rPr>
        <w:t xml:space="preserve"> to remove the need for approval being required by each Approved Employer </w:t>
      </w:r>
      <w:r w:rsidR="009C2C4F">
        <w:rPr>
          <w:iCs/>
        </w:rPr>
        <w:t>for</w:t>
      </w:r>
      <w:r>
        <w:rPr>
          <w:iCs/>
        </w:rPr>
        <w:t xml:space="preserve"> the same accommodation facilities. </w:t>
      </w:r>
    </w:p>
    <w:p w14:paraId="1E5F1B20" w14:textId="048F4ED6" w:rsidR="0031465F" w:rsidRDefault="0031465F" w:rsidP="0031465F">
      <w:pPr>
        <w:rPr>
          <w:iCs/>
        </w:rPr>
      </w:pPr>
      <w:r>
        <w:rPr>
          <w:iCs/>
        </w:rPr>
        <w:t xml:space="preserve">Pacific governments and unions also noted that the </w:t>
      </w:r>
      <w:r w:rsidR="00712993">
        <w:rPr>
          <w:iCs/>
        </w:rPr>
        <w:t xml:space="preserve">cost of </w:t>
      </w:r>
      <w:r>
        <w:rPr>
          <w:iCs/>
        </w:rPr>
        <w:t xml:space="preserve">accommodation </w:t>
      </w:r>
      <w:r w:rsidR="00712993">
        <w:rPr>
          <w:iCs/>
        </w:rPr>
        <w:t xml:space="preserve">was </w:t>
      </w:r>
      <w:r>
        <w:rPr>
          <w:iCs/>
        </w:rPr>
        <w:t xml:space="preserve">a </w:t>
      </w:r>
      <w:r w:rsidR="00712993">
        <w:rPr>
          <w:iCs/>
        </w:rPr>
        <w:t xml:space="preserve">major expense for </w:t>
      </w:r>
      <w:r>
        <w:rPr>
          <w:iCs/>
        </w:rPr>
        <w:t xml:space="preserve">workers and </w:t>
      </w:r>
      <w:r w:rsidR="00712993">
        <w:rPr>
          <w:iCs/>
        </w:rPr>
        <w:t xml:space="preserve">suggested </w:t>
      </w:r>
      <w:r>
        <w:rPr>
          <w:iCs/>
        </w:rPr>
        <w:t xml:space="preserve">there </w:t>
      </w:r>
      <w:r w:rsidR="00712993">
        <w:rPr>
          <w:iCs/>
        </w:rPr>
        <w:t xml:space="preserve">should </w:t>
      </w:r>
      <w:r>
        <w:rPr>
          <w:iCs/>
        </w:rPr>
        <w:t>be consideration of a standard pricing arrangement.</w:t>
      </w:r>
    </w:p>
    <w:p w14:paraId="4D024338" w14:textId="4AA42A5F" w:rsidR="0074063F" w:rsidRPr="008C76DF" w:rsidRDefault="0031465F" w:rsidP="008C76DF">
      <w:pPr>
        <w:pStyle w:val="Heading3"/>
        <w:rPr>
          <w:b/>
          <w:bCs w:val="0"/>
          <w:i w:val="0"/>
          <w:iCs w:val="0"/>
          <w:color w:val="auto"/>
          <w:u w:val="single"/>
        </w:rPr>
      </w:pPr>
      <w:r w:rsidRPr="008C76DF">
        <w:rPr>
          <w:b/>
          <w:bCs w:val="0"/>
          <w:i w:val="0"/>
          <w:iCs w:val="0"/>
          <w:color w:val="auto"/>
          <w:u w:val="single"/>
        </w:rPr>
        <w:t xml:space="preserve">Program integrity, </w:t>
      </w:r>
      <w:proofErr w:type="gramStart"/>
      <w:r w:rsidRPr="008C76DF">
        <w:rPr>
          <w:b/>
          <w:bCs w:val="0"/>
          <w:i w:val="0"/>
          <w:iCs w:val="0"/>
          <w:color w:val="auto"/>
          <w:u w:val="single"/>
        </w:rPr>
        <w:t>assurance</w:t>
      </w:r>
      <w:proofErr w:type="gramEnd"/>
      <w:r w:rsidRPr="008C76DF">
        <w:rPr>
          <w:b/>
          <w:bCs w:val="0"/>
          <w:i w:val="0"/>
          <w:iCs w:val="0"/>
          <w:color w:val="auto"/>
          <w:u w:val="single"/>
        </w:rPr>
        <w:t xml:space="preserve"> and compliance</w:t>
      </w:r>
    </w:p>
    <w:p w14:paraId="458359B0" w14:textId="77777777" w:rsidR="0031465F" w:rsidRDefault="0031465F" w:rsidP="0031465F">
      <w:pPr>
        <w:rPr>
          <w:iCs/>
        </w:rPr>
      </w:pPr>
      <w:r>
        <w:rPr>
          <w:i/>
        </w:rPr>
        <w:t>Government role</w:t>
      </w:r>
    </w:p>
    <w:p w14:paraId="3C51F583" w14:textId="3559AFF2" w:rsidR="0031465F" w:rsidRDefault="0031465F" w:rsidP="0031465F">
      <w:pPr>
        <w:rPr>
          <w:iCs/>
        </w:rPr>
      </w:pPr>
      <w:r>
        <w:rPr>
          <w:iCs/>
        </w:rPr>
        <w:t xml:space="preserve">While a </w:t>
      </w:r>
      <w:r w:rsidR="00712993">
        <w:rPr>
          <w:iCs/>
        </w:rPr>
        <w:t xml:space="preserve">key </w:t>
      </w:r>
      <w:r>
        <w:rPr>
          <w:iCs/>
        </w:rPr>
        <w:t xml:space="preserve">theme </w:t>
      </w:r>
      <w:r w:rsidR="00712993">
        <w:rPr>
          <w:iCs/>
        </w:rPr>
        <w:t xml:space="preserve">to emerge during </w:t>
      </w:r>
      <w:r>
        <w:rPr>
          <w:iCs/>
        </w:rPr>
        <w:t xml:space="preserve">the consultation was the need to </w:t>
      </w:r>
      <w:r w:rsidRPr="002860C2">
        <w:rPr>
          <w:b/>
          <w:bCs/>
          <w:iCs/>
        </w:rPr>
        <w:t xml:space="preserve">ensure program standards and integrity </w:t>
      </w:r>
      <w:r w:rsidR="00712993">
        <w:rPr>
          <w:b/>
          <w:bCs/>
          <w:iCs/>
        </w:rPr>
        <w:t xml:space="preserve">were </w:t>
      </w:r>
      <w:r w:rsidRPr="002860C2">
        <w:rPr>
          <w:b/>
          <w:bCs/>
          <w:iCs/>
        </w:rPr>
        <w:t>maintained</w:t>
      </w:r>
      <w:r>
        <w:rPr>
          <w:iCs/>
        </w:rPr>
        <w:t xml:space="preserve"> </w:t>
      </w:r>
      <w:r w:rsidRPr="002860C2">
        <w:rPr>
          <w:b/>
          <w:bCs/>
          <w:iCs/>
        </w:rPr>
        <w:t>through appropriate assurance and compliance</w:t>
      </w:r>
      <w:r>
        <w:rPr>
          <w:iCs/>
        </w:rPr>
        <w:t xml:space="preserve"> mechanisms, there were </w:t>
      </w:r>
      <w:r w:rsidRPr="002860C2">
        <w:rPr>
          <w:b/>
          <w:bCs/>
          <w:iCs/>
        </w:rPr>
        <w:t>mixed views</w:t>
      </w:r>
      <w:r>
        <w:rPr>
          <w:iCs/>
        </w:rPr>
        <w:t xml:space="preserve"> on the </w:t>
      </w:r>
      <w:r w:rsidRPr="002860C2">
        <w:rPr>
          <w:b/>
          <w:bCs/>
          <w:iCs/>
        </w:rPr>
        <w:t>level of government involvement</w:t>
      </w:r>
      <w:r>
        <w:rPr>
          <w:iCs/>
        </w:rPr>
        <w:t xml:space="preserve">. Some, particularly unions, would like the government to have a larger role in assurance and compliance, while others would like to see government play a facilitator role with Approved Employers taking on greater responsibility. </w:t>
      </w:r>
    </w:p>
    <w:p w14:paraId="537C21EB" w14:textId="1BD4AC13" w:rsidR="0064694D" w:rsidRDefault="0064694D" w:rsidP="0031465F">
      <w:pPr>
        <w:rPr>
          <w:iCs/>
        </w:rPr>
      </w:pPr>
      <w:r>
        <w:rPr>
          <w:iCs/>
        </w:rPr>
        <w:t xml:space="preserve">Despite this, it was consistently </w:t>
      </w:r>
      <w:r w:rsidR="00712993">
        <w:rPr>
          <w:iCs/>
        </w:rPr>
        <w:t xml:space="preserve">mentioned </w:t>
      </w:r>
      <w:r>
        <w:rPr>
          <w:iCs/>
        </w:rPr>
        <w:t xml:space="preserve">that </w:t>
      </w:r>
      <w:r w:rsidRPr="002860C2">
        <w:rPr>
          <w:b/>
          <w:bCs/>
          <w:iCs/>
        </w:rPr>
        <w:t>clearer guidance and engagement</w:t>
      </w:r>
      <w:r>
        <w:rPr>
          <w:iCs/>
        </w:rPr>
        <w:t xml:space="preserve"> </w:t>
      </w:r>
      <w:r w:rsidR="00003890">
        <w:rPr>
          <w:iCs/>
        </w:rPr>
        <w:t xml:space="preserve">from the Australian government </w:t>
      </w:r>
      <w:r>
        <w:rPr>
          <w:iCs/>
        </w:rPr>
        <w:t>need</w:t>
      </w:r>
      <w:r w:rsidR="00712993">
        <w:rPr>
          <w:iCs/>
        </w:rPr>
        <w:t>ed</w:t>
      </w:r>
      <w:r>
        <w:rPr>
          <w:iCs/>
        </w:rPr>
        <w:t xml:space="preserve"> to be provided to Approved Employers and other stakeholders, particularly around escalation provisions and relevant timelines</w:t>
      </w:r>
      <w:r w:rsidR="009C2C4F">
        <w:rPr>
          <w:iCs/>
        </w:rPr>
        <w:t xml:space="preserve"> for critical issues and incidents</w:t>
      </w:r>
      <w:r>
        <w:rPr>
          <w:iCs/>
        </w:rPr>
        <w:t>, to ensure effective risk management.</w:t>
      </w:r>
    </w:p>
    <w:p w14:paraId="644DDADF" w14:textId="5145F4F7" w:rsidR="0064694D" w:rsidRPr="0064694D" w:rsidRDefault="0064694D" w:rsidP="0031465F">
      <w:pPr>
        <w:rPr>
          <w:i/>
        </w:rPr>
      </w:pPr>
      <w:r>
        <w:rPr>
          <w:i/>
        </w:rPr>
        <w:t>Risk management</w:t>
      </w:r>
    </w:p>
    <w:p w14:paraId="2F447769" w14:textId="460DE40D" w:rsidR="0031465F" w:rsidRDefault="0064694D" w:rsidP="0031465F">
      <w:pPr>
        <w:rPr>
          <w:iCs/>
        </w:rPr>
      </w:pPr>
      <w:r>
        <w:rPr>
          <w:iCs/>
        </w:rPr>
        <w:t xml:space="preserve">It was noted by some that there </w:t>
      </w:r>
      <w:r w:rsidR="0031241B">
        <w:rPr>
          <w:iCs/>
        </w:rPr>
        <w:t xml:space="preserve">was </w:t>
      </w:r>
      <w:r w:rsidR="0031465F" w:rsidRPr="002860C2">
        <w:rPr>
          <w:b/>
          <w:bCs/>
          <w:iCs/>
        </w:rPr>
        <w:t xml:space="preserve">considerable scope and opportunity to consider </w:t>
      </w:r>
      <w:r w:rsidR="0031241B">
        <w:rPr>
          <w:b/>
          <w:bCs/>
          <w:iCs/>
        </w:rPr>
        <w:t xml:space="preserve">an </w:t>
      </w:r>
      <w:r w:rsidR="0031465F" w:rsidRPr="002860C2">
        <w:rPr>
          <w:b/>
          <w:bCs/>
          <w:iCs/>
        </w:rPr>
        <w:t>employer’s history, policies and practices</w:t>
      </w:r>
      <w:r w:rsidR="0031241B">
        <w:rPr>
          <w:b/>
          <w:bCs/>
          <w:iCs/>
        </w:rPr>
        <w:t>,</w:t>
      </w:r>
      <w:r w:rsidR="0031465F" w:rsidRPr="002860C2">
        <w:rPr>
          <w:b/>
          <w:bCs/>
          <w:iCs/>
        </w:rPr>
        <w:t xml:space="preserve"> and relevant certification schemes</w:t>
      </w:r>
      <w:r w:rsidR="0031465F">
        <w:rPr>
          <w:iCs/>
        </w:rPr>
        <w:t xml:space="preserve"> </w:t>
      </w:r>
      <w:r>
        <w:rPr>
          <w:iCs/>
        </w:rPr>
        <w:t xml:space="preserve">when </w:t>
      </w:r>
      <w:r w:rsidR="0031241B">
        <w:rPr>
          <w:iCs/>
        </w:rPr>
        <w:t xml:space="preserve">assessing </w:t>
      </w:r>
      <w:r>
        <w:rPr>
          <w:iCs/>
        </w:rPr>
        <w:t>an approved employer’s risk profile</w:t>
      </w:r>
      <w:r w:rsidR="0031241B">
        <w:rPr>
          <w:iCs/>
        </w:rPr>
        <w:t xml:space="preserve">, </w:t>
      </w:r>
      <w:r>
        <w:rPr>
          <w:iCs/>
        </w:rPr>
        <w:t xml:space="preserve">and therefore </w:t>
      </w:r>
      <w:r w:rsidR="0031241B">
        <w:rPr>
          <w:iCs/>
        </w:rPr>
        <w:t xml:space="preserve">the </w:t>
      </w:r>
      <w:r>
        <w:rPr>
          <w:iCs/>
        </w:rPr>
        <w:t xml:space="preserve">flexibilities afforded to them. </w:t>
      </w:r>
      <w:r w:rsidR="0031241B">
        <w:rPr>
          <w:iCs/>
        </w:rPr>
        <w:t xml:space="preserve">One suggestion </w:t>
      </w:r>
      <w:r w:rsidR="0031465F">
        <w:rPr>
          <w:iCs/>
        </w:rPr>
        <w:t xml:space="preserve">was </w:t>
      </w:r>
      <w:r w:rsidR="0031241B">
        <w:rPr>
          <w:iCs/>
        </w:rPr>
        <w:t xml:space="preserve">for program administrators </w:t>
      </w:r>
      <w:r w:rsidR="0031465F">
        <w:rPr>
          <w:iCs/>
        </w:rPr>
        <w:t>to work more closely with state-based agencies</w:t>
      </w:r>
      <w:r w:rsidR="00003890">
        <w:rPr>
          <w:iCs/>
        </w:rPr>
        <w:t xml:space="preserve"> on risk management, </w:t>
      </w:r>
      <w:proofErr w:type="gramStart"/>
      <w:r w:rsidR="00003890">
        <w:rPr>
          <w:iCs/>
        </w:rPr>
        <w:t>assurance</w:t>
      </w:r>
      <w:proofErr w:type="gramEnd"/>
      <w:r w:rsidR="00003890">
        <w:rPr>
          <w:iCs/>
        </w:rPr>
        <w:t xml:space="preserve"> and compliance activities</w:t>
      </w:r>
      <w:r w:rsidR="0031241B">
        <w:rPr>
          <w:iCs/>
        </w:rPr>
        <w:t>, drawing on existing systems and processes</w:t>
      </w:r>
      <w:r w:rsidR="0031465F">
        <w:rPr>
          <w:iCs/>
        </w:rPr>
        <w:t>.</w:t>
      </w:r>
    </w:p>
    <w:p w14:paraId="74B197F3" w14:textId="0735EBB2" w:rsidR="0064694D" w:rsidRDefault="002545E5" w:rsidP="0031465F">
      <w:pPr>
        <w:rPr>
          <w:iCs/>
        </w:rPr>
      </w:pPr>
      <w:r w:rsidRPr="002545E5">
        <w:rPr>
          <w:iCs/>
          <w:noProof/>
        </w:rPr>
        <mc:AlternateContent>
          <mc:Choice Requires="wps">
            <w:drawing>
              <wp:inline distT="0" distB="0" distL="0" distR="0" wp14:anchorId="61F66E35" wp14:editId="53FB6B99">
                <wp:extent cx="5536565" cy="1790700"/>
                <wp:effectExtent l="0" t="0" r="26035" b="19050"/>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6565" cy="1790700"/>
                        </a:xfrm>
                        <a:prstGeom prst="roundRect">
                          <a:avLst/>
                        </a:prstGeom>
                        <a:ln>
                          <a:solidFill>
                            <a:schemeClr val="accent6">
                              <a:lumMod val="50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359EB96D" w14:textId="7EEF8070" w:rsidR="0088306C" w:rsidRDefault="0088306C" w:rsidP="002545E5">
                            <w:pPr>
                              <w:rPr>
                                <w:i/>
                                <w:iCs/>
                                <w:sz w:val="18"/>
                                <w:szCs w:val="18"/>
                              </w:rPr>
                            </w:pPr>
                            <w:r>
                              <w:rPr>
                                <w:i/>
                                <w:iCs/>
                                <w:sz w:val="18"/>
                                <w:szCs w:val="18"/>
                              </w:rPr>
                              <w:t>‘</w:t>
                            </w:r>
                            <w:r w:rsidRPr="002545E5">
                              <w:rPr>
                                <w:i/>
                                <w:iCs/>
                                <w:sz w:val="18"/>
                                <w:szCs w:val="18"/>
                              </w:rPr>
                              <w:t>We do not believe there are currently any industry accreditation schemes that are of sufficient quality and scope to allow for a significant reduction of the vetting process undertaken by the PLM programs. However, where a labour hire business is licensed under a state government licensing scheme this should allow for them to have a more streamlined path to become an approved employer</w:t>
                            </w:r>
                            <w:r>
                              <w:rPr>
                                <w:i/>
                                <w:iCs/>
                                <w:sz w:val="18"/>
                                <w:szCs w:val="18"/>
                              </w:rPr>
                              <w:t>…</w:t>
                            </w:r>
                          </w:p>
                          <w:p w14:paraId="6A43CD41" w14:textId="043B821A" w:rsidR="0088306C" w:rsidRPr="002545E5" w:rsidRDefault="0088306C" w:rsidP="002545E5">
                            <w:pPr>
                              <w:rPr>
                                <w:i/>
                                <w:iCs/>
                                <w:sz w:val="18"/>
                                <w:szCs w:val="18"/>
                              </w:rPr>
                            </w:pPr>
                            <w:r w:rsidRPr="002545E5">
                              <w:rPr>
                                <w:i/>
                                <w:iCs/>
                                <w:sz w:val="18"/>
                                <w:szCs w:val="18"/>
                              </w:rPr>
                              <w:t>When an approved employer has a proven and demonstrated track record of compliance and looking after workers to a high standard, as verified by independent conversations with workers at the end of placements, it would be acceptable to allow those employers to be subject to a lower level of regulation.</w:t>
                            </w:r>
                            <w:r>
                              <w:rPr>
                                <w:i/>
                                <w:iCs/>
                                <w:sz w:val="18"/>
                                <w:szCs w:val="18"/>
                              </w:rPr>
                              <w:t>’</w:t>
                            </w:r>
                          </w:p>
                          <w:p w14:paraId="76040B59" w14:textId="052C6DBC" w:rsidR="0088306C" w:rsidRPr="002545E5" w:rsidRDefault="0088306C" w:rsidP="002545E5">
                            <w:pPr>
                              <w:spacing w:after="40"/>
                              <w:rPr>
                                <w:sz w:val="18"/>
                                <w:szCs w:val="18"/>
                              </w:rPr>
                            </w:pPr>
                            <w:r w:rsidRPr="002545E5">
                              <w:rPr>
                                <w:sz w:val="18"/>
                                <w:szCs w:val="18"/>
                              </w:rPr>
                              <w:t>The Salvation Army Australia, The Uniting Church in Australia, Synod of Victoria and Tasmania, the Pacific Islands Council of Queensland, Inc, and the Pacific Islands Council of South Australia.</w:t>
                            </w:r>
                          </w:p>
                        </w:txbxContent>
                      </wps:txbx>
                      <wps:bodyPr rot="0" vert="horz" wrap="square" lIns="91440" tIns="45720" rIns="91440" bIns="45720" anchor="t" anchorCtr="0">
                        <a:noAutofit/>
                      </wps:bodyPr>
                    </wps:wsp>
                  </a:graphicData>
                </a:graphic>
              </wp:inline>
            </w:drawing>
          </mc:Choice>
          <mc:Fallback>
            <w:pict>
              <v:roundrect w14:anchorId="61F66E35" id="_x0000_s1033" alt="&quot;&quot;" style="width:435.95pt;height:141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" fillcolor="white [3201]" strokecolor="#375623 [1609]" strokeweight="1pt">
                <v:stroke joinstyle="miter"/>
                <v:textbox>
                  <w:txbxContent>
                    <w:p w14:paraId="359EB96D" w14:textId="7EEF8070" w:rsidR="0088306C" w:rsidRDefault="0088306C" w:rsidP="002545E5">
                      <w:pPr>
                        <w:rPr>
                          <w:i/>
                          <w:iCs/>
                          <w:sz w:val="18"/>
                          <w:szCs w:val="18"/>
                        </w:rPr>
                      </w:pPr>
                      <w:r>
                        <w:rPr>
                          <w:i/>
                          <w:iCs/>
                          <w:sz w:val="18"/>
                          <w:szCs w:val="18"/>
                        </w:rPr>
                        <w:t>‘</w:t>
                      </w:r>
                      <w:r w:rsidRPr="002545E5">
                        <w:rPr>
                          <w:i/>
                          <w:iCs/>
                          <w:sz w:val="18"/>
                          <w:szCs w:val="18"/>
                        </w:rPr>
                        <w:t>We do not believe there are currently any industry accreditation schemes that are of sufficient quality and scope to allow for a significant reduction of the vetting process undertaken by the PLM programs. However, where a labour hire business is licensed under a state government licensing scheme this should allow for them to have a more streamlined path to become an approved employer</w:t>
                      </w:r>
                      <w:r>
                        <w:rPr>
                          <w:i/>
                          <w:iCs/>
                          <w:sz w:val="18"/>
                          <w:szCs w:val="18"/>
                        </w:rPr>
                        <w:t>…</w:t>
                      </w:r>
                    </w:p>
                    <w:p w14:paraId="6A43CD41" w14:textId="043B821A" w:rsidR="0088306C" w:rsidRPr="002545E5" w:rsidRDefault="0088306C" w:rsidP="002545E5">
                      <w:pPr>
                        <w:rPr>
                          <w:i/>
                          <w:iCs/>
                          <w:sz w:val="18"/>
                          <w:szCs w:val="18"/>
                        </w:rPr>
                      </w:pPr>
                      <w:r w:rsidRPr="002545E5">
                        <w:rPr>
                          <w:i/>
                          <w:iCs/>
                          <w:sz w:val="18"/>
                          <w:szCs w:val="18"/>
                        </w:rPr>
                        <w:t>When an approved employer has a proven and demonstrated track record of compliance and looking after workers to a high standard, as verified by independent conversations with workers at the end of placements, it would be acceptable to allow those employers to be subject to a lower level of regulation.</w:t>
                      </w:r>
                      <w:r>
                        <w:rPr>
                          <w:i/>
                          <w:iCs/>
                          <w:sz w:val="18"/>
                          <w:szCs w:val="18"/>
                        </w:rPr>
                        <w:t>’</w:t>
                      </w:r>
                    </w:p>
                    <w:p w14:paraId="76040B59" w14:textId="052C6DBC" w:rsidR="0088306C" w:rsidRPr="002545E5" w:rsidRDefault="0088306C" w:rsidP="002545E5">
                      <w:pPr>
                        <w:spacing w:after="40"/>
                        <w:rPr>
                          <w:sz w:val="18"/>
                          <w:szCs w:val="18"/>
                        </w:rPr>
                      </w:pPr>
                      <w:r w:rsidRPr="002545E5">
                        <w:rPr>
                          <w:sz w:val="18"/>
                          <w:szCs w:val="18"/>
                        </w:rPr>
                        <w:t>The Salvation Army Australia, The Uniting Church in Australia, Synod of Victoria and Tasmania, the Pacific Islands Council of Queensland, Inc, and the Pacific Islands Council of South Australia.</w:t>
                      </w:r>
                    </w:p>
                  </w:txbxContent>
                </v:textbox>
                <w10:anchorlock/>
              </v:roundrect>
            </w:pict>
          </mc:Fallback>
        </mc:AlternateContent>
      </w:r>
      <w:r w:rsidR="0031241B">
        <w:rPr>
          <w:iCs/>
        </w:rPr>
        <w:t xml:space="preserve">Use of industry accreditation schemes to inform risk profiling was also raised, with </w:t>
      </w:r>
      <w:r w:rsidR="009C2C4F">
        <w:rPr>
          <w:iCs/>
        </w:rPr>
        <w:t xml:space="preserve">industry and employers generally supportive, but </w:t>
      </w:r>
      <w:r w:rsidR="0031241B">
        <w:rPr>
          <w:iCs/>
        </w:rPr>
        <w:t>u</w:t>
      </w:r>
      <w:r w:rsidR="0064694D">
        <w:rPr>
          <w:iCs/>
        </w:rPr>
        <w:t xml:space="preserve">nions </w:t>
      </w:r>
      <w:r>
        <w:rPr>
          <w:iCs/>
        </w:rPr>
        <w:t xml:space="preserve">and community groups </w:t>
      </w:r>
      <w:r w:rsidR="0031241B">
        <w:rPr>
          <w:iCs/>
        </w:rPr>
        <w:t xml:space="preserve">less </w:t>
      </w:r>
      <w:r w:rsidR="009C2C4F">
        <w:rPr>
          <w:iCs/>
        </w:rPr>
        <w:t xml:space="preserve">supportive of </w:t>
      </w:r>
      <w:r w:rsidR="0031241B">
        <w:rPr>
          <w:iCs/>
        </w:rPr>
        <w:t>these approaches</w:t>
      </w:r>
      <w:r w:rsidR="0064694D">
        <w:rPr>
          <w:iCs/>
        </w:rPr>
        <w:t>.</w:t>
      </w:r>
    </w:p>
    <w:p w14:paraId="30F1D32E" w14:textId="55A979DC" w:rsidR="0031465F" w:rsidRDefault="009C2C4F" w:rsidP="0014590C">
      <w:pPr>
        <w:rPr>
          <w:i/>
        </w:rPr>
      </w:pPr>
      <w:r>
        <w:rPr>
          <w:i/>
        </w:rPr>
        <w:t xml:space="preserve">SWP Recruitment </w:t>
      </w:r>
      <w:r w:rsidR="0031465F">
        <w:rPr>
          <w:i/>
        </w:rPr>
        <w:t>Caps</w:t>
      </w:r>
    </w:p>
    <w:p w14:paraId="42EF29FF" w14:textId="333C1F66" w:rsidR="0031465F" w:rsidRDefault="0031465F" w:rsidP="0031465F">
      <w:pPr>
        <w:rPr>
          <w:iCs/>
        </w:rPr>
      </w:pPr>
      <w:r>
        <w:rPr>
          <w:iCs/>
        </w:rPr>
        <w:t xml:space="preserve">There were </w:t>
      </w:r>
      <w:r w:rsidR="0031241B">
        <w:rPr>
          <w:b/>
          <w:bCs/>
          <w:iCs/>
        </w:rPr>
        <w:t xml:space="preserve">divergent </w:t>
      </w:r>
      <w:r w:rsidRPr="002860C2">
        <w:rPr>
          <w:b/>
          <w:bCs/>
          <w:iCs/>
        </w:rPr>
        <w:t>views</w:t>
      </w:r>
      <w:r>
        <w:rPr>
          <w:iCs/>
        </w:rPr>
        <w:t xml:space="preserve"> </w:t>
      </w:r>
      <w:r w:rsidR="0031241B">
        <w:rPr>
          <w:iCs/>
        </w:rPr>
        <w:t xml:space="preserve">about </w:t>
      </w:r>
      <w:r w:rsidRPr="002860C2">
        <w:rPr>
          <w:b/>
          <w:bCs/>
          <w:iCs/>
        </w:rPr>
        <w:t>SWP recruitment cap</w:t>
      </w:r>
      <w:r w:rsidR="0031241B">
        <w:rPr>
          <w:b/>
          <w:bCs/>
          <w:iCs/>
        </w:rPr>
        <w:t>s</w:t>
      </w:r>
      <w:r>
        <w:rPr>
          <w:iCs/>
        </w:rPr>
        <w:t xml:space="preserve"> </w:t>
      </w:r>
      <w:r w:rsidR="0031241B">
        <w:rPr>
          <w:iCs/>
        </w:rPr>
        <w:t xml:space="preserve">with suggestions </w:t>
      </w:r>
      <w:r>
        <w:rPr>
          <w:iCs/>
        </w:rPr>
        <w:t xml:space="preserve">ranging from removing them </w:t>
      </w:r>
      <w:r w:rsidR="0031241B">
        <w:rPr>
          <w:iCs/>
        </w:rPr>
        <w:t xml:space="preserve">altogether </w:t>
      </w:r>
      <w:r>
        <w:rPr>
          <w:iCs/>
        </w:rPr>
        <w:t xml:space="preserve">to </w:t>
      </w:r>
      <w:r w:rsidR="0031241B">
        <w:rPr>
          <w:iCs/>
        </w:rPr>
        <w:t xml:space="preserve">applying caps to </w:t>
      </w:r>
      <w:r>
        <w:rPr>
          <w:iCs/>
        </w:rPr>
        <w:t xml:space="preserve">both programs. However, there was a </w:t>
      </w:r>
      <w:r w:rsidRPr="002860C2">
        <w:rPr>
          <w:b/>
          <w:bCs/>
          <w:iCs/>
        </w:rPr>
        <w:t>consistent</w:t>
      </w:r>
      <w:r>
        <w:rPr>
          <w:iCs/>
        </w:rPr>
        <w:t xml:space="preserve"> </w:t>
      </w:r>
      <w:r w:rsidRPr="002860C2">
        <w:rPr>
          <w:b/>
          <w:bCs/>
          <w:iCs/>
        </w:rPr>
        <w:t>message</w:t>
      </w:r>
      <w:r>
        <w:rPr>
          <w:iCs/>
        </w:rPr>
        <w:t xml:space="preserve"> that the </w:t>
      </w:r>
      <w:r w:rsidRPr="002860C2">
        <w:rPr>
          <w:b/>
          <w:bCs/>
          <w:iCs/>
        </w:rPr>
        <w:t>cap review</w:t>
      </w:r>
      <w:r>
        <w:rPr>
          <w:iCs/>
        </w:rPr>
        <w:t xml:space="preserve"> process need</w:t>
      </w:r>
      <w:r w:rsidR="0031241B">
        <w:rPr>
          <w:iCs/>
        </w:rPr>
        <w:t>ed</w:t>
      </w:r>
      <w:r>
        <w:rPr>
          <w:iCs/>
        </w:rPr>
        <w:t xml:space="preserve"> to be </w:t>
      </w:r>
      <w:r w:rsidRPr="002860C2">
        <w:rPr>
          <w:b/>
          <w:bCs/>
          <w:iCs/>
        </w:rPr>
        <w:t>streamlined and more flexible</w:t>
      </w:r>
      <w:r>
        <w:rPr>
          <w:iCs/>
        </w:rPr>
        <w:t xml:space="preserve"> depending on workforce circumstances.</w:t>
      </w:r>
    </w:p>
    <w:p w14:paraId="03E1A1BA" w14:textId="56354438" w:rsidR="0031465F" w:rsidRDefault="0031465F" w:rsidP="0014590C">
      <w:pPr>
        <w:rPr>
          <w:iCs/>
        </w:rPr>
      </w:pPr>
      <w:r>
        <w:rPr>
          <w:i/>
        </w:rPr>
        <w:t>Absconding</w:t>
      </w:r>
    </w:p>
    <w:p w14:paraId="1DDC8B24" w14:textId="18ADE692" w:rsidR="0064694D" w:rsidRDefault="00003890" w:rsidP="0064694D">
      <w:r>
        <w:rPr>
          <w:iCs/>
        </w:rPr>
        <w:t>A key</w:t>
      </w:r>
      <w:r w:rsidR="0064694D">
        <w:rPr>
          <w:iCs/>
        </w:rPr>
        <w:t xml:space="preserve"> source of frustration for stakeholders was </w:t>
      </w:r>
      <w:r w:rsidR="0064694D">
        <w:t xml:space="preserve">the impacts of workers </w:t>
      </w:r>
      <w:r w:rsidR="0064694D" w:rsidRPr="00FB3E1B">
        <w:t>leaving their jobs in breach of their visa conditions (</w:t>
      </w:r>
      <w:r w:rsidR="009C2C4F">
        <w:t xml:space="preserve">commonly referred to as </w:t>
      </w:r>
      <w:r w:rsidR="0064694D" w:rsidRPr="00FB3E1B">
        <w:t>absconding)</w:t>
      </w:r>
      <w:r w:rsidR="0064694D">
        <w:t xml:space="preserve"> and a perceived lack of adequate compliance action to deter wrong doers</w:t>
      </w:r>
      <w:r w:rsidR="009C2C4F">
        <w:t>—both employers and workers—</w:t>
      </w:r>
      <w:r w:rsidR="0064694D">
        <w:t>and</w:t>
      </w:r>
      <w:r w:rsidR="009C2C4F">
        <w:t xml:space="preserve"> to </w:t>
      </w:r>
      <w:r w:rsidR="0064694D">
        <w:t>send a clear message about the risks.</w:t>
      </w:r>
      <w:r w:rsidR="0064694D" w:rsidRPr="00FB3E1B">
        <w:t xml:space="preserve"> Stakehol</w:t>
      </w:r>
      <w:r w:rsidR="0064694D">
        <w:t>d</w:t>
      </w:r>
      <w:r w:rsidR="0064694D" w:rsidRPr="00FB3E1B">
        <w:t xml:space="preserve">ers </w:t>
      </w:r>
      <w:r w:rsidR="0064694D">
        <w:t xml:space="preserve">acknowledged </w:t>
      </w:r>
      <w:r w:rsidR="009C2C4F">
        <w:t>a</w:t>
      </w:r>
      <w:r w:rsidR="0064694D">
        <w:t xml:space="preserve"> </w:t>
      </w:r>
      <w:r w:rsidR="0064694D" w:rsidRPr="00FB3E1B">
        <w:t xml:space="preserve">range of reasons why workers </w:t>
      </w:r>
      <w:r w:rsidR="0031241B">
        <w:t xml:space="preserve">may </w:t>
      </w:r>
      <w:r w:rsidR="0064694D" w:rsidRPr="00FB3E1B">
        <w:t>abscond</w:t>
      </w:r>
      <w:r w:rsidR="009C2C4F">
        <w:t>,</w:t>
      </w:r>
      <w:r w:rsidR="0064694D" w:rsidRPr="00FB3E1B">
        <w:t xml:space="preserve"> including </w:t>
      </w:r>
      <w:r w:rsidR="0064694D">
        <w:t xml:space="preserve">being encouraged or deceived into leaving their employer, often on the promise of more pay </w:t>
      </w:r>
      <w:r w:rsidR="0031241B">
        <w:t xml:space="preserve">or </w:t>
      </w:r>
      <w:r w:rsidR="0064694D">
        <w:t xml:space="preserve">more attractive conditions. </w:t>
      </w:r>
      <w:r>
        <w:t>Many note that absconding</w:t>
      </w:r>
      <w:r w:rsidR="0064694D">
        <w:t xml:space="preserve"> undermines the objectives, </w:t>
      </w:r>
      <w:proofErr w:type="gramStart"/>
      <w:r w:rsidR="0064694D">
        <w:t>integrity</w:t>
      </w:r>
      <w:proofErr w:type="gramEnd"/>
      <w:r w:rsidR="0064694D">
        <w:t xml:space="preserve"> and value of the programs</w:t>
      </w:r>
      <w:r w:rsidR="009C2C4F">
        <w:t xml:space="preserve">. There is a clear </w:t>
      </w:r>
      <w:r>
        <w:t>desire for more transparent communication and compliance activities</w:t>
      </w:r>
      <w:r w:rsidR="009C2C4F">
        <w:t xml:space="preserve"> by government on this issue</w:t>
      </w:r>
      <w:r>
        <w:t>.</w:t>
      </w:r>
    </w:p>
    <w:p w14:paraId="3CB6B23A" w14:textId="7C65D3B5" w:rsidR="0031465F" w:rsidRPr="008C76DF" w:rsidRDefault="0031465F" w:rsidP="008C76DF">
      <w:pPr>
        <w:pStyle w:val="Heading3"/>
        <w:rPr>
          <w:b/>
          <w:bCs w:val="0"/>
          <w:i w:val="0"/>
          <w:iCs w:val="0"/>
          <w:color w:val="auto"/>
          <w:u w:val="single"/>
        </w:rPr>
      </w:pPr>
      <w:r w:rsidRPr="008C76DF">
        <w:rPr>
          <w:b/>
          <w:bCs w:val="0"/>
          <w:i w:val="0"/>
          <w:iCs w:val="0"/>
          <w:color w:val="auto"/>
          <w:u w:val="single"/>
        </w:rPr>
        <w:t>Employer support</w:t>
      </w:r>
    </w:p>
    <w:p w14:paraId="328EC633" w14:textId="77777777" w:rsidR="00064C8C" w:rsidRDefault="007B23A5" w:rsidP="0014590C">
      <w:pPr>
        <w:rPr>
          <w:i/>
        </w:rPr>
      </w:pPr>
      <w:r w:rsidRPr="00150DFD">
        <w:rPr>
          <w:iCs/>
          <w:noProof/>
        </w:rPr>
        <mc:AlternateContent>
          <mc:Choice Requires="wps">
            <w:drawing>
              <wp:inline distT="0" distB="0" distL="0" distR="0" wp14:anchorId="7C5A33F4" wp14:editId="6F5BBAE0">
                <wp:extent cx="5743575" cy="1343025"/>
                <wp:effectExtent l="0" t="0" r="28575" b="28575"/>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343025"/>
                        </a:xfrm>
                        <a:prstGeom prst="roundRect">
                          <a:avLst/>
                        </a:prstGeom>
                        <a:solidFill>
                          <a:srgbClr val="FFFFFF"/>
                        </a:solidFill>
                        <a:ln w="3175">
                          <a:solidFill>
                            <a:srgbClr val="002060"/>
                          </a:solidFill>
                          <a:miter lim="800000"/>
                          <a:headEnd/>
                          <a:tailEnd/>
                        </a:ln>
                      </wps:spPr>
                      <wps:txbx>
                        <w:txbxContent>
                          <w:p w14:paraId="4EDA3C0A" w14:textId="77777777" w:rsidR="0088306C" w:rsidRDefault="0088306C" w:rsidP="007B23A5">
                            <w:pPr>
                              <w:spacing w:after="40"/>
                              <w:rPr>
                                <w:sz w:val="18"/>
                                <w:szCs w:val="18"/>
                              </w:rPr>
                            </w:pPr>
                            <w:r>
                              <w:rPr>
                                <w:i/>
                                <w:iCs/>
                                <w:sz w:val="18"/>
                                <w:szCs w:val="18"/>
                              </w:rPr>
                              <w:t>‘It is recommended that the Approved Employers of workers coming to Australia under the auspices of the Seasonal Worker Programme and the Pacific Labour Scheme, are provided with cross cultural training in order that they better understand and recognise the cultures, practices, and traditions of their workers.’</w:t>
                            </w:r>
                          </w:p>
                          <w:p w14:paraId="253E17E9" w14:textId="77777777" w:rsidR="0088306C" w:rsidRPr="00150DFD" w:rsidRDefault="0088306C" w:rsidP="007B23A5">
                            <w:pPr>
                              <w:spacing w:after="40"/>
                              <w:rPr>
                                <w:sz w:val="18"/>
                                <w:szCs w:val="18"/>
                              </w:rPr>
                            </w:pPr>
                            <w:r>
                              <w:rPr>
                                <w:sz w:val="18"/>
                                <w:szCs w:val="18"/>
                              </w:rPr>
                              <w:t>Australian Catholic Religious Against Trafficking of Humans (ACRATH)</w:t>
                            </w:r>
                          </w:p>
                          <w:p w14:paraId="5A281C09" w14:textId="77777777" w:rsidR="0088306C" w:rsidRDefault="0088306C" w:rsidP="007B23A5">
                            <w:pPr>
                              <w:spacing w:after="40"/>
                              <w:rPr>
                                <w:sz w:val="18"/>
                                <w:szCs w:val="18"/>
                              </w:rPr>
                            </w:pPr>
                            <w:r>
                              <w:rPr>
                                <w:i/>
                                <w:iCs/>
                                <w:sz w:val="18"/>
                                <w:szCs w:val="18"/>
                              </w:rPr>
                              <w:t>‘There is a clear lack of appropriate and effective cultural training for Pacific Islander employees coming to Australia. There is a clear lack of information with regards to the subculture, systems of government, local laws, etc.’</w:t>
                            </w:r>
                          </w:p>
                          <w:p w14:paraId="4FC86FAB" w14:textId="77777777" w:rsidR="0088306C" w:rsidRPr="00150DFD" w:rsidRDefault="0088306C" w:rsidP="007B23A5">
                            <w:pPr>
                              <w:spacing w:after="40"/>
                              <w:rPr>
                                <w:sz w:val="18"/>
                                <w:szCs w:val="18"/>
                              </w:rPr>
                            </w:pPr>
                            <w:r>
                              <w:rPr>
                                <w:sz w:val="18"/>
                                <w:szCs w:val="18"/>
                              </w:rPr>
                              <w:t>Communities Council Far North Queensland</w:t>
                            </w:r>
                          </w:p>
                        </w:txbxContent>
                      </wps:txbx>
                      <wps:bodyPr rot="0" vert="horz" wrap="square" lIns="91440" tIns="45720" rIns="91440" bIns="45720" anchor="t" anchorCtr="0">
                        <a:noAutofit/>
                      </wps:bodyPr>
                    </wps:wsp>
                  </a:graphicData>
                </a:graphic>
              </wp:inline>
            </w:drawing>
          </mc:Choice>
          <mc:Fallback>
            <w:pict>
              <v:roundrect w14:anchorId="7C5A33F4" id="_x0000_s1034" alt="&quot;&quot;" style="width:452.25pt;height:105.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" strokecolor="#002060" strokeweight=".25pt">
                <v:stroke joinstyle="miter"/>
                <v:textbox>
                  <w:txbxContent>
                    <w:p w14:paraId="4EDA3C0A" w14:textId="77777777" w:rsidR="0088306C" w:rsidRDefault="0088306C" w:rsidP="007B23A5">
                      <w:pPr>
                        <w:spacing w:after="40"/>
                        <w:rPr>
                          <w:sz w:val="18"/>
                          <w:szCs w:val="18"/>
                        </w:rPr>
                      </w:pPr>
                      <w:r>
                        <w:rPr>
                          <w:i/>
                          <w:iCs/>
                          <w:sz w:val="18"/>
                          <w:szCs w:val="18"/>
                        </w:rPr>
                        <w:t>‘It is recommended that the Approved Employers of workers coming to Australia under the auspices of the Seasonal Worker Programme and the Pacific Labour Scheme, are provided with cross cultural training in order that they better understand and recognise the cultures, practices, and traditions of their workers.’</w:t>
                      </w:r>
                    </w:p>
                    <w:p w14:paraId="253E17E9" w14:textId="77777777" w:rsidR="0088306C" w:rsidRPr="00150DFD" w:rsidRDefault="0088306C" w:rsidP="007B23A5">
                      <w:pPr>
                        <w:spacing w:after="40"/>
                        <w:rPr>
                          <w:sz w:val="18"/>
                          <w:szCs w:val="18"/>
                        </w:rPr>
                      </w:pPr>
                      <w:r>
                        <w:rPr>
                          <w:sz w:val="18"/>
                          <w:szCs w:val="18"/>
                        </w:rPr>
                        <w:t>Australian Catholic Religious Against Trafficking of Humans (ACRATH)</w:t>
                      </w:r>
                    </w:p>
                    <w:p w14:paraId="5A281C09" w14:textId="77777777" w:rsidR="0088306C" w:rsidRDefault="0088306C" w:rsidP="007B23A5">
                      <w:pPr>
                        <w:spacing w:after="40"/>
                        <w:rPr>
                          <w:sz w:val="18"/>
                          <w:szCs w:val="18"/>
                        </w:rPr>
                      </w:pPr>
                      <w:r>
                        <w:rPr>
                          <w:i/>
                          <w:iCs/>
                          <w:sz w:val="18"/>
                          <w:szCs w:val="18"/>
                        </w:rPr>
                        <w:t>‘There is a clear lack of appropriate and effective cultural training for Pacific Islander employees coming to Australia. There is a clear lack of information with regards to the subculture, systems of government, local laws, etc.’</w:t>
                      </w:r>
                    </w:p>
                    <w:p w14:paraId="4FC86FAB" w14:textId="77777777" w:rsidR="0088306C" w:rsidRPr="00150DFD" w:rsidRDefault="0088306C" w:rsidP="007B23A5">
                      <w:pPr>
                        <w:spacing w:after="40"/>
                        <w:rPr>
                          <w:sz w:val="18"/>
                          <w:szCs w:val="18"/>
                        </w:rPr>
                      </w:pPr>
                      <w:r>
                        <w:rPr>
                          <w:sz w:val="18"/>
                          <w:szCs w:val="18"/>
                        </w:rPr>
                        <w:t>Communities Council Far North Queensland</w:t>
                      </w:r>
                    </w:p>
                  </w:txbxContent>
                </v:textbox>
                <w10:anchorlock/>
              </v:roundrect>
            </w:pict>
          </mc:Fallback>
        </mc:AlternateContent>
      </w:r>
    </w:p>
    <w:p w14:paraId="6977CF59" w14:textId="6BAEF8E1" w:rsidR="0031465F" w:rsidRDefault="0031465F" w:rsidP="0014590C">
      <w:pPr>
        <w:rPr>
          <w:i/>
        </w:rPr>
      </w:pPr>
      <w:r>
        <w:rPr>
          <w:i/>
        </w:rPr>
        <w:t>Cultural competency</w:t>
      </w:r>
    </w:p>
    <w:p w14:paraId="653416BB" w14:textId="34A5E771" w:rsidR="0031465F" w:rsidRPr="00AC6B3C" w:rsidRDefault="0031465F" w:rsidP="0031465F">
      <w:pPr>
        <w:rPr>
          <w:iCs/>
        </w:rPr>
      </w:pPr>
      <w:r>
        <w:rPr>
          <w:iCs/>
        </w:rPr>
        <w:t xml:space="preserve">Many stakeholders noted that </w:t>
      </w:r>
      <w:r w:rsidR="0031241B">
        <w:rPr>
          <w:b/>
          <w:bCs/>
          <w:iCs/>
        </w:rPr>
        <w:t>improve cross</w:t>
      </w:r>
      <w:r w:rsidRPr="00B75DB8">
        <w:rPr>
          <w:b/>
          <w:bCs/>
          <w:iCs/>
        </w:rPr>
        <w:t>-cultural understanding</w:t>
      </w:r>
      <w:r>
        <w:rPr>
          <w:b/>
          <w:bCs/>
          <w:iCs/>
        </w:rPr>
        <w:t xml:space="preserve"> </w:t>
      </w:r>
      <w:r w:rsidR="00003890">
        <w:rPr>
          <w:iCs/>
        </w:rPr>
        <w:t>would help</w:t>
      </w:r>
      <w:r w:rsidR="00904284">
        <w:rPr>
          <w:iCs/>
        </w:rPr>
        <w:t xml:space="preserve"> avoid misunderstandings</w:t>
      </w:r>
      <w:r w:rsidR="00003890">
        <w:rPr>
          <w:iCs/>
        </w:rPr>
        <w:t>;</w:t>
      </w:r>
      <w:r w:rsidR="00904284">
        <w:rPr>
          <w:iCs/>
        </w:rPr>
        <w:t xml:space="preserve"> resolve issues in a </w:t>
      </w:r>
      <w:proofErr w:type="gramStart"/>
      <w:r w:rsidR="0031241B">
        <w:rPr>
          <w:iCs/>
        </w:rPr>
        <w:t xml:space="preserve">more </w:t>
      </w:r>
      <w:r w:rsidR="00904284">
        <w:rPr>
          <w:iCs/>
        </w:rPr>
        <w:t>timely</w:t>
      </w:r>
      <w:proofErr w:type="gramEnd"/>
      <w:r w:rsidR="00904284">
        <w:rPr>
          <w:iCs/>
        </w:rPr>
        <w:t xml:space="preserve"> manner; enhance worker and employer communication and relationships</w:t>
      </w:r>
      <w:r w:rsidR="00003890">
        <w:rPr>
          <w:iCs/>
        </w:rPr>
        <w:t>;</w:t>
      </w:r>
      <w:r w:rsidR="00904284">
        <w:rPr>
          <w:iCs/>
        </w:rPr>
        <w:t xml:space="preserve"> and build trust. S</w:t>
      </w:r>
      <w:r w:rsidRPr="00FB3E1B">
        <w:rPr>
          <w:iCs/>
        </w:rPr>
        <w:t>trategies</w:t>
      </w:r>
      <w:r>
        <w:rPr>
          <w:iCs/>
        </w:rPr>
        <w:t xml:space="preserve"> suggested</w:t>
      </w:r>
      <w:r w:rsidRPr="00FB3E1B">
        <w:rPr>
          <w:iCs/>
        </w:rPr>
        <w:t xml:space="preserve"> to</w:t>
      </w:r>
      <w:r>
        <w:rPr>
          <w:iCs/>
        </w:rPr>
        <w:t xml:space="preserve"> promote greater understanding include</w:t>
      </w:r>
      <w:r w:rsidR="00003890">
        <w:rPr>
          <w:iCs/>
        </w:rPr>
        <w:t>d</w:t>
      </w:r>
      <w:r>
        <w:rPr>
          <w:iCs/>
        </w:rPr>
        <w:t xml:space="preserve"> </w:t>
      </w:r>
      <w:r w:rsidR="0031241B">
        <w:rPr>
          <w:iCs/>
        </w:rPr>
        <w:t xml:space="preserve">more </w:t>
      </w:r>
      <w:r>
        <w:rPr>
          <w:iCs/>
        </w:rPr>
        <w:t>training and guidance, promoting strong employer-worker relationships</w:t>
      </w:r>
      <w:r w:rsidR="0031241B">
        <w:rPr>
          <w:iCs/>
        </w:rPr>
        <w:t>;</w:t>
      </w:r>
      <w:r>
        <w:rPr>
          <w:iCs/>
        </w:rPr>
        <w:t xml:space="preserve"> cultural, sporting or community groups</w:t>
      </w:r>
      <w:r w:rsidR="0031241B">
        <w:rPr>
          <w:iCs/>
        </w:rPr>
        <w:t>;</w:t>
      </w:r>
      <w:r>
        <w:rPr>
          <w:iCs/>
        </w:rPr>
        <w:t xml:space="preserve"> or reciprocal exchanges. A few stakeholders suggested industry bodies or community groups </w:t>
      </w:r>
      <w:r w:rsidR="0031241B">
        <w:rPr>
          <w:iCs/>
        </w:rPr>
        <w:t xml:space="preserve">could </w:t>
      </w:r>
      <w:r>
        <w:rPr>
          <w:iCs/>
        </w:rPr>
        <w:t xml:space="preserve">be the conduit for such exchanges. </w:t>
      </w:r>
      <w:r w:rsidR="0031241B">
        <w:rPr>
          <w:iCs/>
        </w:rPr>
        <w:t xml:space="preserve">It was also noted that some </w:t>
      </w:r>
      <w:r>
        <w:rPr>
          <w:iCs/>
        </w:rPr>
        <w:t xml:space="preserve">Approved Employers </w:t>
      </w:r>
      <w:r w:rsidR="0031241B">
        <w:rPr>
          <w:iCs/>
        </w:rPr>
        <w:t xml:space="preserve">had </w:t>
      </w:r>
      <w:r>
        <w:rPr>
          <w:iCs/>
        </w:rPr>
        <w:t>travell</w:t>
      </w:r>
      <w:r w:rsidR="0031241B">
        <w:rPr>
          <w:iCs/>
        </w:rPr>
        <w:t>ed</w:t>
      </w:r>
      <w:r>
        <w:rPr>
          <w:iCs/>
        </w:rPr>
        <w:t xml:space="preserve"> to the Pacific and Timor-Leste</w:t>
      </w:r>
      <w:r w:rsidR="0031241B">
        <w:rPr>
          <w:iCs/>
        </w:rPr>
        <w:t>, prior to COVID</w:t>
      </w:r>
      <w:r>
        <w:rPr>
          <w:iCs/>
        </w:rPr>
        <w:t xml:space="preserve">, </w:t>
      </w:r>
      <w:r w:rsidR="0031241B">
        <w:rPr>
          <w:iCs/>
        </w:rPr>
        <w:t xml:space="preserve">and </w:t>
      </w:r>
      <w:r>
        <w:rPr>
          <w:iCs/>
        </w:rPr>
        <w:t>develop</w:t>
      </w:r>
      <w:r w:rsidR="0031241B">
        <w:rPr>
          <w:iCs/>
        </w:rPr>
        <w:t>ed</w:t>
      </w:r>
      <w:r>
        <w:rPr>
          <w:iCs/>
        </w:rPr>
        <w:t xml:space="preserve"> strong relationships with workers and their </w:t>
      </w:r>
      <w:r w:rsidR="0031241B">
        <w:rPr>
          <w:iCs/>
        </w:rPr>
        <w:t xml:space="preserve">home </w:t>
      </w:r>
      <w:r>
        <w:rPr>
          <w:iCs/>
        </w:rPr>
        <w:t>communities.</w:t>
      </w:r>
    </w:p>
    <w:p w14:paraId="4AEEF517" w14:textId="77777777" w:rsidR="0004327B" w:rsidRPr="0074063F" w:rsidRDefault="0004327B" w:rsidP="0004327B">
      <w:pPr>
        <w:rPr>
          <w:i/>
        </w:rPr>
      </w:pPr>
      <w:r w:rsidRPr="0074063F">
        <w:rPr>
          <w:i/>
        </w:rPr>
        <w:t>Recognition of performance and sharing best practice</w:t>
      </w:r>
    </w:p>
    <w:p w14:paraId="6F88626C" w14:textId="7F6670EE" w:rsidR="00904284" w:rsidRDefault="0064694D" w:rsidP="00904284">
      <w:pPr>
        <w:rPr>
          <w:iCs/>
        </w:rPr>
      </w:pPr>
      <w:r>
        <w:rPr>
          <w:iCs/>
        </w:rPr>
        <w:t>Despite</w:t>
      </w:r>
      <w:r w:rsidR="00904284">
        <w:rPr>
          <w:iCs/>
        </w:rPr>
        <w:t xml:space="preserve"> mixed views on which employers the programs should </w:t>
      </w:r>
      <w:r w:rsidR="0004327B">
        <w:rPr>
          <w:iCs/>
        </w:rPr>
        <w:t>ideally serve</w:t>
      </w:r>
      <w:r w:rsidR="00904284">
        <w:rPr>
          <w:iCs/>
        </w:rPr>
        <w:t xml:space="preserve">, it was emphasised by many stakeholders that </w:t>
      </w:r>
      <w:r w:rsidR="00904284" w:rsidRPr="0093235F">
        <w:rPr>
          <w:b/>
          <w:bCs/>
          <w:iCs/>
        </w:rPr>
        <w:t>program standards should not be lowered to accommodate every employer</w:t>
      </w:r>
      <w:r w:rsidR="009C2C4F">
        <w:rPr>
          <w:b/>
          <w:bCs/>
          <w:iCs/>
        </w:rPr>
        <w:t xml:space="preserve"> </w:t>
      </w:r>
      <w:r w:rsidR="009C2C4F" w:rsidRPr="009C2C4F">
        <w:rPr>
          <w:iCs/>
        </w:rPr>
        <w:t>and</w:t>
      </w:r>
      <w:r w:rsidR="009C2C4F">
        <w:rPr>
          <w:iCs/>
        </w:rPr>
        <w:t xml:space="preserve"> </w:t>
      </w:r>
      <w:r w:rsidR="00904284">
        <w:rPr>
          <w:iCs/>
        </w:rPr>
        <w:t>the focus should be on capacity and capability building among employers to develop best practice to meet and exceed baseline program standards.</w:t>
      </w:r>
    </w:p>
    <w:p w14:paraId="1A1DA1FA" w14:textId="77777777" w:rsidR="00064C8C" w:rsidRDefault="002545E5" w:rsidP="0014590C">
      <w:r w:rsidRPr="002545E5">
        <w:rPr>
          <w:b/>
          <w:bCs/>
          <w:i/>
          <w:noProof/>
        </w:rPr>
        <mc:AlternateContent>
          <mc:Choice Requires="wps">
            <w:drawing>
              <wp:inline distT="0" distB="0" distL="0" distR="0" wp14:anchorId="2D7959EE" wp14:editId="2D1D0B9A">
                <wp:extent cx="5715000" cy="638175"/>
                <wp:effectExtent l="0" t="0" r="19050" b="2857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38175"/>
                        </a:xfrm>
                        <a:prstGeom prst="round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19317F3E" w14:textId="3BEB13EA" w:rsidR="0088306C" w:rsidRPr="002545E5" w:rsidRDefault="0088306C">
                            <w:pPr>
                              <w:rPr>
                                <w:sz w:val="18"/>
                                <w:szCs w:val="18"/>
                              </w:rPr>
                            </w:pPr>
                            <w:r>
                              <w:rPr>
                                <w:i/>
                                <w:iCs/>
                                <w:sz w:val="18"/>
                                <w:szCs w:val="18"/>
                              </w:rPr>
                              <w:t>‘</w:t>
                            </w:r>
                            <w:r w:rsidRPr="002545E5">
                              <w:rPr>
                                <w:i/>
                                <w:iCs/>
                                <w:sz w:val="18"/>
                                <w:szCs w:val="18"/>
                              </w:rPr>
                              <w:t xml:space="preserve">Develop and implement a best practice standards/accreditation for AEs to be critiqued against. Promote as a badge of pride to be the “labour mobility employer of choice”. After a set </w:t>
                            </w:r>
                            <w:proofErr w:type="gramStart"/>
                            <w:r w:rsidRPr="002545E5">
                              <w:rPr>
                                <w:i/>
                                <w:iCs/>
                                <w:sz w:val="18"/>
                                <w:szCs w:val="18"/>
                              </w:rPr>
                              <w:t>period of time</w:t>
                            </w:r>
                            <w:proofErr w:type="gramEnd"/>
                            <w:r w:rsidRPr="002545E5">
                              <w:rPr>
                                <w:i/>
                                <w:iCs/>
                                <w:sz w:val="18"/>
                                <w:szCs w:val="18"/>
                              </w:rPr>
                              <w:t>, they require less rigorous monitoring and reporting as they have proven their integrity, ethics and value.</w:t>
                            </w:r>
                            <w:r>
                              <w:rPr>
                                <w:i/>
                                <w:iCs/>
                                <w:sz w:val="18"/>
                                <w:szCs w:val="18"/>
                              </w:rPr>
                              <w:t>’</w:t>
                            </w:r>
                            <w:r w:rsidR="00064C8C">
                              <w:rPr>
                                <w:sz w:val="18"/>
                                <w:szCs w:val="18"/>
                              </w:rPr>
                              <w:t xml:space="preserve"> -</w:t>
                            </w:r>
                            <w:r>
                              <w:rPr>
                                <w:sz w:val="18"/>
                                <w:szCs w:val="18"/>
                              </w:rPr>
                              <w:t>Fiji Ministry of Employment</w:t>
                            </w:r>
                          </w:p>
                        </w:txbxContent>
                      </wps:txbx>
                      <wps:bodyPr rot="0" vert="horz" wrap="square" lIns="91440" tIns="45720" rIns="91440" bIns="45720" anchor="t" anchorCtr="0">
                        <a:noAutofit/>
                      </wps:bodyPr>
                    </wps:wsp>
                  </a:graphicData>
                </a:graphic>
              </wp:inline>
            </w:drawing>
          </mc:Choice>
          <mc:Fallback>
            <w:pict>
              <v:roundrect w14:anchorId="2D7959EE" id="_x0000_s1035" alt="&quot;&quot;" style="width:450pt;height:50.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" fillcolor="white [3201]" strokecolor="#ffc000 [3207]" strokeweight="1pt">
                <v:stroke joinstyle="miter"/>
                <v:textbox>
                  <w:txbxContent>
                    <w:p w14:paraId="19317F3E" w14:textId="3BEB13EA" w:rsidR="0088306C" w:rsidRPr="002545E5" w:rsidRDefault="0088306C">
                      <w:pPr>
                        <w:rPr>
                          <w:sz w:val="18"/>
                          <w:szCs w:val="18"/>
                        </w:rPr>
                      </w:pPr>
                      <w:r>
                        <w:rPr>
                          <w:i/>
                          <w:iCs/>
                          <w:sz w:val="18"/>
                          <w:szCs w:val="18"/>
                        </w:rPr>
                        <w:t>‘</w:t>
                      </w:r>
                      <w:r w:rsidRPr="002545E5">
                        <w:rPr>
                          <w:i/>
                          <w:iCs/>
                          <w:sz w:val="18"/>
                          <w:szCs w:val="18"/>
                        </w:rPr>
                        <w:t xml:space="preserve">Develop and implement a best practice standards/accreditation for AEs to be critiqued against. Promote as a badge of pride to be the “labour mobility employer of choice”. After a set </w:t>
                      </w:r>
                      <w:proofErr w:type="gramStart"/>
                      <w:r w:rsidRPr="002545E5">
                        <w:rPr>
                          <w:i/>
                          <w:iCs/>
                          <w:sz w:val="18"/>
                          <w:szCs w:val="18"/>
                        </w:rPr>
                        <w:t>period of time</w:t>
                      </w:r>
                      <w:proofErr w:type="gramEnd"/>
                      <w:r w:rsidRPr="002545E5">
                        <w:rPr>
                          <w:i/>
                          <w:iCs/>
                          <w:sz w:val="18"/>
                          <w:szCs w:val="18"/>
                        </w:rPr>
                        <w:t>, they require less rigorous monitoring and reporting as they have proven their integrity, ethics and value.</w:t>
                      </w:r>
                      <w:r>
                        <w:rPr>
                          <w:i/>
                          <w:iCs/>
                          <w:sz w:val="18"/>
                          <w:szCs w:val="18"/>
                        </w:rPr>
                        <w:t>’</w:t>
                      </w:r>
                      <w:r w:rsidR="00064C8C">
                        <w:rPr>
                          <w:sz w:val="18"/>
                          <w:szCs w:val="18"/>
                        </w:rPr>
                        <w:t xml:space="preserve"> -</w:t>
                      </w:r>
                      <w:r>
                        <w:rPr>
                          <w:sz w:val="18"/>
                          <w:szCs w:val="18"/>
                        </w:rPr>
                        <w:t>Fiji Ministry of Employment</w:t>
                      </w:r>
                    </w:p>
                  </w:txbxContent>
                </v:textbox>
                <w10:anchorlock/>
              </v:roundrect>
            </w:pict>
          </mc:Fallback>
        </mc:AlternateContent>
      </w:r>
    </w:p>
    <w:p w14:paraId="21ED9DF2" w14:textId="0A668589" w:rsidR="0004327B" w:rsidRDefault="0064694D" w:rsidP="0014590C">
      <w:pPr>
        <w:rPr>
          <w:iCs/>
        </w:rPr>
      </w:pPr>
      <w:proofErr w:type="gramStart"/>
      <w:r>
        <w:t>A large number of</w:t>
      </w:r>
      <w:proofErr w:type="gramEnd"/>
      <w:r w:rsidR="0031465F" w:rsidRPr="00460BF1">
        <w:t xml:space="preserve"> stakeholders</w:t>
      </w:r>
      <w:r w:rsidR="0031465F">
        <w:t xml:space="preserve"> acknowledged the </w:t>
      </w:r>
      <w:r w:rsidR="0031465F" w:rsidRPr="002860C2">
        <w:rPr>
          <w:b/>
          <w:bCs/>
        </w:rPr>
        <w:t>need to recognise performance to promote and encourage best practice</w:t>
      </w:r>
      <w:r w:rsidR="0031465F">
        <w:t xml:space="preserve"> within the programs. </w:t>
      </w:r>
      <w:r w:rsidR="00737771">
        <w:t xml:space="preserve">To achieve this, many recognised the </w:t>
      </w:r>
      <w:r w:rsidR="0031465F" w:rsidRPr="002860C2">
        <w:rPr>
          <w:b/>
          <w:bCs/>
          <w:iCs/>
        </w:rPr>
        <w:t>importance of sharing knowledge and best practice</w:t>
      </w:r>
      <w:r w:rsidR="0031465F">
        <w:rPr>
          <w:iCs/>
        </w:rPr>
        <w:t xml:space="preserve"> among Approved Employers and other relevant stakeholders, </w:t>
      </w:r>
      <w:r w:rsidR="0004327B">
        <w:rPr>
          <w:iCs/>
        </w:rPr>
        <w:t xml:space="preserve">and the need to </w:t>
      </w:r>
      <w:r w:rsidR="0004327B" w:rsidRPr="0004327B">
        <w:rPr>
          <w:b/>
          <w:bCs/>
          <w:iCs/>
        </w:rPr>
        <w:t>foster a culture</w:t>
      </w:r>
      <w:r w:rsidR="0004327B">
        <w:rPr>
          <w:iCs/>
        </w:rPr>
        <w:t xml:space="preserve"> </w:t>
      </w:r>
      <w:r w:rsidR="0031465F" w:rsidRPr="002860C2">
        <w:rPr>
          <w:b/>
          <w:bCs/>
          <w:iCs/>
        </w:rPr>
        <w:t>of continuous improvement</w:t>
      </w:r>
      <w:r w:rsidR="0031465F">
        <w:rPr>
          <w:iCs/>
        </w:rPr>
        <w:t xml:space="preserve">. Many noted that there </w:t>
      </w:r>
      <w:r w:rsidR="0004327B">
        <w:rPr>
          <w:iCs/>
        </w:rPr>
        <w:t xml:space="preserve">was </w:t>
      </w:r>
      <w:r w:rsidR="0031465F">
        <w:rPr>
          <w:iCs/>
        </w:rPr>
        <w:t xml:space="preserve">an opportunity to better capture and share employer and worker experiences and best practice through case studies, </w:t>
      </w:r>
      <w:proofErr w:type="gramStart"/>
      <w:r w:rsidR="0031465F">
        <w:rPr>
          <w:iCs/>
        </w:rPr>
        <w:t>testimonials</w:t>
      </w:r>
      <w:proofErr w:type="gramEnd"/>
      <w:r w:rsidR="0031465F">
        <w:rPr>
          <w:iCs/>
        </w:rPr>
        <w:t xml:space="preserve"> and videos. It was also suggested that groups </w:t>
      </w:r>
      <w:r w:rsidR="0004327B">
        <w:rPr>
          <w:iCs/>
        </w:rPr>
        <w:t xml:space="preserve">such as </w:t>
      </w:r>
      <w:r w:rsidR="0031465F">
        <w:rPr>
          <w:iCs/>
        </w:rPr>
        <w:t xml:space="preserve">the Approved Employers Association or </w:t>
      </w:r>
      <w:r w:rsidR="0004327B">
        <w:rPr>
          <w:iCs/>
        </w:rPr>
        <w:t xml:space="preserve">other </w:t>
      </w:r>
      <w:r w:rsidR="0031465F">
        <w:rPr>
          <w:iCs/>
        </w:rPr>
        <w:t xml:space="preserve">industry bodies </w:t>
      </w:r>
      <w:r w:rsidR="0004327B">
        <w:rPr>
          <w:iCs/>
        </w:rPr>
        <w:t xml:space="preserve">could be used </w:t>
      </w:r>
      <w:r w:rsidR="0031465F">
        <w:rPr>
          <w:iCs/>
        </w:rPr>
        <w:t>to host forums that encourage</w:t>
      </w:r>
      <w:r w:rsidR="0004327B">
        <w:rPr>
          <w:iCs/>
        </w:rPr>
        <w:t>d</w:t>
      </w:r>
      <w:r w:rsidR="0031465F">
        <w:rPr>
          <w:iCs/>
        </w:rPr>
        <w:t xml:space="preserve"> employers to share their experiences.</w:t>
      </w:r>
    </w:p>
    <w:p w14:paraId="2A57816B" w14:textId="5AC8E6EE" w:rsidR="0004327B" w:rsidRDefault="0004327B" w:rsidP="0004327B">
      <w:pPr>
        <w:rPr>
          <w:i/>
        </w:rPr>
      </w:pPr>
      <w:r>
        <w:rPr>
          <w:i/>
        </w:rPr>
        <w:t>Regional presence</w:t>
      </w:r>
    </w:p>
    <w:p w14:paraId="748B981D" w14:textId="4457DEB7" w:rsidR="0004327B" w:rsidRDefault="0004327B" w:rsidP="0014590C">
      <w:pPr>
        <w:rPr>
          <w:iCs/>
        </w:rPr>
      </w:pPr>
      <w:r>
        <w:rPr>
          <w:iCs/>
        </w:rPr>
        <w:t xml:space="preserve">Another strong theme to emerge in consultations was a desire to see a </w:t>
      </w:r>
      <w:r w:rsidRPr="00B75DB8">
        <w:rPr>
          <w:b/>
          <w:bCs/>
          <w:iCs/>
        </w:rPr>
        <w:t xml:space="preserve">greater </w:t>
      </w:r>
      <w:r>
        <w:rPr>
          <w:b/>
          <w:bCs/>
          <w:iCs/>
        </w:rPr>
        <w:t>program presence</w:t>
      </w:r>
      <w:r>
        <w:rPr>
          <w:iCs/>
        </w:rPr>
        <w:t xml:space="preserve"> in the </w:t>
      </w:r>
      <w:r>
        <w:rPr>
          <w:b/>
          <w:bCs/>
          <w:iCs/>
        </w:rPr>
        <w:t>regions of Australia</w:t>
      </w:r>
      <w:r>
        <w:rPr>
          <w:iCs/>
        </w:rPr>
        <w:t xml:space="preserve"> to improve program delivery. This included </w:t>
      </w:r>
      <w:r w:rsidRPr="00B75DB8">
        <w:rPr>
          <w:b/>
          <w:bCs/>
          <w:iCs/>
        </w:rPr>
        <w:t xml:space="preserve">regional officers who </w:t>
      </w:r>
      <w:r>
        <w:rPr>
          <w:b/>
          <w:bCs/>
          <w:iCs/>
        </w:rPr>
        <w:t xml:space="preserve">knew </w:t>
      </w:r>
      <w:r w:rsidRPr="00B75DB8">
        <w:rPr>
          <w:b/>
          <w:bCs/>
          <w:iCs/>
        </w:rPr>
        <w:t>the region</w:t>
      </w:r>
      <w:r>
        <w:rPr>
          <w:iCs/>
        </w:rPr>
        <w:t xml:space="preserve">, could </w:t>
      </w:r>
      <w:r>
        <w:rPr>
          <w:b/>
          <w:bCs/>
          <w:iCs/>
        </w:rPr>
        <w:t xml:space="preserve">promote the </w:t>
      </w:r>
      <w:proofErr w:type="gramStart"/>
      <w:r>
        <w:rPr>
          <w:b/>
          <w:bCs/>
          <w:iCs/>
        </w:rPr>
        <w:t>programs</w:t>
      </w:r>
      <w:proofErr w:type="gramEnd"/>
      <w:r w:rsidRPr="00B75DB8">
        <w:rPr>
          <w:b/>
          <w:bCs/>
          <w:iCs/>
        </w:rPr>
        <w:t xml:space="preserve"> </w:t>
      </w:r>
      <w:r w:rsidRPr="0064694D">
        <w:rPr>
          <w:iCs/>
        </w:rPr>
        <w:t>and</w:t>
      </w:r>
      <w:r w:rsidRPr="00B75DB8">
        <w:rPr>
          <w:b/>
          <w:bCs/>
          <w:iCs/>
        </w:rPr>
        <w:t xml:space="preserve"> connect </w:t>
      </w:r>
      <w:r>
        <w:rPr>
          <w:b/>
          <w:bCs/>
          <w:iCs/>
        </w:rPr>
        <w:t xml:space="preserve">employers with </w:t>
      </w:r>
      <w:r w:rsidRPr="00B75DB8">
        <w:rPr>
          <w:b/>
          <w:bCs/>
          <w:iCs/>
        </w:rPr>
        <w:t>the right people</w:t>
      </w:r>
      <w:r>
        <w:rPr>
          <w:b/>
          <w:bCs/>
          <w:iCs/>
        </w:rPr>
        <w:t xml:space="preserve"> </w:t>
      </w:r>
      <w:r w:rsidRPr="0064694D">
        <w:rPr>
          <w:iCs/>
        </w:rPr>
        <w:t>and</w:t>
      </w:r>
      <w:r>
        <w:rPr>
          <w:b/>
          <w:bCs/>
          <w:iCs/>
        </w:rPr>
        <w:t xml:space="preserve"> services</w:t>
      </w:r>
      <w:r>
        <w:rPr>
          <w:iCs/>
        </w:rPr>
        <w:t xml:space="preserve">. </w:t>
      </w:r>
    </w:p>
    <w:p w14:paraId="54DEE365" w14:textId="601D8B5A" w:rsidR="0031465F" w:rsidRPr="0004327B" w:rsidRDefault="0014006F" w:rsidP="0014590C">
      <w:pPr>
        <w:rPr>
          <w:b/>
          <w:bCs/>
          <w:iCs/>
          <w:u w:val="single"/>
        </w:rPr>
      </w:pPr>
      <w:r>
        <w:rPr>
          <w:b/>
          <w:bCs/>
          <w:iCs/>
          <w:u w:val="single"/>
        </w:rPr>
        <w:t>W</w:t>
      </w:r>
      <w:r w:rsidR="00904284" w:rsidRPr="0004327B">
        <w:rPr>
          <w:b/>
          <w:bCs/>
          <w:iCs/>
          <w:u w:val="single"/>
        </w:rPr>
        <w:t>orker support</w:t>
      </w:r>
    </w:p>
    <w:p w14:paraId="62BB8AA6" w14:textId="77777777" w:rsidR="00904284" w:rsidRDefault="00904284" w:rsidP="00904284">
      <w:pPr>
        <w:rPr>
          <w:iCs/>
        </w:rPr>
      </w:pPr>
      <w:r>
        <w:rPr>
          <w:i/>
        </w:rPr>
        <w:t>Pre-departure training and preparation</w:t>
      </w:r>
    </w:p>
    <w:p w14:paraId="51B98BA0" w14:textId="6A23007A" w:rsidR="00737771" w:rsidRDefault="00737771" w:rsidP="00737771">
      <w:pPr>
        <w:rPr>
          <w:iCs/>
        </w:rPr>
      </w:pPr>
      <w:r w:rsidRPr="002860C2">
        <w:rPr>
          <w:b/>
          <w:bCs/>
          <w:iCs/>
        </w:rPr>
        <w:t>Pre-departure screening and briefing</w:t>
      </w:r>
      <w:r>
        <w:rPr>
          <w:iCs/>
        </w:rPr>
        <w:t xml:space="preserve"> also emerged as a key theme, with some sectors, particularly meat processing, </w:t>
      </w:r>
      <w:r w:rsidR="0004327B">
        <w:rPr>
          <w:iCs/>
        </w:rPr>
        <w:t>reporting positive outcomes</w:t>
      </w:r>
      <w:r>
        <w:rPr>
          <w:iCs/>
        </w:rPr>
        <w:t xml:space="preserve">, while other sectors, and community and Pacific groups </w:t>
      </w:r>
      <w:r w:rsidR="0004327B">
        <w:rPr>
          <w:iCs/>
        </w:rPr>
        <w:t xml:space="preserve">advocating for a </w:t>
      </w:r>
      <w:r w:rsidRPr="002860C2">
        <w:rPr>
          <w:b/>
          <w:bCs/>
          <w:iCs/>
        </w:rPr>
        <w:t>more comprehensive screening process</w:t>
      </w:r>
      <w:r>
        <w:rPr>
          <w:iCs/>
        </w:rPr>
        <w:t xml:space="preserve"> and </w:t>
      </w:r>
      <w:r w:rsidRPr="002860C2">
        <w:rPr>
          <w:b/>
          <w:bCs/>
          <w:iCs/>
        </w:rPr>
        <w:t>pre-departure briefing</w:t>
      </w:r>
      <w:r w:rsidR="0004327B">
        <w:rPr>
          <w:b/>
          <w:bCs/>
          <w:iCs/>
        </w:rPr>
        <w:t xml:space="preserve">. </w:t>
      </w:r>
      <w:r w:rsidR="0004327B" w:rsidRPr="0004327B">
        <w:rPr>
          <w:iCs/>
        </w:rPr>
        <w:t>These</w:t>
      </w:r>
      <w:r w:rsidR="0004327B">
        <w:rPr>
          <w:b/>
          <w:bCs/>
          <w:iCs/>
        </w:rPr>
        <w:t xml:space="preserve"> </w:t>
      </w:r>
      <w:r w:rsidR="0004327B">
        <w:rPr>
          <w:iCs/>
        </w:rPr>
        <w:t xml:space="preserve">stakeholders suggested pre-departure trainings should include more information on </w:t>
      </w:r>
      <w:r w:rsidRPr="002860C2">
        <w:rPr>
          <w:b/>
          <w:bCs/>
          <w:iCs/>
        </w:rPr>
        <w:t>health, hygiene and food safety</w:t>
      </w:r>
      <w:r w:rsidR="00003890">
        <w:rPr>
          <w:iCs/>
        </w:rPr>
        <w:t xml:space="preserve"> and more </w:t>
      </w:r>
      <w:r w:rsidR="00003890">
        <w:rPr>
          <w:b/>
          <w:bCs/>
          <w:iCs/>
        </w:rPr>
        <w:t>comprehensive coverage</w:t>
      </w:r>
      <w:r w:rsidR="00003890">
        <w:rPr>
          <w:iCs/>
        </w:rPr>
        <w:t xml:space="preserve"> of </w:t>
      </w:r>
      <w:r w:rsidR="00003890">
        <w:rPr>
          <w:b/>
          <w:bCs/>
          <w:iCs/>
        </w:rPr>
        <w:t xml:space="preserve">Australian laws, western </w:t>
      </w:r>
      <w:proofErr w:type="gramStart"/>
      <w:r w:rsidR="00003890">
        <w:rPr>
          <w:b/>
          <w:bCs/>
          <w:iCs/>
        </w:rPr>
        <w:t>culture</w:t>
      </w:r>
      <w:proofErr w:type="gramEnd"/>
      <w:r w:rsidR="00003890">
        <w:rPr>
          <w:b/>
          <w:bCs/>
          <w:iCs/>
        </w:rPr>
        <w:t xml:space="preserve"> </w:t>
      </w:r>
      <w:r w:rsidR="00003890">
        <w:rPr>
          <w:iCs/>
        </w:rPr>
        <w:t xml:space="preserve">and </w:t>
      </w:r>
      <w:r w:rsidR="00003890">
        <w:rPr>
          <w:b/>
          <w:bCs/>
          <w:iCs/>
        </w:rPr>
        <w:t>way</w:t>
      </w:r>
      <w:r w:rsidR="009C2C4F">
        <w:rPr>
          <w:b/>
          <w:bCs/>
          <w:iCs/>
        </w:rPr>
        <w:t>s</w:t>
      </w:r>
      <w:r w:rsidR="00003890">
        <w:rPr>
          <w:b/>
          <w:bCs/>
          <w:iCs/>
        </w:rPr>
        <w:t xml:space="preserve"> of living</w:t>
      </w:r>
      <w:r>
        <w:rPr>
          <w:iCs/>
        </w:rPr>
        <w:t xml:space="preserve">. </w:t>
      </w:r>
    </w:p>
    <w:p w14:paraId="43762585" w14:textId="0C6CDBDA" w:rsidR="00737771" w:rsidRDefault="00737771" w:rsidP="00737771">
      <w:pPr>
        <w:rPr>
          <w:iCs/>
        </w:rPr>
      </w:pPr>
      <w:r>
        <w:rPr>
          <w:iCs/>
        </w:rPr>
        <w:t xml:space="preserve">It was noted by </w:t>
      </w:r>
      <w:proofErr w:type="gramStart"/>
      <w:r>
        <w:rPr>
          <w:iCs/>
        </w:rPr>
        <w:t>a number of</w:t>
      </w:r>
      <w:proofErr w:type="gramEnd"/>
      <w:r>
        <w:rPr>
          <w:iCs/>
        </w:rPr>
        <w:t xml:space="preserve"> stakeholders including employers, community organisations and Pacific community, that the pre-departure briefings rely too heavily on written material to prepare workers for their time in Australia. With many Pacific cultures heavily structured around oral traditions and </w:t>
      </w:r>
      <w:r w:rsidR="0004327B">
        <w:rPr>
          <w:iCs/>
        </w:rPr>
        <w:t xml:space="preserve">often </w:t>
      </w:r>
      <w:r>
        <w:rPr>
          <w:iCs/>
        </w:rPr>
        <w:t xml:space="preserve">reduced literacy rates, </w:t>
      </w:r>
      <w:r w:rsidR="0004327B">
        <w:rPr>
          <w:iCs/>
        </w:rPr>
        <w:t xml:space="preserve">it was suggested that </w:t>
      </w:r>
      <w:r>
        <w:rPr>
          <w:iCs/>
        </w:rPr>
        <w:t xml:space="preserve">workers </w:t>
      </w:r>
      <w:r w:rsidR="0004327B">
        <w:rPr>
          <w:iCs/>
        </w:rPr>
        <w:t xml:space="preserve">were </w:t>
      </w:r>
      <w:r>
        <w:rPr>
          <w:iCs/>
        </w:rPr>
        <w:t>not absorbing enough of the information</w:t>
      </w:r>
      <w:r w:rsidR="00BA4261">
        <w:rPr>
          <w:iCs/>
        </w:rPr>
        <w:t xml:space="preserve">. To overcome these issues, there was support for </w:t>
      </w:r>
      <w:r>
        <w:rPr>
          <w:iCs/>
        </w:rPr>
        <w:t xml:space="preserve">materials </w:t>
      </w:r>
      <w:r w:rsidR="00BA4261">
        <w:rPr>
          <w:iCs/>
        </w:rPr>
        <w:t xml:space="preserve">to </w:t>
      </w:r>
      <w:r>
        <w:rPr>
          <w:iCs/>
        </w:rPr>
        <w:t xml:space="preserve">be provided </w:t>
      </w:r>
      <w:r>
        <w:rPr>
          <w:b/>
          <w:bCs/>
          <w:iCs/>
        </w:rPr>
        <w:t>in-language</w:t>
      </w:r>
      <w:r>
        <w:rPr>
          <w:iCs/>
        </w:rPr>
        <w:t xml:space="preserve"> with </w:t>
      </w:r>
      <w:r w:rsidRPr="002860C2">
        <w:rPr>
          <w:b/>
          <w:bCs/>
          <w:iCs/>
        </w:rPr>
        <w:t>video and in-person briefings</w:t>
      </w:r>
      <w:r>
        <w:rPr>
          <w:iCs/>
        </w:rPr>
        <w:t xml:space="preserve"> also used to </w:t>
      </w:r>
      <w:r w:rsidRPr="002860C2">
        <w:rPr>
          <w:b/>
          <w:bCs/>
          <w:iCs/>
        </w:rPr>
        <w:t>increase workers’ understanding</w:t>
      </w:r>
      <w:r>
        <w:rPr>
          <w:iCs/>
        </w:rPr>
        <w:t xml:space="preserve"> of their rights and entitlements, Australian laws and common customs, and expectations of their placements.</w:t>
      </w:r>
    </w:p>
    <w:p w14:paraId="033475A0" w14:textId="0F4BDBEF" w:rsidR="00737771" w:rsidRDefault="00737771" w:rsidP="00737771">
      <w:pPr>
        <w:rPr>
          <w:iCs/>
        </w:rPr>
      </w:pPr>
      <w:r>
        <w:rPr>
          <w:iCs/>
        </w:rPr>
        <w:t xml:space="preserve">Approved Employers also noted that </w:t>
      </w:r>
      <w:r w:rsidRPr="002860C2">
        <w:rPr>
          <w:b/>
          <w:bCs/>
          <w:iCs/>
        </w:rPr>
        <w:t>pre-departure briefings and on-arrival briefings</w:t>
      </w:r>
      <w:r>
        <w:rPr>
          <w:iCs/>
        </w:rPr>
        <w:t xml:space="preserve"> </w:t>
      </w:r>
      <w:r w:rsidR="00BA4261">
        <w:rPr>
          <w:iCs/>
        </w:rPr>
        <w:t xml:space="preserve">needed to be </w:t>
      </w:r>
      <w:r w:rsidRPr="002860C2">
        <w:rPr>
          <w:b/>
          <w:bCs/>
          <w:iCs/>
        </w:rPr>
        <w:t>consistent and complementary</w:t>
      </w:r>
      <w:r>
        <w:rPr>
          <w:iCs/>
        </w:rPr>
        <w:t xml:space="preserve"> to ensure comprehensive and uniform information for workers.</w:t>
      </w:r>
    </w:p>
    <w:p w14:paraId="5A8A2EC1" w14:textId="16EC7695" w:rsidR="00904284" w:rsidRDefault="00904284" w:rsidP="00904284">
      <w:pPr>
        <w:rPr>
          <w:i/>
        </w:rPr>
      </w:pPr>
      <w:proofErr w:type="gramStart"/>
      <w:r>
        <w:rPr>
          <w:i/>
        </w:rPr>
        <w:t>Worker</w:t>
      </w:r>
      <w:proofErr w:type="gramEnd"/>
      <w:r>
        <w:rPr>
          <w:i/>
        </w:rPr>
        <w:t xml:space="preserve"> pay and conditions</w:t>
      </w:r>
    </w:p>
    <w:p w14:paraId="201D85BD" w14:textId="6A2A9A58" w:rsidR="008473FF" w:rsidRDefault="00BA4261" w:rsidP="008473FF">
      <w:pPr>
        <w:rPr>
          <w:iCs/>
        </w:rPr>
      </w:pPr>
      <w:r>
        <w:rPr>
          <w:iCs/>
        </w:rPr>
        <w:t xml:space="preserve">The consultations revealed some level of </w:t>
      </w:r>
      <w:r w:rsidR="008473FF">
        <w:rPr>
          <w:iCs/>
        </w:rPr>
        <w:t xml:space="preserve">misunderstanding of weekly work hour requirements of the programs and confusion </w:t>
      </w:r>
      <w:r>
        <w:rPr>
          <w:iCs/>
        </w:rPr>
        <w:t xml:space="preserve">about </w:t>
      </w:r>
      <w:r w:rsidR="008473FF">
        <w:rPr>
          <w:iCs/>
        </w:rPr>
        <w:t xml:space="preserve">the horticulture award. Some stakeholders </w:t>
      </w:r>
      <w:r>
        <w:rPr>
          <w:iCs/>
        </w:rPr>
        <w:t xml:space="preserve">suggested the programs provide more </w:t>
      </w:r>
      <w:r w:rsidR="008473FF" w:rsidRPr="008473FF">
        <w:rPr>
          <w:b/>
          <w:bCs/>
          <w:iCs/>
        </w:rPr>
        <w:t>flexibility</w:t>
      </w:r>
      <w:r w:rsidR="008473FF">
        <w:rPr>
          <w:iCs/>
        </w:rPr>
        <w:t xml:space="preserve"> in average </w:t>
      </w:r>
      <w:r w:rsidR="008473FF" w:rsidRPr="008473FF">
        <w:rPr>
          <w:b/>
          <w:bCs/>
          <w:iCs/>
        </w:rPr>
        <w:t>weekly</w:t>
      </w:r>
      <w:r w:rsidR="008473FF">
        <w:rPr>
          <w:iCs/>
        </w:rPr>
        <w:t xml:space="preserve"> </w:t>
      </w:r>
      <w:r w:rsidR="008473FF" w:rsidRPr="008473FF">
        <w:rPr>
          <w:b/>
          <w:bCs/>
          <w:iCs/>
        </w:rPr>
        <w:t>work hour</w:t>
      </w:r>
      <w:r w:rsidR="008473FF">
        <w:rPr>
          <w:iCs/>
        </w:rPr>
        <w:t xml:space="preserve"> and </w:t>
      </w:r>
      <w:r w:rsidR="008473FF" w:rsidRPr="008473FF">
        <w:rPr>
          <w:b/>
          <w:bCs/>
          <w:iCs/>
        </w:rPr>
        <w:t>pay conditions</w:t>
      </w:r>
      <w:r>
        <w:rPr>
          <w:iCs/>
        </w:rPr>
        <w:t>. Th</w:t>
      </w:r>
      <w:r w:rsidR="008473FF">
        <w:rPr>
          <w:iCs/>
        </w:rPr>
        <w:t>e horticulture sector indicat</w:t>
      </w:r>
      <w:r>
        <w:rPr>
          <w:iCs/>
        </w:rPr>
        <w:t>ed</w:t>
      </w:r>
      <w:r w:rsidR="008473FF">
        <w:rPr>
          <w:iCs/>
        </w:rPr>
        <w:t xml:space="preserve"> </w:t>
      </w:r>
      <w:r>
        <w:rPr>
          <w:iCs/>
        </w:rPr>
        <w:t xml:space="preserve">that </w:t>
      </w:r>
      <w:r w:rsidR="008473FF">
        <w:rPr>
          <w:iCs/>
        </w:rPr>
        <w:t xml:space="preserve">the unpredictability of harvests </w:t>
      </w:r>
      <w:r>
        <w:rPr>
          <w:iCs/>
        </w:rPr>
        <w:t xml:space="preserve">resulted in </w:t>
      </w:r>
      <w:r w:rsidR="008473FF">
        <w:rPr>
          <w:iCs/>
        </w:rPr>
        <w:t xml:space="preserve">workers </w:t>
      </w:r>
      <w:r>
        <w:rPr>
          <w:iCs/>
        </w:rPr>
        <w:t xml:space="preserve">being needed by employers for </w:t>
      </w:r>
      <w:r w:rsidR="008473FF">
        <w:rPr>
          <w:iCs/>
        </w:rPr>
        <w:t xml:space="preserve">longer hours some weeks and less </w:t>
      </w:r>
      <w:r>
        <w:rPr>
          <w:iCs/>
        </w:rPr>
        <w:t xml:space="preserve">during </w:t>
      </w:r>
      <w:r w:rsidR="008473FF">
        <w:rPr>
          <w:iCs/>
        </w:rPr>
        <w:t xml:space="preserve">others. Other stakeholders </w:t>
      </w:r>
      <w:r>
        <w:rPr>
          <w:iCs/>
        </w:rPr>
        <w:t xml:space="preserve">noted </w:t>
      </w:r>
      <w:r w:rsidR="008473FF">
        <w:rPr>
          <w:iCs/>
        </w:rPr>
        <w:t>that workers want</w:t>
      </w:r>
      <w:r>
        <w:rPr>
          <w:iCs/>
        </w:rPr>
        <w:t>ed</w:t>
      </w:r>
      <w:r w:rsidR="008473FF">
        <w:rPr>
          <w:iCs/>
        </w:rPr>
        <w:t xml:space="preserve"> to maximise their financial benefit, and </w:t>
      </w:r>
      <w:r>
        <w:rPr>
          <w:iCs/>
        </w:rPr>
        <w:t xml:space="preserve">at times </w:t>
      </w:r>
      <w:r w:rsidR="008473FF">
        <w:rPr>
          <w:iCs/>
        </w:rPr>
        <w:t xml:space="preserve">felt their hours were not enough and wanted to opportunity to increase the income. It was </w:t>
      </w:r>
      <w:r>
        <w:rPr>
          <w:iCs/>
        </w:rPr>
        <w:t xml:space="preserve">recognised </w:t>
      </w:r>
      <w:r w:rsidR="008473FF">
        <w:rPr>
          <w:iCs/>
        </w:rPr>
        <w:t xml:space="preserve">that work hours would need to be regulated to ensure workers </w:t>
      </w:r>
      <w:r>
        <w:rPr>
          <w:iCs/>
        </w:rPr>
        <w:t xml:space="preserve">were </w:t>
      </w:r>
      <w:r w:rsidR="008473FF">
        <w:rPr>
          <w:iCs/>
        </w:rPr>
        <w:t>not overworked</w:t>
      </w:r>
      <w:r>
        <w:rPr>
          <w:iCs/>
        </w:rPr>
        <w:t xml:space="preserve">. </w:t>
      </w:r>
    </w:p>
    <w:p w14:paraId="4BADA453" w14:textId="0883B5C8" w:rsidR="008473FF" w:rsidRDefault="008473FF" w:rsidP="0041446B">
      <w:pPr>
        <w:rPr>
          <w:iCs/>
        </w:rPr>
      </w:pPr>
      <w:r>
        <w:rPr>
          <w:iCs/>
        </w:rPr>
        <w:t>Many community</w:t>
      </w:r>
      <w:r w:rsidR="00003890">
        <w:rPr>
          <w:iCs/>
        </w:rPr>
        <w:t xml:space="preserve"> groups </w:t>
      </w:r>
      <w:r>
        <w:rPr>
          <w:iCs/>
        </w:rPr>
        <w:t>observed</w:t>
      </w:r>
      <w:r w:rsidR="00003890">
        <w:rPr>
          <w:iCs/>
        </w:rPr>
        <w:t xml:space="preserve"> that the use of piece rates was problematic as it </w:t>
      </w:r>
      <w:r w:rsidR="00BA4261">
        <w:rPr>
          <w:iCs/>
        </w:rPr>
        <w:t xml:space="preserve">could </w:t>
      </w:r>
      <w:r w:rsidR="00003890">
        <w:rPr>
          <w:iCs/>
        </w:rPr>
        <w:t>resul</w:t>
      </w:r>
      <w:r w:rsidR="00BA4261">
        <w:rPr>
          <w:iCs/>
        </w:rPr>
        <w:t>t</w:t>
      </w:r>
      <w:r w:rsidR="00003890">
        <w:rPr>
          <w:iCs/>
        </w:rPr>
        <w:t xml:space="preserve"> in workers being paid low wages making </w:t>
      </w:r>
      <w:r>
        <w:rPr>
          <w:iCs/>
        </w:rPr>
        <w:t>budgeting</w:t>
      </w:r>
      <w:r w:rsidR="00003890">
        <w:rPr>
          <w:iCs/>
        </w:rPr>
        <w:t xml:space="preserve"> more difficult and increasing worker fatigue as they pushed themselves to earn more. These stakeholders </w:t>
      </w:r>
      <w:r w:rsidR="00BA4261">
        <w:rPr>
          <w:iCs/>
        </w:rPr>
        <w:t xml:space="preserve">suggested </w:t>
      </w:r>
      <w:r>
        <w:rPr>
          <w:iCs/>
        </w:rPr>
        <w:t xml:space="preserve">employment contracts, particularly wage and working hours, </w:t>
      </w:r>
      <w:r w:rsidR="00BA4261">
        <w:rPr>
          <w:iCs/>
        </w:rPr>
        <w:t xml:space="preserve">needed to be </w:t>
      </w:r>
      <w:r>
        <w:rPr>
          <w:iCs/>
        </w:rPr>
        <w:t>clear</w:t>
      </w:r>
      <w:r w:rsidR="00BA4261">
        <w:rPr>
          <w:iCs/>
        </w:rPr>
        <w:t>er</w:t>
      </w:r>
      <w:r>
        <w:rPr>
          <w:iCs/>
        </w:rPr>
        <w:t xml:space="preserve"> and </w:t>
      </w:r>
      <w:r w:rsidR="00BA4261">
        <w:rPr>
          <w:iCs/>
        </w:rPr>
        <w:t xml:space="preserve">able to be more </w:t>
      </w:r>
      <w:r>
        <w:rPr>
          <w:iCs/>
        </w:rPr>
        <w:t xml:space="preserve">easily understood by workers. </w:t>
      </w:r>
    </w:p>
    <w:p w14:paraId="4371DE31" w14:textId="3B8FC32D" w:rsidR="0041446B" w:rsidRDefault="0041446B" w:rsidP="0041446B">
      <w:pPr>
        <w:rPr>
          <w:iCs/>
        </w:rPr>
      </w:pPr>
      <w:r>
        <w:rPr>
          <w:iCs/>
        </w:rPr>
        <w:t xml:space="preserve">Some stakeholders, including Pacific Country Liaison Officers and Heads of Mission and unions, noted that </w:t>
      </w:r>
      <w:r w:rsidRPr="008473FF">
        <w:rPr>
          <w:b/>
          <w:bCs/>
          <w:iCs/>
        </w:rPr>
        <w:t>superannuation</w:t>
      </w:r>
      <w:r>
        <w:rPr>
          <w:iCs/>
        </w:rPr>
        <w:t xml:space="preserve"> remain</w:t>
      </w:r>
      <w:r w:rsidR="00BA4261">
        <w:rPr>
          <w:iCs/>
        </w:rPr>
        <w:t>ed</w:t>
      </w:r>
      <w:r>
        <w:rPr>
          <w:iCs/>
        </w:rPr>
        <w:t xml:space="preserve"> an </w:t>
      </w:r>
      <w:r w:rsidRPr="008473FF">
        <w:rPr>
          <w:b/>
          <w:bCs/>
          <w:iCs/>
        </w:rPr>
        <w:t>ongoing issue</w:t>
      </w:r>
      <w:r>
        <w:rPr>
          <w:iCs/>
        </w:rPr>
        <w:t xml:space="preserve"> with workers confused about when and how they can claim their </w:t>
      </w:r>
      <w:r w:rsidR="009C2C4F">
        <w:rPr>
          <w:iCs/>
        </w:rPr>
        <w:t xml:space="preserve">accrued </w:t>
      </w:r>
      <w:r>
        <w:rPr>
          <w:iCs/>
        </w:rPr>
        <w:t>super</w:t>
      </w:r>
      <w:r w:rsidR="009C2C4F">
        <w:rPr>
          <w:iCs/>
        </w:rPr>
        <w:t>annuation benefits</w:t>
      </w:r>
      <w:r>
        <w:rPr>
          <w:iCs/>
        </w:rPr>
        <w:t xml:space="preserve">. </w:t>
      </w:r>
    </w:p>
    <w:p w14:paraId="1C8B403A" w14:textId="301EC4A0" w:rsidR="00904284" w:rsidRDefault="00904284" w:rsidP="00904284">
      <w:pPr>
        <w:rPr>
          <w:iCs/>
        </w:rPr>
      </w:pPr>
      <w:r>
        <w:rPr>
          <w:i/>
        </w:rPr>
        <w:t xml:space="preserve">Worker </w:t>
      </w:r>
      <w:r w:rsidR="0014006F">
        <w:rPr>
          <w:i/>
        </w:rPr>
        <w:t>welfare</w:t>
      </w:r>
      <w:r>
        <w:rPr>
          <w:i/>
        </w:rPr>
        <w:t xml:space="preserve"> when in Australia</w:t>
      </w:r>
    </w:p>
    <w:p w14:paraId="7B6FF0CF" w14:textId="0D0F900B" w:rsidR="0041446B" w:rsidRDefault="00BA4261" w:rsidP="0041446B">
      <w:pPr>
        <w:rPr>
          <w:iCs/>
        </w:rPr>
      </w:pPr>
      <w:r>
        <w:rPr>
          <w:iCs/>
        </w:rPr>
        <w:t xml:space="preserve">It was widely acknowledged that </w:t>
      </w:r>
      <w:r w:rsidR="0041446B" w:rsidRPr="002860C2">
        <w:rPr>
          <w:b/>
          <w:bCs/>
          <w:iCs/>
        </w:rPr>
        <w:t>protecting worker welfare</w:t>
      </w:r>
      <w:r w:rsidR="0041446B">
        <w:rPr>
          <w:iCs/>
        </w:rPr>
        <w:t xml:space="preserve">, particularly worker integration in the community, </w:t>
      </w:r>
      <w:r>
        <w:rPr>
          <w:iCs/>
        </w:rPr>
        <w:t xml:space="preserve">was </w:t>
      </w:r>
      <w:r w:rsidR="0041446B" w:rsidRPr="002860C2">
        <w:rPr>
          <w:b/>
          <w:bCs/>
          <w:iCs/>
        </w:rPr>
        <w:t>pivotal to the ongoing success of the programs</w:t>
      </w:r>
      <w:r w:rsidR="0041446B">
        <w:rPr>
          <w:iCs/>
        </w:rPr>
        <w:t xml:space="preserve">. </w:t>
      </w:r>
      <w:r w:rsidR="0041446B" w:rsidRPr="002860C2">
        <w:rPr>
          <w:b/>
          <w:bCs/>
          <w:iCs/>
        </w:rPr>
        <w:t>Pacific governments, LSUs and country liaison officers</w:t>
      </w:r>
      <w:r w:rsidR="0041446B">
        <w:rPr>
          <w:iCs/>
        </w:rPr>
        <w:t xml:space="preserve"> </w:t>
      </w:r>
      <w:r>
        <w:rPr>
          <w:iCs/>
        </w:rPr>
        <w:t xml:space="preserve">also </w:t>
      </w:r>
      <w:r w:rsidR="0041446B">
        <w:rPr>
          <w:iCs/>
        </w:rPr>
        <w:t xml:space="preserve">have an </w:t>
      </w:r>
      <w:r w:rsidR="0041446B" w:rsidRPr="002860C2">
        <w:rPr>
          <w:b/>
          <w:bCs/>
          <w:iCs/>
        </w:rPr>
        <w:t>important role to play</w:t>
      </w:r>
      <w:r w:rsidR="0041446B">
        <w:rPr>
          <w:iCs/>
        </w:rPr>
        <w:t xml:space="preserve"> in worker welfare. </w:t>
      </w:r>
      <w:r w:rsidR="0041446B" w:rsidRPr="002860C2">
        <w:rPr>
          <w:b/>
          <w:bCs/>
          <w:iCs/>
        </w:rPr>
        <w:t>Upfront engagement with diaspora and unions</w:t>
      </w:r>
      <w:r w:rsidR="0041446B">
        <w:rPr>
          <w:iCs/>
        </w:rPr>
        <w:t xml:space="preserve"> was identified as beneficial in providing key support for workers and ensuring obligations </w:t>
      </w:r>
      <w:r>
        <w:rPr>
          <w:iCs/>
        </w:rPr>
        <w:t xml:space="preserve">were </w:t>
      </w:r>
      <w:r w:rsidR="0041446B">
        <w:rPr>
          <w:iCs/>
        </w:rPr>
        <w:t xml:space="preserve">well understood. Diaspora were </w:t>
      </w:r>
      <w:r>
        <w:rPr>
          <w:iCs/>
        </w:rPr>
        <w:t xml:space="preserve">also identified </w:t>
      </w:r>
      <w:r w:rsidR="0041446B">
        <w:rPr>
          <w:iCs/>
        </w:rPr>
        <w:t>as having a key role in connecting workers to the community and providing useful inter-cultural education (for workers and employers) and in-language support</w:t>
      </w:r>
      <w:r>
        <w:rPr>
          <w:iCs/>
        </w:rPr>
        <w:t>, often informally</w:t>
      </w:r>
      <w:r w:rsidR="0041446B">
        <w:rPr>
          <w:iCs/>
        </w:rPr>
        <w:t xml:space="preserve">. </w:t>
      </w:r>
      <w:r w:rsidR="0041446B" w:rsidRPr="002860C2">
        <w:rPr>
          <w:b/>
          <w:bCs/>
          <w:iCs/>
        </w:rPr>
        <w:t>Community care organisations and sporting clubs</w:t>
      </w:r>
      <w:r w:rsidR="0041446B">
        <w:rPr>
          <w:iCs/>
        </w:rPr>
        <w:t xml:space="preserve"> </w:t>
      </w:r>
      <w:r>
        <w:rPr>
          <w:iCs/>
        </w:rPr>
        <w:t xml:space="preserve">provided other opportunities for </w:t>
      </w:r>
      <w:r w:rsidR="0041446B" w:rsidRPr="002860C2">
        <w:rPr>
          <w:b/>
          <w:bCs/>
          <w:iCs/>
        </w:rPr>
        <w:t xml:space="preserve">workers </w:t>
      </w:r>
      <w:r>
        <w:rPr>
          <w:b/>
          <w:bCs/>
          <w:iCs/>
        </w:rPr>
        <w:t xml:space="preserve">to feel </w:t>
      </w:r>
      <w:r w:rsidR="0041446B" w:rsidRPr="002860C2">
        <w:rPr>
          <w:b/>
          <w:bCs/>
          <w:iCs/>
        </w:rPr>
        <w:t>connected to the</w:t>
      </w:r>
      <w:r>
        <w:rPr>
          <w:b/>
          <w:bCs/>
          <w:iCs/>
        </w:rPr>
        <w:t>ir host</w:t>
      </w:r>
      <w:r w:rsidR="0041446B" w:rsidRPr="002860C2">
        <w:rPr>
          <w:b/>
          <w:bCs/>
          <w:iCs/>
        </w:rPr>
        <w:t xml:space="preserve"> community</w:t>
      </w:r>
      <w:r w:rsidR="0041446B">
        <w:rPr>
          <w:iCs/>
        </w:rPr>
        <w:t xml:space="preserve">. A range of stakeholders also noted the </w:t>
      </w:r>
      <w:r w:rsidR="0041446B" w:rsidRPr="002860C2">
        <w:rPr>
          <w:b/>
          <w:bCs/>
          <w:iCs/>
        </w:rPr>
        <w:t>importance</w:t>
      </w:r>
      <w:r w:rsidR="0041446B">
        <w:rPr>
          <w:iCs/>
        </w:rPr>
        <w:t xml:space="preserve"> of ensuring </w:t>
      </w:r>
      <w:r w:rsidR="0041446B" w:rsidRPr="002860C2">
        <w:rPr>
          <w:b/>
          <w:bCs/>
          <w:iCs/>
        </w:rPr>
        <w:t>local councils, local health providers</w:t>
      </w:r>
      <w:r w:rsidR="0041446B">
        <w:rPr>
          <w:iCs/>
        </w:rPr>
        <w:t xml:space="preserve">, including mental health, hospitals, </w:t>
      </w:r>
      <w:proofErr w:type="gramStart"/>
      <w:r w:rsidR="0041446B" w:rsidRPr="002860C2">
        <w:rPr>
          <w:b/>
          <w:bCs/>
          <w:iCs/>
        </w:rPr>
        <w:t>police</w:t>
      </w:r>
      <w:proofErr w:type="gramEnd"/>
      <w:r w:rsidR="0041446B" w:rsidRPr="002860C2">
        <w:rPr>
          <w:b/>
          <w:bCs/>
          <w:iCs/>
        </w:rPr>
        <w:t xml:space="preserve"> and emergency services</w:t>
      </w:r>
      <w:r w:rsidR="0041446B">
        <w:rPr>
          <w:iCs/>
        </w:rPr>
        <w:t xml:space="preserve"> </w:t>
      </w:r>
      <w:r>
        <w:rPr>
          <w:iCs/>
        </w:rPr>
        <w:t xml:space="preserve">were </w:t>
      </w:r>
      <w:r w:rsidR="0041446B">
        <w:rPr>
          <w:iCs/>
        </w:rPr>
        <w:t xml:space="preserve">aware of worker cohorts, </w:t>
      </w:r>
      <w:r w:rsidR="00064C8C">
        <w:rPr>
          <w:iCs/>
        </w:rPr>
        <w:t>and vice versa, to maximise opportunities to support workers during their placements.</w:t>
      </w:r>
      <w:r w:rsidRPr="002545E5">
        <w:rPr>
          <w:b/>
          <w:bCs/>
          <w:i/>
          <w:noProof/>
        </w:rPr>
        <mc:AlternateContent>
          <mc:Choice Requires="wps">
            <w:drawing>
              <wp:inline distT="0" distB="0" distL="0" distR="0" wp14:anchorId="486A3C6B" wp14:editId="0D68B680">
                <wp:extent cx="5718175" cy="2143125"/>
                <wp:effectExtent l="0" t="0" r="15875" b="28575"/>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2143125"/>
                        </a:xfrm>
                        <a:prstGeom prst="roundRect">
                          <a:avLst/>
                        </a:prstGeom>
                        <a:solidFill>
                          <a:srgbClr val="FFFFFF"/>
                        </a:solidFill>
                        <a:ln w="9525">
                          <a:solidFill>
                            <a:srgbClr val="00A278"/>
                          </a:solidFill>
                          <a:miter lim="800000"/>
                          <a:headEnd/>
                          <a:tailEnd/>
                        </a:ln>
                      </wps:spPr>
                      <wps:txbx>
                        <w:txbxContent>
                          <w:p w14:paraId="4EEA98BC" w14:textId="6A39BCCE" w:rsidR="0088306C" w:rsidRPr="002545E5" w:rsidRDefault="0088306C" w:rsidP="002545E5">
                            <w:pPr>
                              <w:rPr>
                                <w:i/>
                                <w:iCs/>
                                <w:sz w:val="18"/>
                                <w:szCs w:val="18"/>
                              </w:rPr>
                            </w:pPr>
                            <w:r>
                              <w:rPr>
                                <w:i/>
                                <w:iCs/>
                                <w:sz w:val="18"/>
                                <w:szCs w:val="18"/>
                              </w:rPr>
                              <w:t>‘</w:t>
                            </w:r>
                            <w:r w:rsidRPr="002545E5">
                              <w:rPr>
                                <w:i/>
                                <w:iCs/>
                                <w:sz w:val="18"/>
                                <w:szCs w:val="18"/>
                              </w:rPr>
                              <w:t>Diaspora – Trusted community leaders in Australia to provide pastoral care as they understand the culture better and have been living in Australia and familiar on how things work in Australia. However, for the diaspora to fully support worker welfare needs, they need to be better informed, to understand the different aspects of the programs.</w:t>
                            </w:r>
                          </w:p>
                          <w:p w14:paraId="216BC933" w14:textId="77777777" w:rsidR="0088306C" w:rsidRPr="002545E5" w:rsidRDefault="0088306C" w:rsidP="002545E5">
                            <w:pPr>
                              <w:rPr>
                                <w:i/>
                                <w:iCs/>
                                <w:sz w:val="18"/>
                                <w:szCs w:val="18"/>
                              </w:rPr>
                            </w:pPr>
                            <w:r w:rsidRPr="002545E5">
                              <w:rPr>
                                <w:i/>
                                <w:iCs/>
                                <w:sz w:val="18"/>
                                <w:szCs w:val="18"/>
                              </w:rPr>
                              <w:t>The Liaison Officer is a very</w:t>
                            </w:r>
                            <w:r>
                              <w:t xml:space="preserve"> </w:t>
                            </w:r>
                            <w:r w:rsidRPr="002545E5">
                              <w:rPr>
                                <w:i/>
                                <w:iCs/>
                                <w:sz w:val="18"/>
                                <w:szCs w:val="18"/>
                              </w:rPr>
                              <w:t>important role for any country participating in the SWP and PLS program. The LO supports the</w:t>
                            </w:r>
                            <w:r>
                              <w:t xml:space="preserve"> </w:t>
                            </w:r>
                            <w:r w:rsidRPr="002545E5">
                              <w:rPr>
                                <w:i/>
                                <w:iCs/>
                                <w:sz w:val="18"/>
                                <w:szCs w:val="18"/>
                              </w:rPr>
                              <w:t>delivering of good outcomes in relation worker welfare as the link between the workers, the LSU, the mission, diaspora, PLF and AEs. The LO is the person on the ground who monitors workers</w:t>
                            </w:r>
                            <w:r>
                              <w:t xml:space="preserve"> </w:t>
                            </w:r>
                            <w:r w:rsidRPr="002545E5">
                              <w:rPr>
                                <w:i/>
                                <w:iCs/>
                                <w:sz w:val="18"/>
                                <w:szCs w:val="18"/>
                              </w:rPr>
                              <w:t>welfare and always advancing their well-being within the program requirements and</w:t>
                            </w:r>
                            <w:r>
                              <w:t xml:space="preserve"> </w:t>
                            </w:r>
                            <w:r w:rsidRPr="002545E5">
                              <w:rPr>
                                <w:i/>
                                <w:iCs/>
                                <w:sz w:val="18"/>
                                <w:szCs w:val="18"/>
                              </w:rPr>
                              <w:t>legislative parameters. The LO also acts as an overseer holding AEs, workers, diaspora accountable for any actions taken that is not in the best interests of the program and stakeholders involved. The LO also has a role of working with the enforcement agencies in Australia.</w:t>
                            </w:r>
                          </w:p>
                          <w:p w14:paraId="21154A5B" w14:textId="77777777" w:rsidR="0088306C" w:rsidRPr="002545E5" w:rsidRDefault="0088306C" w:rsidP="002545E5">
                            <w:pPr>
                              <w:rPr>
                                <w:sz w:val="18"/>
                                <w:szCs w:val="18"/>
                              </w:rPr>
                            </w:pPr>
                            <w:r>
                              <w:rPr>
                                <w:sz w:val="18"/>
                                <w:szCs w:val="18"/>
                              </w:rPr>
                              <w:t>Fiji Ministry of Employment</w:t>
                            </w:r>
                          </w:p>
                        </w:txbxContent>
                      </wps:txbx>
                      <wps:bodyPr rot="0" vert="horz" wrap="square" lIns="91440" tIns="45720" rIns="91440" bIns="45720" anchor="t" anchorCtr="0">
                        <a:noAutofit/>
                      </wps:bodyPr>
                    </wps:wsp>
                  </a:graphicData>
                </a:graphic>
              </wp:inline>
            </w:drawing>
          </mc:Choice>
          <mc:Fallback>
            <w:pict>
              <v:roundrect w14:anchorId="486A3C6B" id="Text Box 4" o:spid="_x0000_s1036" alt="&quot;&quot;" style="width:450.25pt;height:168.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" strokecolor="#00a278">
                <v:stroke joinstyle="miter"/>
                <v:textbox>
                  <w:txbxContent>
                    <w:p w14:paraId="4EEA98BC" w14:textId="6A39BCCE" w:rsidR="0088306C" w:rsidRPr="002545E5" w:rsidRDefault="0088306C" w:rsidP="002545E5">
                      <w:pPr>
                        <w:rPr>
                          <w:i/>
                          <w:iCs/>
                          <w:sz w:val="18"/>
                          <w:szCs w:val="18"/>
                        </w:rPr>
                      </w:pPr>
                      <w:r>
                        <w:rPr>
                          <w:i/>
                          <w:iCs/>
                          <w:sz w:val="18"/>
                          <w:szCs w:val="18"/>
                        </w:rPr>
                        <w:t>‘</w:t>
                      </w:r>
                      <w:r w:rsidRPr="002545E5">
                        <w:rPr>
                          <w:i/>
                          <w:iCs/>
                          <w:sz w:val="18"/>
                          <w:szCs w:val="18"/>
                        </w:rPr>
                        <w:t>Diaspora – Trusted community leaders in Australia to provide pastoral care as they understand the culture better and have been living in Australia and familiar on how things work in Australia. However, for the diaspora to fully support worker welfare needs, they need to be better informed, to understand the different aspects of the programs.</w:t>
                      </w:r>
                    </w:p>
                    <w:p w14:paraId="216BC933" w14:textId="77777777" w:rsidR="0088306C" w:rsidRPr="002545E5" w:rsidRDefault="0088306C" w:rsidP="002545E5">
                      <w:pPr>
                        <w:rPr>
                          <w:i/>
                          <w:iCs/>
                          <w:sz w:val="18"/>
                          <w:szCs w:val="18"/>
                        </w:rPr>
                      </w:pPr>
                      <w:r w:rsidRPr="002545E5">
                        <w:rPr>
                          <w:i/>
                          <w:iCs/>
                          <w:sz w:val="18"/>
                          <w:szCs w:val="18"/>
                        </w:rPr>
                        <w:t>The Liaison Officer is a very</w:t>
                      </w:r>
                      <w:r>
                        <w:t xml:space="preserve"> </w:t>
                      </w:r>
                      <w:r w:rsidRPr="002545E5">
                        <w:rPr>
                          <w:i/>
                          <w:iCs/>
                          <w:sz w:val="18"/>
                          <w:szCs w:val="18"/>
                        </w:rPr>
                        <w:t>important role for any country participating in the SWP and PLS program. The LO supports the</w:t>
                      </w:r>
                      <w:r>
                        <w:t xml:space="preserve"> </w:t>
                      </w:r>
                      <w:r w:rsidRPr="002545E5">
                        <w:rPr>
                          <w:i/>
                          <w:iCs/>
                          <w:sz w:val="18"/>
                          <w:szCs w:val="18"/>
                        </w:rPr>
                        <w:t>delivering of good outcomes in relation worker welfare as the link between the workers, the LSU, the mission, diaspora, PLF and AEs. The LO is the person on the ground who monitors workers</w:t>
                      </w:r>
                      <w:r>
                        <w:t xml:space="preserve"> </w:t>
                      </w:r>
                      <w:r w:rsidRPr="002545E5">
                        <w:rPr>
                          <w:i/>
                          <w:iCs/>
                          <w:sz w:val="18"/>
                          <w:szCs w:val="18"/>
                        </w:rPr>
                        <w:t>welfare and always advancing their well-being within the program requirements and</w:t>
                      </w:r>
                      <w:r>
                        <w:t xml:space="preserve"> </w:t>
                      </w:r>
                      <w:r w:rsidRPr="002545E5">
                        <w:rPr>
                          <w:i/>
                          <w:iCs/>
                          <w:sz w:val="18"/>
                          <w:szCs w:val="18"/>
                        </w:rPr>
                        <w:t>legislative parameters. The LO also acts as an overseer holding AEs, workers, diaspora accountable for any actions taken that is not in the best interests of the program and stakeholders involved. The LO also has a role of working with the enforcement agencies in Australia.</w:t>
                      </w:r>
                    </w:p>
                    <w:p w14:paraId="21154A5B" w14:textId="77777777" w:rsidR="0088306C" w:rsidRPr="002545E5" w:rsidRDefault="0088306C" w:rsidP="002545E5">
                      <w:pPr>
                        <w:rPr>
                          <w:sz w:val="18"/>
                          <w:szCs w:val="18"/>
                        </w:rPr>
                      </w:pPr>
                      <w:r>
                        <w:rPr>
                          <w:sz w:val="18"/>
                          <w:szCs w:val="18"/>
                        </w:rPr>
                        <w:t>Fiji Ministry of Employment</w:t>
                      </w:r>
                    </w:p>
                  </w:txbxContent>
                </v:textbox>
                <w10:anchorlock/>
              </v:roundrect>
            </w:pict>
          </mc:Fallback>
        </mc:AlternateContent>
      </w:r>
    </w:p>
    <w:p w14:paraId="10762D76" w14:textId="066FD48C" w:rsidR="0041446B" w:rsidRDefault="0041446B" w:rsidP="0041446B">
      <w:pPr>
        <w:rPr>
          <w:iCs/>
        </w:rPr>
      </w:pPr>
      <w:r w:rsidRPr="002860C2">
        <w:rPr>
          <w:b/>
          <w:bCs/>
          <w:iCs/>
        </w:rPr>
        <w:t>Some</w:t>
      </w:r>
      <w:r>
        <w:rPr>
          <w:iCs/>
        </w:rPr>
        <w:t xml:space="preserve"> stakeholders </w:t>
      </w:r>
      <w:r w:rsidR="00BA4261">
        <w:rPr>
          <w:iCs/>
        </w:rPr>
        <w:t xml:space="preserve">observed </w:t>
      </w:r>
      <w:r>
        <w:rPr>
          <w:iCs/>
        </w:rPr>
        <w:t xml:space="preserve">that </w:t>
      </w:r>
      <w:r w:rsidRPr="002860C2">
        <w:rPr>
          <w:b/>
          <w:bCs/>
          <w:iCs/>
        </w:rPr>
        <w:t>workers</w:t>
      </w:r>
      <w:r>
        <w:rPr>
          <w:iCs/>
        </w:rPr>
        <w:t xml:space="preserve"> who </w:t>
      </w:r>
      <w:r w:rsidR="00BA4261">
        <w:rPr>
          <w:iCs/>
        </w:rPr>
        <w:t xml:space="preserve">had </w:t>
      </w:r>
      <w:r>
        <w:rPr>
          <w:iCs/>
        </w:rPr>
        <w:t xml:space="preserve">a </w:t>
      </w:r>
      <w:r w:rsidRPr="002860C2">
        <w:rPr>
          <w:b/>
          <w:bCs/>
          <w:iCs/>
        </w:rPr>
        <w:t>stronger relationship with employers</w:t>
      </w:r>
      <w:r>
        <w:rPr>
          <w:iCs/>
        </w:rPr>
        <w:t xml:space="preserve"> ha</w:t>
      </w:r>
      <w:r w:rsidR="00BA4261">
        <w:rPr>
          <w:iCs/>
        </w:rPr>
        <w:t>d</w:t>
      </w:r>
      <w:r>
        <w:rPr>
          <w:iCs/>
        </w:rPr>
        <w:t xml:space="preserve"> </w:t>
      </w:r>
      <w:r w:rsidRPr="002860C2">
        <w:rPr>
          <w:b/>
          <w:bCs/>
          <w:iCs/>
        </w:rPr>
        <w:t>better welfare and wellbeing outcomes</w:t>
      </w:r>
      <w:r>
        <w:rPr>
          <w:iCs/>
        </w:rPr>
        <w:t xml:space="preserve">. </w:t>
      </w:r>
      <w:r w:rsidR="00961807">
        <w:rPr>
          <w:iCs/>
        </w:rPr>
        <w:t xml:space="preserve">Parts </w:t>
      </w:r>
      <w:r w:rsidR="00BA4261">
        <w:rPr>
          <w:iCs/>
        </w:rPr>
        <w:t xml:space="preserve">of the </w:t>
      </w:r>
      <w:r>
        <w:rPr>
          <w:iCs/>
        </w:rPr>
        <w:t xml:space="preserve">horticulture sector </w:t>
      </w:r>
      <w:r w:rsidR="00BA4261">
        <w:rPr>
          <w:iCs/>
        </w:rPr>
        <w:t xml:space="preserve">indicated an interest in </w:t>
      </w:r>
      <w:r>
        <w:rPr>
          <w:iCs/>
        </w:rPr>
        <w:t>Approved Employers tak</w:t>
      </w:r>
      <w:r w:rsidR="00BA4261">
        <w:rPr>
          <w:iCs/>
        </w:rPr>
        <w:t>ing</w:t>
      </w:r>
      <w:r>
        <w:rPr>
          <w:iCs/>
        </w:rPr>
        <w:t xml:space="preserve"> a greater role in managing worker welfare</w:t>
      </w:r>
      <w:r w:rsidR="00961807">
        <w:rPr>
          <w:iCs/>
        </w:rPr>
        <w:t xml:space="preserve">, subject to adequate </w:t>
      </w:r>
      <w:r>
        <w:rPr>
          <w:iCs/>
        </w:rPr>
        <w:t xml:space="preserve">support </w:t>
      </w:r>
      <w:r w:rsidR="00961807">
        <w:rPr>
          <w:iCs/>
        </w:rPr>
        <w:t xml:space="preserve">being provided to </w:t>
      </w:r>
      <w:r>
        <w:rPr>
          <w:iCs/>
        </w:rPr>
        <w:t xml:space="preserve">Approved Employers, </w:t>
      </w:r>
      <w:r w:rsidR="00961807">
        <w:rPr>
          <w:iCs/>
        </w:rPr>
        <w:t xml:space="preserve">and </w:t>
      </w:r>
      <w:r>
        <w:rPr>
          <w:iCs/>
        </w:rPr>
        <w:t xml:space="preserve">ensuring there </w:t>
      </w:r>
      <w:r w:rsidR="00961807">
        <w:rPr>
          <w:iCs/>
        </w:rPr>
        <w:t xml:space="preserve">were </w:t>
      </w:r>
      <w:r>
        <w:rPr>
          <w:iCs/>
        </w:rPr>
        <w:t xml:space="preserve">clear escalation policies and guidelines </w:t>
      </w:r>
      <w:r w:rsidR="00961807">
        <w:rPr>
          <w:iCs/>
        </w:rPr>
        <w:t xml:space="preserve">as well as </w:t>
      </w:r>
      <w:r>
        <w:rPr>
          <w:iCs/>
        </w:rPr>
        <w:t xml:space="preserve">support for time sensitive or </w:t>
      </w:r>
      <w:r w:rsidR="00961807">
        <w:rPr>
          <w:iCs/>
        </w:rPr>
        <w:t xml:space="preserve">serious </w:t>
      </w:r>
      <w:r>
        <w:rPr>
          <w:iCs/>
        </w:rPr>
        <w:t>welfare cases/issues.</w:t>
      </w:r>
    </w:p>
    <w:p w14:paraId="20BACFE0" w14:textId="61B6E017" w:rsidR="0041446B" w:rsidRDefault="00961807" w:rsidP="0041446B">
      <w:pPr>
        <w:rPr>
          <w:iCs/>
        </w:rPr>
      </w:pPr>
      <w:r>
        <w:rPr>
          <w:iCs/>
        </w:rPr>
        <w:t xml:space="preserve">Several stakeholder groups </w:t>
      </w:r>
      <w:r w:rsidR="0041446B">
        <w:rPr>
          <w:iCs/>
        </w:rPr>
        <w:t>noted that there need</w:t>
      </w:r>
      <w:r>
        <w:rPr>
          <w:iCs/>
        </w:rPr>
        <w:t>ed</w:t>
      </w:r>
      <w:r w:rsidR="0041446B">
        <w:rPr>
          <w:iCs/>
        </w:rPr>
        <w:t xml:space="preserve"> to be better collaboration across government, </w:t>
      </w:r>
      <w:r>
        <w:rPr>
          <w:iCs/>
        </w:rPr>
        <w:t>with labour sending units, country liaison officers</w:t>
      </w:r>
      <w:r w:rsidR="0041446B">
        <w:rPr>
          <w:iCs/>
        </w:rPr>
        <w:t xml:space="preserve">, Approved </w:t>
      </w:r>
      <w:proofErr w:type="gramStart"/>
      <w:r w:rsidR="0041446B">
        <w:rPr>
          <w:iCs/>
        </w:rPr>
        <w:t>Employers</w:t>
      </w:r>
      <w:proofErr w:type="gramEnd"/>
      <w:r w:rsidR="0041446B">
        <w:rPr>
          <w:iCs/>
        </w:rPr>
        <w:t xml:space="preserve"> and health insurance providers</w:t>
      </w:r>
      <w:r>
        <w:rPr>
          <w:iCs/>
        </w:rPr>
        <w:t>,</w:t>
      </w:r>
      <w:r w:rsidR="0041446B">
        <w:rPr>
          <w:iCs/>
        </w:rPr>
        <w:t xml:space="preserve"> to assist in delivering holistic and effective worker welfare and health cover solutions.</w:t>
      </w:r>
    </w:p>
    <w:p w14:paraId="4408F1AF" w14:textId="051B1885" w:rsidR="00D76D7E" w:rsidRDefault="00D76D7E" w:rsidP="00D76D7E">
      <w:pPr>
        <w:rPr>
          <w:iCs/>
        </w:rPr>
      </w:pPr>
      <w:r>
        <w:rPr>
          <w:iCs/>
        </w:rPr>
        <w:t xml:space="preserve">Some state and territory </w:t>
      </w:r>
      <w:r w:rsidR="00961807">
        <w:rPr>
          <w:iCs/>
        </w:rPr>
        <w:t xml:space="preserve">governments </w:t>
      </w:r>
      <w:r>
        <w:rPr>
          <w:iCs/>
        </w:rPr>
        <w:t xml:space="preserve">and local councils also </w:t>
      </w:r>
      <w:r w:rsidR="00961807">
        <w:rPr>
          <w:iCs/>
        </w:rPr>
        <w:t xml:space="preserve">requested access to </w:t>
      </w:r>
      <w:r>
        <w:rPr>
          <w:iCs/>
        </w:rPr>
        <w:t xml:space="preserve">data </w:t>
      </w:r>
      <w:r w:rsidR="00ED48A4">
        <w:rPr>
          <w:iCs/>
        </w:rPr>
        <w:t>on</w:t>
      </w:r>
      <w:r>
        <w:rPr>
          <w:iCs/>
        </w:rPr>
        <w:t xml:space="preserve"> where workers </w:t>
      </w:r>
      <w:r w:rsidR="00961807">
        <w:rPr>
          <w:iCs/>
        </w:rPr>
        <w:t xml:space="preserve">were </w:t>
      </w:r>
      <w:r>
        <w:rPr>
          <w:iCs/>
        </w:rPr>
        <w:t xml:space="preserve">located to </w:t>
      </w:r>
      <w:r w:rsidR="00961807">
        <w:rPr>
          <w:iCs/>
        </w:rPr>
        <w:t xml:space="preserve">better </w:t>
      </w:r>
      <w:r>
        <w:rPr>
          <w:iCs/>
        </w:rPr>
        <w:t xml:space="preserve">understand where support or resources </w:t>
      </w:r>
      <w:r w:rsidR="00961807">
        <w:rPr>
          <w:iCs/>
        </w:rPr>
        <w:t xml:space="preserve">were </w:t>
      </w:r>
      <w:r>
        <w:rPr>
          <w:iCs/>
        </w:rPr>
        <w:t>needed.</w:t>
      </w:r>
    </w:p>
    <w:p w14:paraId="66284CAD" w14:textId="5DFB2863" w:rsidR="00904284" w:rsidRDefault="00904284" w:rsidP="00405EC7">
      <w:pPr>
        <w:rPr>
          <w:i/>
        </w:rPr>
      </w:pPr>
      <w:r w:rsidRPr="00904284">
        <w:rPr>
          <w:b/>
          <w:bCs/>
          <w:i/>
        </w:rPr>
        <w:t xml:space="preserve">In-country </w:t>
      </w:r>
      <w:r>
        <w:rPr>
          <w:b/>
          <w:bCs/>
          <w:i/>
        </w:rPr>
        <w:t>activities</w:t>
      </w:r>
    </w:p>
    <w:p w14:paraId="7A84A1E4" w14:textId="538D255C" w:rsidR="00904284" w:rsidRPr="00904284" w:rsidRDefault="00904284" w:rsidP="00405EC7">
      <w:pPr>
        <w:rPr>
          <w:i/>
        </w:rPr>
      </w:pPr>
      <w:r w:rsidRPr="00904284">
        <w:rPr>
          <w:i/>
        </w:rPr>
        <w:t xml:space="preserve">Approved Employer and Labour Sending Unit engagement </w:t>
      </w:r>
    </w:p>
    <w:p w14:paraId="6B737ADB" w14:textId="1C8D758E" w:rsidR="0041446B" w:rsidRDefault="0041446B" w:rsidP="0041446B">
      <w:pPr>
        <w:rPr>
          <w:iCs/>
        </w:rPr>
      </w:pPr>
      <w:r>
        <w:rPr>
          <w:iCs/>
        </w:rPr>
        <w:t xml:space="preserve">A key point made by the Pacific Governments </w:t>
      </w:r>
      <w:r w:rsidR="00961807">
        <w:rPr>
          <w:iCs/>
        </w:rPr>
        <w:t xml:space="preserve">was the need </w:t>
      </w:r>
      <w:r>
        <w:rPr>
          <w:iCs/>
        </w:rPr>
        <w:t xml:space="preserve">to ensure that </w:t>
      </w:r>
      <w:r w:rsidRPr="002860C2">
        <w:rPr>
          <w:b/>
          <w:bCs/>
          <w:iCs/>
        </w:rPr>
        <w:t xml:space="preserve">labour sending countries </w:t>
      </w:r>
      <w:r w:rsidR="00961807">
        <w:rPr>
          <w:b/>
          <w:bCs/>
          <w:iCs/>
        </w:rPr>
        <w:t xml:space="preserve">were </w:t>
      </w:r>
      <w:r w:rsidRPr="002860C2">
        <w:rPr>
          <w:b/>
          <w:bCs/>
          <w:iCs/>
        </w:rPr>
        <w:t>involved early</w:t>
      </w:r>
      <w:r>
        <w:rPr>
          <w:iCs/>
        </w:rPr>
        <w:t xml:space="preserve">, particularly in the recruitment and worker mobilisation processes. Many Australian stakeholders also highlighted the need for </w:t>
      </w:r>
      <w:r w:rsidRPr="002860C2">
        <w:rPr>
          <w:b/>
          <w:bCs/>
          <w:iCs/>
        </w:rPr>
        <w:t>more support and involvement of LSUs</w:t>
      </w:r>
      <w:r>
        <w:rPr>
          <w:iCs/>
        </w:rPr>
        <w:t xml:space="preserve">, and direct </w:t>
      </w:r>
      <w:r w:rsidRPr="002860C2">
        <w:rPr>
          <w:b/>
          <w:bCs/>
          <w:iCs/>
        </w:rPr>
        <w:t>collaboration</w:t>
      </w:r>
      <w:r>
        <w:rPr>
          <w:iCs/>
        </w:rPr>
        <w:t xml:space="preserve"> between the </w:t>
      </w:r>
      <w:r w:rsidRPr="002860C2">
        <w:rPr>
          <w:b/>
          <w:bCs/>
          <w:iCs/>
        </w:rPr>
        <w:t>LSUs and Approved Employers</w:t>
      </w:r>
      <w:r>
        <w:rPr>
          <w:iCs/>
        </w:rPr>
        <w:t xml:space="preserve"> to match</w:t>
      </w:r>
      <w:r w:rsidR="00961807">
        <w:rPr>
          <w:iCs/>
        </w:rPr>
        <w:t xml:space="preserve"> </w:t>
      </w:r>
      <w:r>
        <w:rPr>
          <w:iCs/>
        </w:rPr>
        <w:t xml:space="preserve">workers with workforce needs. </w:t>
      </w:r>
    </w:p>
    <w:p w14:paraId="50D702FC" w14:textId="48B2B322" w:rsidR="00737771" w:rsidRPr="00737771" w:rsidRDefault="00737771" w:rsidP="0041446B">
      <w:pPr>
        <w:rPr>
          <w:i/>
        </w:rPr>
      </w:pPr>
      <w:r>
        <w:rPr>
          <w:i/>
        </w:rPr>
        <w:t>Better matching supply and demand</w:t>
      </w:r>
    </w:p>
    <w:p w14:paraId="1183EA47" w14:textId="6E177D7D" w:rsidR="00737771" w:rsidRDefault="00737771" w:rsidP="00737771">
      <w:pPr>
        <w:rPr>
          <w:iCs/>
        </w:rPr>
      </w:pPr>
      <w:r>
        <w:rPr>
          <w:iCs/>
        </w:rPr>
        <w:t xml:space="preserve">Some stakeholders, including Pacific </w:t>
      </w:r>
      <w:r w:rsidR="00786164">
        <w:rPr>
          <w:iCs/>
        </w:rPr>
        <w:t xml:space="preserve">and Timor-Leste </w:t>
      </w:r>
      <w:r>
        <w:rPr>
          <w:iCs/>
        </w:rPr>
        <w:t xml:space="preserve">governments, noted that </w:t>
      </w:r>
      <w:r w:rsidRPr="00737771">
        <w:rPr>
          <w:b/>
          <w:bCs/>
          <w:iCs/>
        </w:rPr>
        <w:t>increased availability of data</w:t>
      </w:r>
      <w:r>
        <w:rPr>
          <w:iCs/>
        </w:rPr>
        <w:t xml:space="preserve"> about </w:t>
      </w:r>
      <w:r w:rsidRPr="00737771">
        <w:rPr>
          <w:b/>
          <w:bCs/>
          <w:iCs/>
        </w:rPr>
        <w:t>labour needs</w:t>
      </w:r>
      <w:r>
        <w:rPr>
          <w:iCs/>
        </w:rPr>
        <w:t xml:space="preserve"> and </w:t>
      </w:r>
      <w:r w:rsidR="00961807">
        <w:rPr>
          <w:iCs/>
        </w:rPr>
        <w:t xml:space="preserve">suggested </w:t>
      </w:r>
      <w:r w:rsidRPr="00737771">
        <w:rPr>
          <w:b/>
          <w:bCs/>
          <w:iCs/>
        </w:rPr>
        <w:t>early forecasting</w:t>
      </w:r>
      <w:r>
        <w:rPr>
          <w:iCs/>
        </w:rPr>
        <w:t xml:space="preserve"> of </w:t>
      </w:r>
      <w:r w:rsidRPr="00737771">
        <w:rPr>
          <w:b/>
          <w:bCs/>
          <w:iCs/>
        </w:rPr>
        <w:t>skill requirements</w:t>
      </w:r>
      <w:r>
        <w:rPr>
          <w:iCs/>
        </w:rPr>
        <w:t xml:space="preserve">, alongside early engagement, would </w:t>
      </w:r>
      <w:r w:rsidRPr="00737771">
        <w:rPr>
          <w:b/>
          <w:bCs/>
          <w:iCs/>
        </w:rPr>
        <w:t>better</w:t>
      </w:r>
      <w:r>
        <w:rPr>
          <w:iCs/>
        </w:rPr>
        <w:t xml:space="preserve"> enable the LSUs to </w:t>
      </w:r>
      <w:r w:rsidRPr="00737771">
        <w:rPr>
          <w:b/>
          <w:bCs/>
          <w:iCs/>
        </w:rPr>
        <w:t>match workers with workforce needs</w:t>
      </w:r>
      <w:r>
        <w:rPr>
          <w:iCs/>
        </w:rPr>
        <w:t>.</w:t>
      </w:r>
    </w:p>
    <w:p w14:paraId="0BF115B9" w14:textId="6411DADA" w:rsidR="0074063F" w:rsidRPr="00904284" w:rsidRDefault="00904284" w:rsidP="00322EDC">
      <w:pPr>
        <w:rPr>
          <w:i/>
        </w:rPr>
      </w:pPr>
      <w:r w:rsidRPr="00904284">
        <w:rPr>
          <w:i/>
        </w:rPr>
        <w:t>Pre-departure health checks</w:t>
      </w:r>
    </w:p>
    <w:p w14:paraId="736DD8AA" w14:textId="67306EE3" w:rsidR="0074063F" w:rsidRDefault="007F7A89" w:rsidP="006D1093">
      <w:pPr>
        <w:rPr>
          <w:iCs/>
        </w:rPr>
      </w:pPr>
      <w:r>
        <w:rPr>
          <w:iCs/>
        </w:rPr>
        <w:t>LSUs</w:t>
      </w:r>
      <w:r w:rsidR="006D1093">
        <w:rPr>
          <w:iCs/>
        </w:rPr>
        <w:t xml:space="preserve"> and community groups also noted that </w:t>
      </w:r>
      <w:r w:rsidR="006D1093" w:rsidRPr="002860C2">
        <w:rPr>
          <w:b/>
          <w:bCs/>
          <w:iCs/>
        </w:rPr>
        <w:t>pre-departure health screening</w:t>
      </w:r>
      <w:r w:rsidR="006D1093">
        <w:rPr>
          <w:iCs/>
        </w:rPr>
        <w:t xml:space="preserve"> could be </w:t>
      </w:r>
      <w:r w:rsidR="006D1093" w:rsidRPr="002860C2">
        <w:rPr>
          <w:b/>
          <w:bCs/>
          <w:iCs/>
        </w:rPr>
        <w:t>improved</w:t>
      </w:r>
      <w:r w:rsidR="006D1093">
        <w:rPr>
          <w:iCs/>
        </w:rPr>
        <w:t xml:space="preserve"> to ensure any </w:t>
      </w:r>
      <w:r w:rsidR="006D1093" w:rsidRPr="002860C2">
        <w:rPr>
          <w:b/>
          <w:bCs/>
          <w:iCs/>
        </w:rPr>
        <w:t xml:space="preserve">pre-existing medical conditions </w:t>
      </w:r>
      <w:r w:rsidR="00961807">
        <w:rPr>
          <w:b/>
          <w:bCs/>
          <w:iCs/>
        </w:rPr>
        <w:t>we</w:t>
      </w:r>
      <w:r w:rsidR="006D1093" w:rsidRPr="002860C2">
        <w:rPr>
          <w:b/>
          <w:bCs/>
          <w:iCs/>
        </w:rPr>
        <w:t>re identified</w:t>
      </w:r>
      <w:r w:rsidR="006D1093">
        <w:rPr>
          <w:iCs/>
        </w:rPr>
        <w:t xml:space="preserve"> and worker eligibility </w:t>
      </w:r>
      <w:r w:rsidR="00961807">
        <w:rPr>
          <w:iCs/>
        </w:rPr>
        <w:t xml:space="preserve">could </w:t>
      </w:r>
      <w:r w:rsidR="006D1093">
        <w:rPr>
          <w:iCs/>
        </w:rPr>
        <w:t>be determined prior to visa application.</w:t>
      </w:r>
      <w:r w:rsidR="00A22BA4">
        <w:rPr>
          <w:iCs/>
        </w:rPr>
        <w:br w:type="page"/>
      </w:r>
    </w:p>
    <w:p w14:paraId="24B4276A" w14:textId="3ADED589" w:rsidR="00443740" w:rsidRDefault="00443740" w:rsidP="00062635">
      <w:pPr>
        <w:pStyle w:val="Heading2"/>
        <w:spacing w:before="0" w:after="0"/>
      </w:pPr>
      <w:r w:rsidRPr="00DD3D66">
        <w:t>Attachment</w:t>
      </w:r>
      <w:r w:rsidR="00C37BD1">
        <w:t xml:space="preserve"> </w:t>
      </w:r>
      <w:r w:rsidR="009C2C4F">
        <w:t>B</w:t>
      </w:r>
      <w:r w:rsidR="00C37BD1">
        <w:t>: virtual and face to face consultation</w:t>
      </w:r>
    </w:p>
    <w:p w14:paraId="2E58CD59" w14:textId="5CAFBA03" w:rsidR="00443740" w:rsidRDefault="00443740" w:rsidP="008377FD">
      <w:pPr>
        <w:pStyle w:val="Heading3"/>
      </w:pPr>
      <w:r>
        <w:t xml:space="preserve">Table 1: </w:t>
      </w:r>
      <w:r w:rsidR="008377FD">
        <w:t>New South Wales C</w:t>
      </w:r>
      <w:r>
        <w:t>onsultations</w:t>
      </w:r>
    </w:p>
    <w:tbl>
      <w:tblPr>
        <w:tblStyle w:val="TableGrid"/>
        <w:tblW w:w="5000" w:type="pct"/>
        <w:tblLook w:val="04A0" w:firstRow="1" w:lastRow="0" w:firstColumn="1" w:lastColumn="0" w:noHBand="0" w:noVBand="1"/>
      </w:tblPr>
      <w:tblGrid>
        <w:gridCol w:w="1837"/>
        <w:gridCol w:w="7179"/>
      </w:tblGrid>
      <w:tr w:rsidR="00A22BA4" w:rsidRPr="00641ADD" w14:paraId="248B3876" w14:textId="77777777" w:rsidTr="007F7C9D">
        <w:trPr>
          <w:tblHeader/>
        </w:trPr>
        <w:tc>
          <w:tcPr>
            <w:tcW w:w="1019" w:type="pct"/>
            <w:tcBorders>
              <w:bottom w:val="single" w:sz="4" w:space="0" w:color="auto"/>
            </w:tcBorders>
            <w:shd w:val="clear" w:color="auto" w:fill="8EAADB" w:themeFill="accent1" w:themeFillTint="99"/>
          </w:tcPr>
          <w:p w14:paraId="476BA3A2" w14:textId="77777777" w:rsidR="00A22BA4" w:rsidRPr="00641ADD" w:rsidRDefault="00A22BA4" w:rsidP="006A47CF">
            <w:pPr>
              <w:rPr>
                <w:b/>
                <w:bCs/>
              </w:rPr>
            </w:pPr>
            <w:r>
              <w:rPr>
                <w:b/>
                <w:bCs/>
              </w:rPr>
              <w:t>Date and time</w:t>
            </w:r>
          </w:p>
        </w:tc>
        <w:tc>
          <w:tcPr>
            <w:tcW w:w="3981" w:type="pct"/>
            <w:tcBorders>
              <w:bottom w:val="single" w:sz="4" w:space="0" w:color="auto"/>
            </w:tcBorders>
            <w:shd w:val="clear" w:color="auto" w:fill="8EAADB" w:themeFill="accent1" w:themeFillTint="99"/>
          </w:tcPr>
          <w:p w14:paraId="0771670E" w14:textId="77777777" w:rsidR="00A22BA4" w:rsidRPr="00641ADD" w:rsidRDefault="00A22BA4" w:rsidP="006A47CF">
            <w:pPr>
              <w:rPr>
                <w:b/>
                <w:bCs/>
              </w:rPr>
            </w:pPr>
            <w:r>
              <w:rPr>
                <w:b/>
                <w:bCs/>
              </w:rPr>
              <w:t>Stakeholders</w:t>
            </w:r>
          </w:p>
        </w:tc>
      </w:tr>
      <w:tr w:rsidR="00A22BA4" w:rsidRPr="003C7299" w14:paraId="039193DA" w14:textId="77777777" w:rsidTr="006A47CF">
        <w:tc>
          <w:tcPr>
            <w:tcW w:w="1019" w:type="pct"/>
          </w:tcPr>
          <w:p w14:paraId="0C01DF70" w14:textId="77777777" w:rsidR="00A22BA4" w:rsidRPr="003C7299" w:rsidRDefault="00A22BA4" w:rsidP="006A47CF">
            <w:pPr>
              <w:rPr>
                <w:sz w:val="20"/>
                <w:szCs w:val="20"/>
              </w:rPr>
            </w:pPr>
            <w:r w:rsidRPr="003C7299">
              <w:rPr>
                <w:sz w:val="20"/>
                <w:szCs w:val="20"/>
              </w:rPr>
              <w:t>Monday 21 June 2021</w:t>
            </w:r>
          </w:p>
        </w:tc>
        <w:tc>
          <w:tcPr>
            <w:tcW w:w="3981" w:type="pct"/>
          </w:tcPr>
          <w:p w14:paraId="3EE573A0" w14:textId="77777777" w:rsidR="00A22BA4" w:rsidRPr="003C7299" w:rsidRDefault="00A22BA4" w:rsidP="006A47CF">
            <w:pPr>
              <w:rPr>
                <w:sz w:val="20"/>
                <w:szCs w:val="20"/>
              </w:rPr>
            </w:pPr>
            <w:r w:rsidRPr="003C7299">
              <w:rPr>
                <w:sz w:val="20"/>
                <w:szCs w:val="20"/>
              </w:rPr>
              <w:t>Leeton Council</w:t>
            </w:r>
          </w:p>
        </w:tc>
      </w:tr>
      <w:tr w:rsidR="00A22BA4" w:rsidRPr="003C7299" w14:paraId="3D59772A" w14:textId="77777777" w:rsidTr="006A47CF">
        <w:tc>
          <w:tcPr>
            <w:tcW w:w="1019" w:type="pct"/>
          </w:tcPr>
          <w:p w14:paraId="02E1B3B1" w14:textId="77777777" w:rsidR="00A22BA4" w:rsidRPr="003C7299" w:rsidRDefault="00A22BA4" w:rsidP="006A47CF">
            <w:pPr>
              <w:rPr>
                <w:sz w:val="20"/>
                <w:szCs w:val="20"/>
              </w:rPr>
            </w:pPr>
            <w:r w:rsidRPr="003C7299">
              <w:rPr>
                <w:sz w:val="20"/>
                <w:szCs w:val="20"/>
              </w:rPr>
              <w:t>Monday 21 June 2021</w:t>
            </w:r>
          </w:p>
        </w:tc>
        <w:tc>
          <w:tcPr>
            <w:tcW w:w="3981" w:type="pct"/>
          </w:tcPr>
          <w:p w14:paraId="27B74832" w14:textId="77777777" w:rsidR="00A22BA4" w:rsidRPr="003C7299" w:rsidRDefault="00A22BA4" w:rsidP="006A47CF">
            <w:pPr>
              <w:rPr>
                <w:sz w:val="20"/>
                <w:szCs w:val="20"/>
              </w:rPr>
            </w:pPr>
            <w:r w:rsidRPr="003C7299">
              <w:rPr>
                <w:sz w:val="20"/>
                <w:szCs w:val="20"/>
              </w:rPr>
              <w:t>Citrus industry</w:t>
            </w:r>
          </w:p>
        </w:tc>
      </w:tr>
      <w:tr w:rsidR="00A22BA4" w:rsidRPr="003C7299" w14:paraId="3B048821" w14:textId="77777777" w:rsidTr="006A47CF">
        <w:tc>
          <w:tcPr>
            <w:tcW w:w="1019" w:type="pct"/>
            <w:tcBorders>
              <w:bottom w:val="single" w:sz="4" w:space="0" w:color="auto"/>
            </w:tcBorders>
          </w:tcPr>
          <w:p w14:paraId="2C3D5E4D" w14:textId="77777777" w:rsidR="00A22BA4" w:rsidRPr="003C7299" w:rsidRDefault="00A22BA4" w:rsidP="006A47CF">
            <w:pPr>
              <w:rPr>
                <w:sz w:val="20"/>
                <w:szCs w:val="20"/>
              </w:rPr>
            </w:pPr>
            <w:r w:rsidRPr="003C7299">
              <w:rPr>
                <w:sz w:val="20"/>
                <w:szCs w:val="20"/>
              </w:rPr>
              <w:t>Tuesday 22 June 2021</w:t>
            </w:r>
          </w:p>
        </w:tc>
        <w:tc>
          <w:tcPr>
            <w:tcW w:w="3981" w:type="pct"/>
            <w:tcBorders>
              <w:bottom w:val="single" w:sz="4" w:space="0" w:color="auto"/>
            </w:tcBorders>
          </w:tcPr>
          <w:p w14:paraId="495773DC" w14:textId="77777777" w:rsidR="00A22BA4" w:rsidRPr="003C7299" w:rsidRDefault="00A22BA4" w:rsidP="006A47CF">
            <w:pPr>
              <w:rPr>
                <w:sz w:val="20"/>
                <w:szCs w:val="20"/>
              </w:rPr>
            </w:pPr>
            <w:r w:rsidRPr="003C7299">
              <w:rPr>
                <w:sz w:val="20"/>
                <w:szCs w:val="20"/>
              </w:rPr>
              <w:t>Teys; RWM; Pacific Labour Scheme workers</w:t>
            </w:r>
          </w:p>
        </w:tc>
      </w:tr>
    </w:tbl>
    <w:p w14:paraId="7AE74B19" w14:textId="6F991E50" w:rsidR="00A22BA4" w:rsidRDefault="00A22BA4" w:rsidP="00A22BA4">
      <w:pPr>
        <w:pStyle w:val="Heading3"/>
      </w:pPr>
      <w:r>
        <w:t>Table 2: Tasmania Consultations</w:t>
      </w:r>
    </w:p>
    <w:tbl>
      <w:tblPr>
        <w:tblStyle w:val="TableGrid"/>
        <w:tblW w:w="5000" w:type="pct"/>
        <w:tblLook w:val="04A0" w:firstRow="1" w:lastRow="0" w:firstColumn="1" w:lastColumn="0" w:noHBand="0" w:noVBand="1"/>
      </w:tblPr>
      <w:tblGrid>
        <w:gridCol w:w="1837"/>
        <w:gridCol w:w="7179"/>
      </w:tblGrid>
      <w:tr w:rsidR="00A22BA4" w:rsidRPr="00641ADD" w14:paraId="399D268A" w14:textId="77777777" w:rsidTr="007F7C9D">
        <w:trPr>
          <w:tblHeader/>
        </w:trPr>
        <w:tc>
          <w:tcPr>
            <w:tcW w:w="1019" w:type="pct"/>
            <w:tcBorders>
              <w:bottom w:val="single" w:sz="4" w:space="0" w:color="auto"/>
            </w:tcBorders>
            <w:shd w:val="clear" w:color="auto" w:fill="8EAADB" w:themeFill="accent1" w:themeFillTint="99"/>
          </w:tcPr>
          <w:p w14:paraId="103D1BC4" w14:textId="77777777" w:rsidR="00A22BA4" w:rsidRPr="00641ADD" w:rsidRDefault="00A22BA4" w:rsidP="006A47CF">
            <w:pPr>
              <w:rPr>
                <w:b/>
                <w:bCs/>
              </w:rPr>
            </w:pPr>
            <w:r>
              <w:rPr>
                <w:b/>
                <w:bCs/>
              </w:rPr>
              <w:t>Date and time</w:t>
            </w:r>
          </w:p>
        </w:tc>
        <w:tc>
          <w:tcPr>
            <w:tcW w:w="3981" w:type="pct"/>
            <w:tcBorders>
              <w:bottom w:val="single" w:sz="4" w:space="0" w:color="auto"/>
            </w:tcBorders>
            <w:shd w:val="clear" w:color="auto" w:fill="8EAADB" w:themeFill="accent1" w:themeFillTint="99"/>
          </w:tcPr>
          <w:p w14:paraId="135EDEFC" w14:textId="77777777" w:rsidR="00A22BA4" w:rsidRPr="00641ADD" w:rsidRDefault="00A22BA4" w:rsidP="006A47CF">
            <w:pPr>
              <w:rPr>
                <w:b/>
                <w:bCs/>
              </w:rPr>
            </w:pPr>
            <w:r>
              <w:rPr>
                <w:b/>
                <w:bCs/>
              </w:rPr>
              <w:t>Stakeholders</w:t>
            </w:r>
          </w:p>
        </w:tc>
      </w:tr>
      <w:tr w:rsidR="00A22BA4" w:rsidRPr="003C7299" w14:paraId="0BB94679" w14:textId="77777777" w:rsidTr="006A47CF">
        <w:tc>
          <w:tcPr>
            <w:tcW w:w="1019" w:type="pct"/>
          </w:tcPr>
          <w:p w14:paraId="5CDC506D" w14:textId="77777777" w:rsidR="00A22BA4" w:rsidRPr="003C7299" w:rsidRDefault="00A22BA4" w:rsidP="006A47CF">
            <w:pPr>
              <w:rPr>
                <w:sz w:val="20"/>
                <w:szCs w:val="20"/>
              </w:rPr>
            </w:pPr>
            <w:r w:rsidRPr="003C7299">
              <w:rPr>
                <w:sz w:val="20"/>
                <w:szCs w:val="20"/>
              </w:rPr>
              <w:t>Monday 28 June 2021</w:t>
            </w:r>
          </w:p>
        </w:tc>
        <w:tc>
          <w:tcPr>
            <w:tcW w:w="3981" w:type="pct"/>
          </w:tcPr>
          <w:p w14:paraId="0B064CB4" w14:textId="77777777" w:rsidR="00A22BA4" w:rsidRPr="003C7299" w:rsidRDefault="00A22BA4" w:rsidP="006A47CF">
            <w:pPr>
              <w:rPr>
                <w:sz w:val="20"/>
                <w:szCs w:val="20"/>
              </w:rPr>
            </w:pPr>
            <w:r w:rsidRPr="003C7299">
              <w:rPr>
                <w:sz w:val="20"/>
                <w:szCs w:val="20"/>
              </w:rPr>
              <w:t>Fruit Growers Tasmania; DPIPWE</w:t>
            </w:r>
          </w:p>
        </w:tc>
      </w:tr>
      <w:tr w:rsidR="00A22BA4" w:rsidRPr="003C7299" w14:paraId="5F291172" w14:textId="77777777" w:rsidTr="006A47CF">
        <w:tc>
          <w:tcPr>
            <w:tcW w:w="1019" w:type="pct"/>
          </w:tcPr>
          <w:p w14:paraId="5DD14275" w14:textId="77777777" w:rsidR="00A22BA4" w:rsidRPr="003C7299" w:rsidRDefault="00A22BA4" w:rsidP="006A47CF">
            <w:pPr>
              <w:rPr>
                <w:sz w:val="20"/>
                <w:szCs w:val="20"/>
              </w:rPr>
            </w:pPr>
            <w:r w:rsidRPr="003C7299">
              <w:rPr>
                <w:sz w:val="20"/>
                <w:szCs w:val="20"/>
              </w:rPr>
              <w:t>Monday 28 June 2021</w:t>
            </w:r>
          </w:p>
        </w:tc>
        <w:tc>
          <w:tcPr>
            <w:tcW w:w="3981" w:type="pct"/>
          </w:tcPr>
          <w:p w14:paraId="3FEF6CAD" w14:textId="77777777" w:rsidR="00A22BA4" w:rsidRPr="003C7299" w:rsidRDefault="00A22BA4" w:rsidP="006A47CF">
            <w:pPr>
              <w:rPr>
                <w:sz w:val="20"/>
                <w:szCs w:val="20"/>
              </w:rPr>
            </w:pPr>
            <w:r w:rsidRPr="003C7299">
              <w:rPr>
                <w:sz w:val="20"/>
                <w:szCs w:val="20"/>
              </w:rPr>
              <w:t>Fruit Growers Tasmania; 3 fruit growers (host employers); DPIPWE</w:t>
            </w:r>
          </w:p>
        </w:tc>
      </w:tr>
      <w:tr w:rsidR="00A22BA4" w:rsidRPr="003C7299" w14:paraId="3CDD80FC" w14:textId="77777777" w:rsidTr="006A47CF">
        <w:tc>
          <w:tcPr>
            <w:tcW w:w="1019" w:type="pct"/>
          </w:tcPr>
          <w:p w14:paraId="458F3222" w14:textId="77777777" w:rsidR="00A22BA4" w:rsidRPr="003C7299" w:rsidRDefault="00A22BA4" w:rsidP="006A47CF">
            <w:pPr>
              <w:rPr>
                <w:sz w:val="20"/>
                <w:szCs w:val="20"/>
              </w:rPr>
            </w:pPr>
            <w:r w:rsidRPr="003C7299">
              <w:rPr>
                <w:sz w:val="20"/>
                <w:szCs w:val="20"/>
              </w:rPr>
              <w:t>Tuesday 29 June 2021</w:t>
            </w:r>
          </w:p>
        </w:tc>
        <w:tc>
          <w:tcPr>
            <w:tcW w:w="3981" w:type="pct"/>
          </w:tcPr>
          <w:p w14:paraId="21831586" w14:textId="77777777" w:rsidR="00A22BA4" w:rsidRPr="003C7299" w:rsidRDefault="00A22BA4" w:rsidP="006A47CF">
            <w:pPr>
              <w:rPr>
                <w:sz w:val="20"/>
                <w:szCs w:val="20"/>
              </w:rPr>
            </w:pPr>
            <w:r w:rsidRPr="003C7299">
              <w:rPr>
                <w:sz w:val="20"/>
                <w:szCs w:val="20"/>
              </w:rPr>
              <w:t>Fruit Growers Tasmania; 4 berry growers; DPIPWE</w:t>
            </w:r>
          </w:p>
        </w:tc>
      </w:tr>
      <w:tr w:rsidR="00A22BA4" w:rsidRPr="003C7299" w14:paraId="256B29DD" w14:textId="77777777" w:rsidTr="006A47CF">
        <w:tc>
          <w:tcPr>
            <w:tcW w:w="1019" w:type="pct"/>
          </w:tcPr>
          <w:p w14:paraId="18AA0C15" w14:textId="77777777" w:rsidR="00A22BA4" w:rsidRPr="003C7299" w:rsidRDefault="00A22BA4" w:rsidP="006A47CF">
            <w:pPr>
              <w:rPr>
                <w:sz w:val="20"/>
                <w:szCs w:val="20"/>
              </w:rPr>
            </w:pPr>
            <w:r w:rsidRPr="003C7299">
              <w:rPr>
                <w:sz w:val="20"/>
                <w:szCs w:val="20"/>
              </w:rPr>
              <w:t>Tuesday 29 June 2021</w:t>
            </w:r>
          </w:p>
        </w:tc>
        <w:tc>
          <w:tcPr>
            <w:tcW w:w="3981" w:type="pct"/>
          </w:tcPr>
          <w:p w14:paraId="4E9E2E83" w14:textId="77777777" w:rsidR="00A22BA4" w:rsidRPr="003C7299" w:rsidRDefault="00A22BA4" w:rsidP="006A47CF">
            <w:pPr>
              <w:rPr>
                <w:sz w:val="20"/>
                <w:szCs w:val="20"/>
              </w:rPr>
            </w:pPr>
            <w:r w:rsidRPr="003C7299">
              <w:rPr>
                <w:sz w:val="20"/>
                <w:szCs w:val="20"/>
              </w:rPr>
              <w:t>Northern Council; DPIPWE</w:t>
            </w:r>
          </w:p>
        </w:tc>
      </w:tr>
      <w:tr w:rsidR="00A22BA4" w:rsidRPr="003C7299" w14:paraId="68717E44" w14:textId="77777777" w:rsidTr="006A47CF">
        <w:tc>
          <w:tcPr>
            <w:tcW w:w="1019" w:type="pct"/>
          </w:tcPr>
          <w:p w14:paraId="1B31C7B2" w14:textId="77777777" w:rsidR="00A22BA4" w:rsidRPr="003C7299" w:rsidRDefault="00A22BA4" w:rsidP="006A47CF">
            <w:pPr>
              <w:rPr>
                <w:sz w:val="20"/>
                <w:szCs w:val="20"/>
              </w:rPr>
            </w:pPr>
            <w:r w:rsidRPr="003C7299">
              <w:rPr>
                <w:sz w:val="20"/>
                <w:szCs w:val="20"/>
              </w:rPr>
              <w:t>Tuesday 29 June 2021</w:t>
            </w:r>
          </w:p>
        </w:tc>
        <w:tc>
          <w:tcPr>
            <w:tcW w:w="3981" w:type="pct"/>
          </w:tcPr>
          <w:p w14:paraId="5FC6CB48" w14:textId="77777777" w:rsidR="00A22BA4" w:rsidRPr="003C7299" w:rsidRDefault="00A22BA4" w:rsidP="006A47CF">
            <w:pPr>
              <w:rPr>
                <w:sz w:val="20"/>
                <w:szCs w:val="20"/>
              </w:rPr>
            </w:pPr>
            <w:r w:rsidRPr="003C7299">
              <w:rPr>
                <w:sz w:val="20"/>
                <w:szCs w:val="20"/>
              </w:rPr>
              <w:t>Tasmanian Farmers and Graziers Association; Dairy Tasmania; Harvest Moon (vegetable grower); DPIPWE</w:t>
            </w:r>
          </w:p>
        </w:tc>
      </w:tr>
      <w:tr w:rsidR="00A22BA4" w:rsidRPr="003C7299" w14:paraId="326A6C64" w14:textId="77777777" w:rsidTr="006A47CF">
        <w:tc>
          <w:tcPr>
            <w:tcW w:w="1019" w:type="pct"/>
            <w:tcBorders>
              <w:bottom w:val="single" w:sz="4" w:space="0" w:color="auto"/>
            </w:tcBorders>
          </w:tcPr>
          <w:p w14:paraId="6505F33B" w14:textId="77777777" w:rsidR="00A22BA4" w:rsidRPr="003C7299" w:rsidRDefault="00A22BA4" w:rsidP="006A47CF">
            <w:pPr>
              <w:rPr>
                <w:sz w:val="20"/>
                <w:szCs w:val="20"/>
              </w:rPr>
            </w:pPr>
            <w:r w:rsidRPr="003C7299">
              <w:rPr>
                <w:sz w:val="20"/>
                <w:szCs w:val="20"/>
              </w:rPr>
              <w:t>Thursday 1 July 2021</w:t>
            </w:r>
          </w:p>
        </w:tc>
        <w:tc>
          <w:tcPr>
            <w:tcW w:w="3981" w:type="pct"/>
            <w:tcBorders>
              <w:bottom w:val="single" w:sz="4" w:space="0" w:color="auto"/>
            </w:tcBorders>
          </w:tcPr>
          <w:p w14:paraId="30511A4B" w14:textId="77777777" w:rsidR="00A22BA4" w:rsidRPr="003C7299" w:rsidRDefault="00A22BA4" w:rsidP="006A47CF">
            <w:pPr>
              <w:rPr>
                <w:sz w:val="20"/>
                <w:szCs w:val="20"/>
              </w:rPr>
            </w:pPr>
            <w:r w:rsidRPr="003C7299">
              <w:rPr>
                <w:sz w:val="20"/>
                <w:szCs w:val="20"/>
              </w:rPr>
              <w:t>Tasmanian Farmers and Graziers Association; Enchanted Isle Farms (Tasmanian representative on NFF Horticulture Council); 40 South Dairies</w:t>
            </w:r>
          </w:p>
        </w:tc>
      </w:tr>
    </w:tbl>
    <w:p w14:paraId="602CE5A9" w14:textId="711EC3CE" w:rsidR="00A22BA4" w:rsidRDefault="00A22BA4" w:rsidP="00A22BA4">
      <w:pPr>
        <w:pStyle w:val="Heading3"/>
      </w:pPr>
      <w:r>
        <w:t>Table 3: Victoria Consultations</w:t>
      </w:r>
    </w:p>
    <w:tbl>
      <w:tblPr>
        <w:tblStyle w:val="TableGrid"/>
        <w:tblW w:w="5000" w:type="pct"/>
        <w:tblLook w:val="04A0" w:firstRow="1" w:lastRow="0" w:firstColumn="1" w:lastColumn="0" w:noHBand="0" w:noVBand="1"/>
      </w:tblPr>
      <w:tblGrid>
        <w:gridCol w:w="1837"/>
        <w:gridCol w:w="7179"/>
      </w:tblGrid>
      <w:tr w:rsidR="00A22BA4" w:rsidRPr="00641ADD" w14:paraId="70FD05C4" w14:textId="77777777" w:rsidTr="007F7C9D">
        <w:trPr>
          <w:tblHeader/>
        </w:trPr>
        <w:tc>
          <w:tcPr>
            <w:tcW w:w="1019" w:type="pct"/>
            <w:tcBorders>
              <w:bottom w:val="single" w:sz="4" w:space="0" w:color="auto"/>
            </w:tcBorders>
            <w:shd w:val="clear" w:color="auto" w:fill="8EAADB" w:themeFill="accent1" w:themeFillTint="99"/>
          </w:tcPr>
          <w:p w14:paraId="38ABB33A" w14:textId="77777777" w:rsidR="00A22BA4" w:rsidRPr="00641ADD" w:rsidRDefault="00A22BA4" w:rsidP="006A47CF">
            <w:pPr>
              <w:rPr>
                <w:b/>
                <w:bCs/>
              </w:rPr>
            </w:pPr>
            <w:r>
              <w:rPr>
                <w:b/>
                <w:bCs/>
              </w:rPr>
              <w:t>Date and time</w:t>
            </w:r>
          </w:p>
        </w:tc>
        <w:tc>
          <w:tcPr>
            <w:tcW w:w="3981" w:type="pct"/>
            <w:tcBorders>
              <w:bottom w:val="single" w:sz="4" w:space="0" w:color="auto"/>
            </w:tcBorders>
            <w:shd w:val="clear" w:color="auto" w:fill="8EAADB" w:themeFill="accent1" w:themeFillTint="99"/>
          </w:tcPr>
          <w:p w14:paraId="2E07816D" w14:textId="77777777" w:rsidR="00A22BA4" w:rsidRPr="00641ADD" w:rsidRDefault="00A22BA4" w:rsidP="006A47CF">
            <w:pPr>
              <w:rPr>
                <w:b/>
                <w:bCs/>
              </w:rPr>
            </w:pPr>
            <w:r>
              <w:rPr>
                <w:b/>
                <w:bCs/>
              </w:rPr>
              <w:t>Stakeholders</w:t>
            </w:r>
          </w:p>
        </w:tc>
      </w:tr>
      <w:tr w:rsidR="00A22BA4" w:rsidRPr="003C7299" w14:paraId="17A0F79D" w14:textId="77777777" w:rsidTr="006A47CF">
        <w:tc>
          <w:tcPr>
            <w:tcW w:w="1019" w:type="pct"/>
          </w:tcPr>
          <w:p w14:paraId="35D321DF" w14:textId="77777777" w:rsidR="00A22BA4" w:rsidRPr="003C7299" w:rsidRDefault="00A22BA4" w:rsidP="006A47CF">
            <w:pPr>
              <w:rPr>
                <w:sz w:val="20"/>
                <w:szCs w:val="20"/>
              </w:rPr>
            </w:pPr>
            <w:r w:rsidRPr="003C7299">
              <w:rPr>
                <w:sz w:val="20"/>
                <w:szCs w:val="20"/>
              </w:rPr>
              <w:t>Wednesday 30 June 2021</w:t>
            </w:r>
          </w:p>
        </w:tc>
        <w:tc>
          <w:tcPr>
            <w:tcW w:w="3981" w:type="pct"/>
          </w:tcPr>
          <w:p w14:paraId="7FC7309D" w14:textId="77777777" w:rsidR="00A22BA4" w:rsidRPr="003C7299" w:rsidRDefault="00A22BA4" w:rsidP="006A47CF">
            <w:pPr>
              <w:rPr>
                <w:sz w:val="20"/>
                <w:szCs w:val="20"/>
              </w:rPr>
            </w:pPr>
            <w:r w:rsidRPr="003C7299">
              <w:rPr>
                <w:sz w:val="20"/>
                <w:szCs w:val="20"/>
              </w:rPr>
              <w:t>Mildura Regional City Council</w:t>
            </w:r>
          </w:p>
        </w:tc>
      </w:tr>
      <w:tr w:rsidR="00A22BA4" w:rsidRPr="003C7299" w14:paraId="413E48CE" w14:textId="77777777" w:rsidTr="006A47CF">
        <w:tc>
          <w:tcPr>
            <w:tcW w:w="1019" w:type="pct"/>
          </w:tcPr>
          <w:p w14:paraId="15481030" w14:textId="77777777" w:rsidR="00A22BA4" w:rsidRPr="003C7299" w:rsidRDefault="00A22BA4" w:rsidP="006A47CF">
            <w:pPr>
              <w:rPr>
                <w:sz w:val="20"/>
                <w:szCs w:val="20"/>
              </w:rPr>
            </w:pPr>
            <w:r w:rsidRPr="003C7299">
              <w:rPr>
                <w:sz w:val="20"/>
                <w:szCs w:val="20"/>
              </w:rPr>
              <w:t>Wednesday 30 June 2021</w:t>
            </w:r>
          </w:p>
        </w:tc>
        <w:tc>
          <w:tcPr>
            <w:tcW w:w="3981" w:type="pct"/>
          </w:tcPr>
          <w:p w14:paraId="08A1C63A" w14:textId="77777777" w:rsidR="00A22BA4" w:rsidRPr="003C7299" w:rsidRDefault="00A22BA4" w:rsidP="006A47CF">
            <w:pPr>
              <w:rPr>
                <w:sz w:val="20"/>
                <w:szCs w:val="20"/>
              </w:rPr>
            </w:pPr>
            <w:r w:rsidRPr="003C7299">
              <w:rPr>
                <w:sz w:val="20"/>
                <w:szCs w:val="20"/>
              </w:rPr>
              <w:t>Citrus Australia; Fruit Master (Australian Table Grapes Association member); Approved Employers Association; Agriculture Victoria</w:t>
            </w:r>
          </w:p>
        </w:tc>
      </w:tr>
      <w:tr w:rsidR="00A22BA4" w:rsidRPr="003C7299" w14:paraId="513EA906" w14:textId="77777777" w:rsidTr="006A47CF">
        <w:tc>
          <w:tcPr>
            <w:tcW w:w="1019" w:type="pct"/>
          </w:tcPr>
          <w:p w14:paraId="0D7BE759" w14:textId="77777777" w:rsidR="00A22BA4" w:rsidRPr="003C7299" w:rsidRDefault="00A22BA4" w:rsidP="006A47CF">
            <w:pPr>
              <w:rPr>
                <w:sz w:val="20"/>
                <w:szCs w:val="20"/>
              </w:rPr>
            </w:pPr>
            <w:r w:rsidRPr="003C7299">
              <w:rPr>
                <w:sz w:val="20"/>
                <w:szCs w:val="20"/>
              </w:rPr>
              <w:t>Wednesday 30 June 2021</w:t>
            </w:r>
          </w:p>
        </w:tc>
        <w:tc>
          <w:tcPr>
            <w:tcW w:w="3981" w:type="pct"/>
          </w:tcPr>
          <w:p w14:paraId="6566F302" w14:textId="77777777" w:rsidR="00A22BA4" w:rsidRPr="003C7299" w:rsidRDefault="00A22BA4" w:rsidP="006A47CF">
            <w:pPr>
              <w:rPr>
                <w:sz w:val="20"/>
                <w:szCs w:val="20"/>
              </w:rPr>
            </w:pPr>
            <w:r w:rsidRPr="003C7299">
              <w:rPr>
                <w:sz w:val="20"/>
                <w:szCs w:val="20"/>
              </w:rPr>
              <w:t>Sunraysia Mallee Ethnic Communities; Top of the Crop; Select Harvest (almonds); Orchard Tech</w:t>
            </w:r>
          </w:p>
          <w:p w14:paraId="39857DFA" w14:textId="77777777" w:rsidR="00A22BA4" w:rsidRPr="003C7299" w:rsidRDefault="00A22BA4" w:rsidP="006A47CF">
            <w:pPr>
              <w:rPr>
                <w:sz w:val="20"/>
                <w:szCs w:val="20"/>
              </w:rPr>
            </w:pPr>
            <w:r w:rsidRPr="003C7299">
              <w:rPr>
                <w:sz w:val="20"/>
                <w:szCs w:val="20"/>
              </w:rPr>
              <w:t>Connect Group; Australian Table Grapes Association; Agriculture Victoria</w:t>
            </w:r>
          </w:p>
        </w:tc>
      </w:tr>
      <w:tr w:rsidR="00A22BA4" w:rsidRPr="003C7299" w14:paraId="039056F7" w14:textId="77777777" w:rsidTr="006A47CF">
        <w:tc>
          <w:tcPr>
            <w:tcW w:w="1019" w:type="pct"/>
          </w:tcPr>
          <w:p w14:paraId="6BE736C6" w14:textId="77777777" w:rsidR="00A22BA4" w:rsidRPr="003C7299" w:rsidRDefault="00A22BA4" w:rsidP="006A47CF">
            <w:pPr>
              <w:rPr>
                <w:sz w:val="20"/>
                <w:szCs w:val="20"/>
              </w:rPr>
            </w:pPr>
            <w:r w:rsidRPr="003C7299">
              <w:rPr>
                <w:sz w:val="20"/>
                <w:szCs w:val="20"/>
              </w:rPr>
              <w:t>Wednesday 30 June 2021</w:t>
            </w:r>
          </w:p>
        </w:tc>
        <w:tc>
          <w:tcPr>
            <w:tcW w:w="3981" w:type="pct"/>
          </w:tcPr>
          <w:p w14:paraId="202D43D7" w14:textId="77777777" w:rsidR="00A22BA4" w:rsidRPr="003C7299" w:rsidRDefault="00A22BA4" w:rsidP="006A47CF">
            <w:pPr>
              <w:rPr>
                <w:sz w:val="20"/>
                <w:szCs w:val="20"/>
              </w:rPr>
            </w:pPr>
            <w:proofErr w:type="spellStart"/>
            <w:r w:rsidRPr="003C7299">
              <w:rPr>
                <w:sz w:val="20"/>
                <w:szCs w:val="20"/>
              </w:rPr>
              <w:t>Ourplace</w:t>
            </w:r>
            <w:proofErr w:type="spellEnd"/>
          </w:p>
        </w:tc>
      </w:tr>
      <w:tr w:rsidR="00A22BA4" w:rsidRPr="003C7299" w14:paraId="79E727A9" w14:textId="77777777" w:rsidTr="006A47CF">
        <w:tc>
          <w:tcPr>
            <w:tcW w:w="1019" w:type="pct"/>
            <w:tcBorders>
              <w:bottom w:val="single" w:sz="4" w:space="0" w:color="auto"/>
            </w:tcBorders>
          </w:tcPr>
          <w:p w14:paraId="5364FCA0" w14:textId="77777777" w:rsidR="00A22BA4" w:rsidRPr="003C7299" w:rsidRDefault="00A22BA4" w:rsidP="006A47CF">
            <w:pPr>
              <w:rPr>
                <w:sz w:val="20"/>
                <w:szCs w:val="20"/>
              </w:rPr>
            </w:pPr>
            <w:r w:rsidRPr="003C7299">
              <w:rPr>
                <w:sz w:val="20"/>
                <w:szCs w:val="20"/>
              </w:rPr>
              <w:t>Thursday 1 July 2021</w:t>
            </w:r>
          </w:p>
        </w:tc>
        <w:tc>
          <w:tcPr>
            <w:tcW w:w="3981" w:type="pct"/>
            <w:tcBorders>
              <w:bottom w:val="single" w:sz="4" w:space="0" w:color="auto"/>
            </w:tcBorders>
          </w:tcPr>
          <w:p w14:paraId="643C571F" w14:textId="77777777" w:rsidR="00A22BA4" w:rsidRPr="003C7299" w:rsidRDefault="00A22BA4" w:rsidP="006A47CF">
            <w:pPr>
              <w:rPr>
                <w:sz w:val="20"/>
                <w:szCs w:val="20"/>
              </w:rPr>
            </w:pPr>
            <w:r w:rsidRPr="003C7299">
              <w:rPr>
                <w:sz w:val="20"/>
                <w:szCs w:val="20"/>
              </w:rPr>
              <w:t xml:space="preserve">MADEC; </w:t>
            </w:r>
            <w:proofErr w:type="spellStart"/>
            <w:r w:rsidRPr="003C7299">
              <w:rPr>
                <w:sz w:val="20"/>
                <w:szCs w:val="20"/>
              </w:rPr>
              <w:t>Steicke</w:t>
            </w:r>
            <w:proofErr w:type="spellEnd"/>
            <w:r w:rsidRPr="003C7299">
              <w:rPr>
                <w:sz w:val="20"/>
                <w:szCs w:val="20"/>
              </w:rPr>
              <w:t xml:space="preserve"> Farms; </w:t>
            </w:r>
            <w:proofErr w:type="spellStart"/>
            <w:r w:rsidRPr="003C7299">
              <w:rPr>
                <w:sz w:val="20"/>
                <w:szCs w:val="20"/>
              </w:rPr>
              <w:t>Cutri</w:t>
            </w:r>
            <w:proofErr w:type="spellEnd"/>
            <w:r w:rsidRPr="003C7299">
              <w:rPr>
                <w:sz w:val="20"/>
                <w:szCs w:val="20"/>
              </w:rPr>
              <w:t xml:space="preserve"> Fruit</w:t>
            </w:r>
          </w:p>
        </w:tc>
      </w:tr>
    </w:tbl>
    <w:p w14:paraId="444AA33B" w14:textId="53809AB0" w:rsidR="00A22BA4" w:rsidRDefault="00A22BA4" w:rsidP="00A22BA4">
      <w:pPr>
        <w:pStyle w:val="Heading3"/>
      </w:pPr>
      <w:r>
        <w:t>Table 4: Northern Territory</w:t>
      </w:r>
    </w:p>
    <w:tbl>
      <w:tblPr>
        <w:tblStyle w:val="TableGrid"/>
        <w:tblW w:w="5000" w:type="pct"/>
        <w:tblLook w:val="04A0" w:firstRow="1" w:lastRow="0" w:firstColumn="1" w:lastColumn="0" w:noHBand="0" w:noVBand="1"/>
      </w:tblPr>
      <w:tblGrid>
        <w:gridCol w:w="1837"/>
        <w:gridCol w:w="7179"/>
      </w:tblGrid>
      <w:tr w:rsidR="00A22BA4" w:rsidRPr="00641ADD" w14:paraId="31816DD1" w14:textId="77777777" w:rsidTr="007F7C9D">
        <w:trPr>
          <w:tblHeader/>
        </w:trPr>
        <w:tc>
          <w:tcPr>
            <w:tcW w:w="1019" w:type="pct"/>
            <w:tcBorders>
              <w:bottom w:val="single" w:sz="4" w:space="0" w:color="auto"/>
            </w:tcBorders>
            <w:shd w:val="clear" w:color="auto" w:fill="8EAADB" w:themeFill="accent1" w:themeFillTint="99"/>
          </w:tcPr>
          <w:p w14:paraId="638E7DE8" w14:textId="77777777" w:rsidR="00A22BA4" w:rsidRPr="00641ADD" w:rsidRDefault="00A22BA4" w:rsidP="006A47CF">
            <w:pPr>
              <w:rPr>
                <w:b/>
                <w:bCs/>
              </w:rPr>
            </w:pPr>
            <w:r>
              <w:rPr>
                <w:b/>
                <w:bCs/>
              </w:rPr>
              <w:t>Date and time</w:t>
            </w:r>
          </w:p>
        </w:tc>
        <w:tc>
          <w:tcPr>
            <w:tcW w:w="3981" w:type="pct"/>
            <w:tcBorders>
              <w:bottom w:val="single" w:sz="4" w:space="0" w:color="auto"/>
            </w:tcBorders>
            <w:shd w:val="clear" w:color="auto" w:fill="8EAADB" w:themeFill="accent1" w:themeFillTint="99"/>
          </w:tcPr>
          <w:p w14:paraId="6C812550" w14:textId="77777777" w:rsidR="00A22BA4" w:rsidRPr="00641ADD" w:rsidRDefault="00A22BA4" w:rsidP="006A47CF">
            <w:pPr>
              <w:rPr>
                <w:b/>
                <w:bCs/>
              </w:rPr>
            </w:pPr>
            <w:r>
              <w:rPr>
                <w:b/>
                <w:bCs/>
              </w:rPr>
              <w:t>Stakeholders</w:t>
            </w:r>
          </w:p>
        </w:tc>
      </w:tr>
      <w:tr w:rsidR="00A22BA4" w:rsidRPr="003C7299" w14:paraId="58620B9A" w14:textId="77777777" w:rsidTr="006A47CF">
        <w:tc>
          <w:tcPr>
            <w:tcW w:w="1019" w:type="pct"/>
            <w:tcBorders>
              <w:bottom w:val="single" w:sz="4" w:space="0" w:color="auto"/>
            </w:tcBorders>
          </w:tcPr>
          <w:p w14:paraId="4D5EB93A" w14:textId="77777777" w:rsidR="00A22BA4" w:rsidRPr="003C7299" w:rsidRDefault="00A22BA4" w:rsidP="006A47CF">
            <w:pPr>
              <w:rPr>
                <w:sz w:val="20"/>
                <w:szCs w:val="20"/>
              </w:rPr>
            </w:pPr>
            <w:r w:rsidRPr="003C7299">
              <w:rPr>
                <w:sz w:val="20"/>
                <w:szCs w:val="20"/>
              </w:rPr>
              <w:t>Monday 5 July 2021</w:t>
            </w:r>
          </w:p>
        </w:tc>
        <w:tc>
          <w:tcPr>
            <w:tcW w:w="3981" w:type="pct"/>
            <w:tcBorders>
              <w:bottom w:val="single" w:sz="4" w:space="0" w:color="auto"/>
            </w:tcBorders>
          </w:tcPr>
          <w:p w14:paraId="45F4B8CB" w14:textId="77777777" w:rsidR="00A22BA4" w:rsidRPr="003C7299" w:rsidRDefault="00A22BA4" w:rsidP="006A47CF">
            <w:pPr>
              <w:rPr>
                <w:sz w:val="20"/>
                <w:szCs w:val="20"/>
              </w:rPr>
            </w:pPr>
            <w:r w:rsidRPr="003C7299">
              <w:rPr>
                <w:sz w:val="20"/>
                <w:szCs w:val="20"/>
              </w:rPr>
              <w:t>Northern Territory Farmers Association</w:t>
            </w:r>
          </w:p>
        </w:tc>
      </w:tr>
    </w:tbl>
    <w:p w14:paraId="07BB2A0F" w14:textId="6A89E4E9" w:rsidR="00A22BA4" w:rsidRDefault="00A22BA4" w:rsidP="00A22BA4">
      <w:pPr>
        <w:pStyle w:val="Heading3"/>
      </w:pPr>
      <w:r>
        <w:t>Table 5: Western Australia</w:t>
      </w:r>
    </w:p>
    <w:tbl>
      <w:tblPr>
        <w:tblStyle w:val="TableGrid"/>
        <w:tblW w:w="5000" w:type="pct"/>
        <w:tblLook w:val="04A0" w:firstRow="1" w:lastRow="0" w:firstColumn="1" w:lastColumn="0" w:noHBand="0" w:noVBand="1"/>
      </w:tblPr>
      <w:tblGrid>
        <w:gridCol w:w="1837"/>
        <w:gridCol w:w="7179"/>
      </w:tblGrid>
      <w:tr w:rsidR="00A22BA4" w:rsidRPr="00641ADD" w14:paraId="655F6FC4" w14:textId="77777777" w:rsidTr="007F7C9D">
        <w:trPr>
          <w:tblHeader/>
        </w:trPr>
        <w:tc>
          <w:tcPr>
            <w:tcW w:w="1019" w:type="pct"/>
            <w:tcBorders>
              <w:bottom w:val="single" w:sz="4" w:space="0" w:color="auto"/>
            </w:tcBorders>
            <w:shd w:val="clear" w:color="auto" w:fill="8EAADB" w:themeFill="accent1" w:themeFillTint="99"/>
          </w:tcPr>
          <w:p w14:paraId="07CB7CE8" w14:textId="77777777" w:rsidR="00A22BA4" w:rsidRPr="00641ADD" w:rsidRDefault="00A22BA4" w:rsidP="006A47CF">
            <w:pPr>
              <w:rPr>
                <w:b/>
                <w:bCs/>
              </w:rPr>
            </w:pPr>
            <w:r>
              <w:rPr>
                <w:b/>
                <w:bCs/>
              </w:rPr>
              <w:t>Date and time</w:t>
            </w:r>
          </w:p>
        </w:tc>
        <w:tc>
          <w:tcPr>
            <w:tcW w:w="3981" w:type="pct"/>
            <w:tcBorders>
              <w:bottom w:val="single" w:sz="4" w:space="0" w:color="auto"/>
            </w:tcBorders>
            <w:shd w:val="clear" w:color="auto" w:fill="8EAADB" w:themeFill="accent1" w:themeFillTint="99"/>
          </w:tcPr>
          <w:p w14:paraId="24838A5A" w14:textId="77777777" w:rsidR="00A22BA4" w:rsidRPr="00641ADD" w:rsidRDefault="00A22BA4" w:rsidP="006A47CF">
            <w:pPr>
              <w:rPr>
                <w:b/>
                <w:bCs/>
              </w:rPr>
            </w:pPr>
            <w:r>
              <w:rPr>
                <w:b/>
                <w:bCs/>
              </w:rPr>
              <w:t>Stakeholders</w:t>
            </w:r>
          </w:p>
        </w:tc>
      </w:tr>
      <w:tr w:rsidR="00A22BA4" w:rsidRPr="003C7299" w14:paraId="2A3FF68E" w14:textId="77777777" w:rsidTr="006A47CF">
        <w:tc>
          <w:tcPr>
            <w:tcW w:w="1019" w:type="pct"/>
            <w:tcBorders>
              <w:bottom w:val="single" w:sz="4" w:space="0" w:color="auto"/>
            </w:tcBorders>
          </w:tcPr>
          <w:p w14:paraId="194FA093" w14:textId="77777777" w:rsidR="00A22BA4" w:rsidRPr="003C7299" w:rsidRDefault="00A22BA4" w:rsidP="006A47CF">
            <w:pPr>
              <w:rPr>
                <w:sz w:val="20"/>
                <w:szCs w:val="20"/>
              </w:rPr>
            </w:pPr>
            <w:r w:rsidRPr="003C7299">
              <w:rPr>
                <w:sz w:val="20"/>
                <w:szCs w:val="20"/>
              </w:rPr>
              <w:t>Friday 9 July 2021</w:t>
            </w:r>
          </w:p>
        </w:tc>
        <w:tc>
          <w:tcPr>
            <w:tcW w:w="3981" w:type="pct"/>
            <w:tcBorders>
              <w:bottom w:val="single" w:sz="4" w:space="0" w:color="auto"/>
            </w:tcBorders>
          </w:tcPr>
          <w:p w14:paraId="1ECFF03C" w14:textId="77777777" w:rsidR="00A22BA4" w:rsidRPr="003C7299" w:rsidRDefault="00A22BA4" w:rsidP="006A47CF">
            <w:pPr>
              <w:rPr>
                <w:sz w:val="20"/>
                <w:szCs w:val="20"/>
              </w:rPr>
            </w:pPr>
            <w:r w:rsidRPr="003C7299">
              <w:rPr>
                <w:sz w:val="20"/>
                <w:szCs w:val="20"/>
              </w:rPr>
              <w:t xml:space="preserve">Craig Mostyn Group; Tourism WA; </w:t>
            </w:r>
            <w:proofErr w:type="spellStart"/>
            <w:r w:rsidRPr="003C7299">
              <w:rPr>
                <w:sz w:val="20"/>
                <w:szCs w:val="20"/>
              </w:rPr>
              <w:t>Delroy</w:t>
            </w:r>
            <w:proofErr w:type="spellEnd"/>
            <w:r w:rsidRPr="003C7299">
              <w:rPr>
                <w:sz w:val="20"/>
                <w:szCs w:val="20"/>
              </w:rPr>
              <w:t xml:space="preserve">; FIP Group; Labour Solutions; DPIRD; </w:t>
            </w:r>
            <w:proofErr w:type="spellStart"/>
            <w:r w:rsidRPr="003C7299">
              <w:rPr>
                <w:sz w:val="20"/>
                <w:szCs w:val="20"/>
              </w:rPr>
              <w:t>Patane</w:t>
            </w:r>
            <w:proofErr w:type="spellEnd"/>
            <w:r w:rsidRPr="003C7299">
              <w:rPr>
                <w:sz w:val="20"/>
                <w:szCs w:val="20"/>
              </w:rPr>
              <w:t xml:space="preserve"> Produce; Newton Orchards; </w:t>
            </w:r>
            <w:proofErr w:type="spellStart"/>
            <w:r w:rsidRPr="003C7299">
              <w:rPr>
                <w:sz w:val="20"/>
                <w:szCs w:val="20"/>
              </w:rPr>
              <w:t>Ceresfarm</w:t>
            </w:r>
            <w:proofErr w:type="spellEnd"/>
            <w:r w:rsidRPr="003C7299">
              <w:rPr>
                <w:sz w:val="20"/>
                <w:szCs w:val="20"/>
              </w:rPr>
              <w:t xml:space="preserve">; Karragullen; Vegetables WA; WA Farmers; </w:t>
            </w:r>
            <w:proofErr w:type="spellStart"/>
            <w:r w:rsidRPr="003C7299">
              <w:rPr>
                <w:sz w:val="20"/>
                <w:szCs w:val="20"/>
              </w:rPr>
              <w:t>Bamess</w:t>
            </w:r>
            <w:proofErr w:type="spellEnd"/>
            <w:r w:rsidRPr="003C7299">
              <w:rPr>
                <w:sz w:val="20"/>
                <w:szCs w:val="20"/>
              </w:rPr>
              <w:t xml:space="preserve"> Farms</w:t>
            </w:r>
          </w:p>
        </w:tc>
      </w:tr>
    </w:tbl>
    <w:p w14:paraId="471FA06D" w14:textId="5D002E57" w:rsidR="00A22BA4" w:rsidRDefault="00A22BA4" w:rsidP="00A22BA4">
      <w:pPr>
        <w:pStyle w:val="Heading3"/>
      </w:pPr>
      <w:r>
        <w:t>Table 6: South Australia</w:t>
      </w:r>
    </w:p>
    <w:tbl>
      <w:tblPr>
        <w:tblStyle w:val="TableGrid"/>
        <w:tblW w:w="5000" w:type="pct"/>
        <w:tblLook w:val="04A0" w:firstRow="1" w:lastRow="0" w:firstColumn="1" w:lastColumn="0" w:noHBand="0" w:noVBand="1"/>
      </w:tblPr>
      <w:tblGrid>
        <w:gridCol w:w="1837"/>
        <w:gridCol w:w="7179"/>
      </w:tblGrid>
      <w:tr w:rsidR="00A22BA4" w:rsidRPr="00641ADD" w14:paraId="65361B0B" w14:textId="77777777" w:rsidTr="007F7C9D">
        <w:trPr>
          <w:tblHeader/>
        </w:trPr>
        <w:tc>
          <w:tcPr>
            <w:tcW w:w="1019" w:type="pct"/>
            <w:tcBorders>
              <w:bottom w:val="single" w:sz="4" w:space="0" w:color="auto"/>
            </w:tcBorders>
            <w:shd w:val="clear" w:color="auto" w:fill="8EAADB" w:themeFill="accent1" w:themeFillTint="99"/>
          </w:tcPr>
          <w:p w14:paraId="0F7A1A6A" w14:textId="77777777" w:rsidR="00A22BA4" w:rsidRPr="00641ADD" w:rsidRDefault="00A22BA4" w:rsidP="006A47CF">
            <w:pPr>
              <w:rPr>
                <w:b/>
                <w:bCs/>
              </w:rPr>
            </w:pPr>
            <w:r>
              <w:rPr>
                <w:b/>
                <w:bCs/>
              </w:rPr>
              <w:t>Date and time</w:t>
            </w:r>
          </w:p>
        </w:tc>
        <w:tc>
          <w:tcPr>
            <w:tcW w:w="3981" w:type="pct"/>
            <w:tcBorders>
              <w:bottom w:val="single" w:sz="4" w:space="0" w:color="auto"/>
            </w:tcBorders>
            <w:shd w:val="clear" w:color="auto" w:fill="8EAADB" w:themeFill="accent1" w:themeFillTint="99"/>
          </w:tcPr>
          <w:p w14:paraId="5A540AFB" w14:textId="77777777" w:rsidR="00A22BA4" w:rsidRPr="00641ADD" w:rsidRDefault="00A22BA4" w:rsidP="006A47CF">
            <w:pPr>
              <w:rPr>
                <w:b/>
                <w:bCs/>
              </w:rPr>
            </w:pPr>
            <w:r>
              <w:rPr>
                <w:b/>
                <w:bCs/>
              </w:rPr>
              <w:t>Stakeholders</w:t>
            </w:r>
          </w:p>
        </w:tc>
      </w:tr>
      <w:tr w:rsidR="00A22BA4" w:rsidRPr="003C7299" w14:paraId="54C6DE31" w14:textId="77777777" w:rsidTr="006A47CF">
        <w:tc>
          <w:tcPr>
            <w:tcW w:w="1019" w:type="pct"/>
            <w:tcBorders>
              <w:bottom w:val="single" w:sz="4" w:space="0" w:color="auto"/>
            </w:tcBorders>
          </w:tcPr>
          <w:p w14:paraId="67B8695C" w14:textId="77777777" w:rsidR="00A22BA4" w:rsidRPr="003C7299" w:rsidRDefault="00A22BA4" w:rsidP="006A47CF">
            <w:pPr>
              <w:rPr>
                <w:sz w:val="20"/>
                <w:szCs w:val="20"/>
              </w:rPr>
            </w:pPr>
            <w:r w:rsidRPr="003C7299">
              <w:rPr>
                <w:sz w:val="20"/>
                <w:szCs w:val="20"/>
              </w:rPr>
              <w:t>Tuesday 13 July 2021</w:t>
            </w:r>
          </w:p>
        </w:tc>
        <w:tc>
          <w:tcPr>
            <w:tcW w:w="3981" w:type="pct"/>
            <w:tcBorders>
              <w:bottom w:val="single" w:sz="4" w:space="0" w:color="auto"/>
            </w:tcBorders>
          </w:tcPr>
          <w:p w14:paraId="28AECBA2" w14:textId="77777777" w:rsidR="00A22BA4" w:rsidRPr="003C7299" w:rsidRDefault="00A22BA4" w:rsidP="006A47CF">
            <w:pPr>
              <w:rPr>
                <w:sz w:val="20"/>
                <w:szCs w:val="20"/>
              </w:rPr>
            </w:pPr>
            <w:r w:rsidRPr="003C7299">
              <w:rPr>
                <w:sz w:val="20"/>
                <w:szCs w:val="20"/>
              </w:rPr>
              <w:t xml:space="preserve">Migration Solutions; 4 Ways Fresh; Pickers and Pruners Labour Hire; Labour Solutions; PIRSA; </w:t>
            </w:r>
            <w:proofErr w:type="spellStart"/>
            <w:r w:rsidRPr="003C7299">
              <w:rPr>
                <w:sz w:val="20"/>
                <w:szCs w:val="20"/>
              </w:rPr>
              <w:t>Ceravolo</w:t>
            </w:r>
            <w:proofErr w:type="spellEnd"/>
            <w:r w:rsidRPr="003C7299">
              <w:rPr>
                <w:sz w:val="20"/>
                <w:szCs w:val="20"/>
              </w:rPr>
              <w:t xml:space="preserve"> Orchards; Costa; Pitchford Produce; Plant Grow Pick; </w:t>
            </w:r>
            <w:proofErr w:type="spellStart"/>
            <w:r w:rsidRPr="003C7299">
              <w:rPr>
                <w:sz w:val="20"/>
                <w:szCs w:val="20"/>
              </w:rPr>
              <w:t>Ausveg</w:t>
            </w:r>
            <w:proofErr w:type="spellEnd"/>
            <w:r w:rsidRPr="003C7299">
              <w:rPr>
                <w:sz w:val="20"/>
                <w:szCs w:val="20"/>
              </w:rPr>
              <w:t>; Citrus Australia</w:t>
            </w:r>
          </w:p>
        </w:tc>
      </w:tr>
    </w:tbl>
    <w:p w14:paraId="6AFE946C" w14:textId="03FAE299" w:rsidR="00A22BA4" w:rsidRDefault="00A22BA4" w:rsidP="00A22BA4">
      <w:pPr>
        <w:pStyle w:val="Heading3"/>
      </w:pPr>
      <w:r>
        <w:t>Table 7: Queensland</w:t>
      </w:r>
    </w:p>
    <w:tbl>
      <w:tblPr>
        <w:tblStyle w:val="TableGrid"/>
        <w:tblW w:w="5000" w:type="pct"/>
        <w:tblLook w:val="04A0" w:firstRow="1" w:lastRow="0" w:firstColumn="1" w:lastColumn="0" w:noHBand="0" w:noVBand="1"/>
      </w:tblPr>
      <w:tblGrid>
        <w:gridCol w:w="1837"/>
        <w:gridCol w:w="7179"/>
      </w:tblGrid>
      <w:tr w:rsidR="00A22BA4" w:rsidRPr="00641ADD" w14:paraId="5A33A397" w14:textId="77777777" w:rsidTr="007F7C9D">
        <w:trPr>
          <w:tblHeader/>
        </w:trPr>
        <w:tc>
          <w:tcPr>
            <w:tcW w:w="1019" w:type="pct"/>
            <w:tcBorders>
              <w:bottom w:val="single" w:sz="4" w:space="0" w:color="auto"/>
            </w:tcBorders>
            <w:shd w:val="clear" w:color="auto" w:fill="8EAADB" w:themeFill="accent1" w:themeFillTint="99"/>
          </w:tcPr>
          <w:p w14:paraId="3B76D5E7" w14:textId="77777777" w:rsidR="00A22BA4" w:rsidRPr="00641ADD" w:rsidRDefault="00A22BA4" w:rsidP="006A47CF">
            <w:pPr>
              <w:rPr>
                <w:b/>
                <w:bCs/>
              </w:rPr>
            </w:pPr>
            <w:r>
              <w:rPr>
                <w:b/>
                <w:bCs/>
              </w:rPr>
              <w:t>Date and time</w:t>
            </w:r>
          </w:p>
        </w:tc>
        <w:tc>
          <w:tcPr>
            <w:tcW w:w="3981" w:type="pct"/>
            <w:tcBorders>
              <w:bottom w:val="single" w:sz="4" w:space="0" w:color="auto"/>
            </w:tcBorders>
            <w:shd w:val="clear" w:color="auto" w:fill="8EAADB" w:themeFill="accent1" w:themeFillTint="99"/>
          </w:tcPr>
          <w:p w14:paraId="58F8C1E7" w14:textId="77777777" w:rsidR="00A22BA4" w:rsidRPr="00641ADD" w:rsidRDefault="00A22BA4" w:rsidP="006A47CF">
            <w:pPr>
              <w:rPr>
                <w:b/>
                <w:bCs/>
              </w:rPr>
            </w:pPr>
            <w:r>
              <w:rPr>
                <w:b/>
                <w:bCs/>
              </w:rPr>
              <w:t>Stakeholders</w:t>
            </w:r>
          </w:p>
        </w:tc>
      </w:tr>
      <w:tr w:rsidR="00A22BA4" w:rsidRPr="003C7299" w14:paraId="2652BB8A" w14:textId="77777777" w:rsidTr="006A47CF">
        <w:tc>
          <w:tcPr>
            <w:tcW w:w="1019" w:type="pct"/>
          </w:tcPr>
          <w:p w14:paraId="0A17CE8C" w14:textId="77777777" w:rsidR="00A22BA4" w:rsidRPr="003C7299" w:rsidRDefault="00A22BA4" w:rsidP="006A47CF">
            <w:pPr>
              <w:rPr>
                <w:sz w:val="20"/>
                <w:szCs w:val="20"/>
              </w:rPr>
            </w:pPr>
            <w:r w:rsidRPr="003C7299">
              <w:rPr>
                <w:sz w:val="20"/>
                <w:szCs w:val="20"/>
              </w:rPr>
              <w:t>Friday 9 July 2021</w:t>
            </w:r>
          </w:p>
        </w:tc>
        <w:tc>
          <w:tcPr>
            <w:tcW w:w="3981" w:type="pct"/>
          </w:tcPr>
          <w:p w14:paraId="4E5B798B" w14:textId="77777777" w:rsidR="00A22BA4" w:rsidRPr="003C7299" w:rsidRDefault="00A22BA4" w:rsidP="006A47CF">
            <w:pPr>
              <w:rPr>
                <w:sz w:val="20"/>
                <w:szCs w:val="20"/>
              </w:rPr>
            </w:pPr>
            <w:r w:rsidRPr="003C7299">
              <w:rPr>
                <w:sz w:val="20"/>
                <w:szCs w:val="20"/>
              </w:rPr>
              <w:t>DAF Queensland</w:t>
            </w:r>
          </w:p>
        </w:tc>
      </w:tr>
      <w:tr w:rsidR="00A22BA4" w:rsidRPr="003C7299" w14:paraId="7690CDC5" w14:textId="77777777" w:rsidTr="006A47CF">
        <w:tc>
          <w:tcPr>
            <w:tcW w:w="1019" w:type="pct"/>
          </w:tcPr>
          <w:p w14:paraId="4EF16224" w14:textId="77777777" w:rsidR="00A22BA4" w:rsidRPr="003C7299" w:rsidRDefault="00A22BA4" w:rsidP="006A47CF">
            <w:pPr>
              <w:rPr>
                <w:sz w:val="20"/>
                <w:szCs w:val="20"/>
              </w:rPr>
            </w:pPr>
            <w:r w:rsidRPr="003C7299">
              <w:rPr>
                <w:sz w:val="20"/>
                <w:szCs w:val="20"/>
              </w:rPr>
              <w:t>Wednesday 14 July 2021</w:t>
            </w:r>
          </w:p>
        </w:tc>
        <w:tc>
          <w:tcPr>
            <w:tcW w:w="3981" w:type="pct"/>
          </w:tcPr>
          <w:p w14:paraId="1D4EE415" w14:textId="77777777" w:rsidR="00A22BA4" w:rsidRPr="003C7299" w:rsidRDefault="00A22BA4" w:rsidP="006A47CF">
            <w:pPr>
              <w:rPr>
                <w:sz w:val="20"/>
                <w:szCs w:val="20"/>
              </w:rPr>
            </w:pPr>
            <w:proofErr w:type="spellStart"/>
            <w:r w:rsidRPr="003C7299">
              <w:rPr>
                <w:sz w:val="20"/>
                <w:szCs w:val="20"/>
              </w:rPr>
              <w:t>Growcom</w:t>
            </w:r>
            <w:proofErr w:type="spellEnd"/>
            <w:r w:rsidRPr="003C7299">
              <w:rPr>
                <w:sz w:val="20"/>
                <w:szCs w:val="20"/>
              </w:rPr>
              <w:t xml:space="preserve">; </w:t>
            </w:r>
            <w:proofErr w:type="spellStart"/>
            <w:r w:rsidRPr="003C7299">
              <w:rPr>
                <w:sz w:val="20"/>
                <w:szCs w:val="20"/>
              </w:rPr>
              <w:t>Growcom</w:t>
            </w:r>
            <w:proofErr w:type="spellEnd"/>
            <w:r w:rsidRPr="003C7299">
              <w:rPr>
                <w:sz w:val="20"/>
                <w:szCs w:val="20"/>
              </w:rPr>
              <w:t xml:space="preserve"> Approved Employer members</w:t>
            </w:r>
          </w:p>
        </w:tc>
      </w:tr>
      <w:tr w:rsidR="00A22BA4" w:rsidRPr="003C7299" w14:paraId="3D7D0D47" w14:textId="77777777" w:rsidTr="006A47CF">
        <w:tc>
          <w:tcPr>
            <w:tcW w:w="1019" w:type="pct"/>
          </w:tcPr>
          <w:p w14:paraId="2C32FE19" w14:textId="77777777" w:rsidR="00A22BA4" w:rsidRPr="003C7299" w:rsidRDefault="00A22BA4" w:rsidP="006A47CF">
            <w:pPr>
              <w:rPr>
                <w:sz w:val="20"/>
                <w:szCs w:val="20"/>
              </w:rPr>
            </w:pPr>
            <w:r w:rsidRPr="003C7299">
              <w:rPr>
                <w:sz w:val="20"/>
                <w:szCs w:val="20"/>
              </w:rPr>
              <w:t>Wednesday 14 July 2021</w:t>
            </w:r>
          </w:p>
        </w:tc>
        <w:tc>
          <w:tcPr>
            <w:tcW w:w="3981" w:type="pct"/>
          </w:tcPr>
          <w:p w14:paraId="3B4ABE8D" w14:textId="77777777" w:rsidR="00A22BA4" w:rsidRPr="003C7299" w:rsidRDefault="00A22BA4" w:rsidP="006A47CF">
            <w:pPr>
              <w:rPr>
                <w:sz w:val="20"/>
                <w:szCs w:val="20"/>
              </w:rPr>
            </w:pPr>
            <w:proofErr w:type="spellStart"/>
            <w:r w:rsidRPr="003C7299">
              <w:rPr>
                <w:sz w:val="20"/>
                <w:szCs w:val="20"/>
              </w:rPr>
              <w:t>Growcom</w:t>
            </w:r>
            <w:proofErr w:type="spellEnd"/>
            <w:r w:rsidRPr="003C7299">
              <w:rPr>
                <w:sz w:val="20"/>
                <w:szCs w:val="20"/>
              </w:rPr>
              <w:t xml:space="preserve">; </w:t>
            </w:r>
            <w:proofErr w:type="spellStart"/>
            <w:r w:rsidRPr="003C7299">
              <w:rPr>
                <w:sz w:val="20"/>
                <w:szCs w:val="20"/>
              </w:rPr>
              <w:t>Growcom</w:t>
            </w:r>
            <w:proofErr w:type="spellEnd"/>
            <w:r w:rsidRPr="003C7299">
              <w:rPr>
                <w:sz w:val="20"/>
                <w:szCs w:val="20"/>
              </w:rPr>
              <w:t xml:space="preserve"> non-Approved Employer members; Queensland Agriculture Workforce Network; Queensland Horticulture Council</w:t>
            </w:r>
          </w:p>
        </w:tc>
      </w:tr>
    </w:tbl>
    <w:p w14:paraId="4AD3AAA6" w14:textId="77777777" w:rsidR="00A22BA4" w:rsidRPr="00A22BA4" w:rsidRDefault="00A22BA4" w:rsidP="00A22BA4"/>
    <w:p w14:paraId="08EF51B0" w14:textId="77777777" w:rsidR="00064C8C" w:rsidRDefault="00064C8C">
      <w:pPr>
        <w:rPr>
          <w:b/>
          <w:bCs/>
        </w:rPr>
      </w:pPr>
      <w:r>
        <w:rPr>
          <w:b/>
          <w:bCs/>
        </w:rPr>
        <w:br w:type="page"/>
      </w:r>
    </w:p>
    <w:p w14:paraId="6DC22981" w14:textId="0ED127C4" w:rsidR="00443740" w:rsidRDefault="00443740" w:rsidP="00443740">
      <w:pPr>
        <w:spacing w:after="40"/>
      </w:pPr>
      <w:r>
        <w:rPr>
          <w:b/>
          <w:bCs/>
        </w:rPr>
        <w:t>Table 2: stakeholder-based consultations (industry groups, unions, community groups, etc.)</w:t>
      </w:r>
    </w:p>
    <w:tbl>
      <w:tblPr>
        <w:tblStyle w:val="TableGrid"/>
        <w:tblW w:w="5000" w:type="pct"/>
        <w:tblLook w:val="04A0" w:firstRow="1" w:lastRow="0" w:firstColumn="1" w:lastColumn="0" w:noHBand="0" w:noVBand="1"/>
      </w:tblPr>
      <w:tblGrid>
        <w:gridCol w:w="1738"/>
        <w:gridCol w:w="7278"/>
      </w:tblGrid>
      <w:tr w:rsidR="003C7299" w:rsidRPr="00641ADD" w14:paraId="2666369C" w14:textId="77777777" w:rsidTr="008377FD">
        <w:trPr>
          <w:tblHeader/>
        </w:trPr>
        <w:tc>
          <w:tcPr>
            <w:tcW w:w="964" w:type="pct"/>
            <w:shd w:val="clear" w:color="auto" w:fill="8EAADB" w:themeFill="accent1" w:themeFillTint="99"/>
          </w:tcPr>
          <w:p w14:paraId="4CBF1919" w14:textId="77777777" w:rsidR="003C7299" w:rsidRPr="00641ADD" w:rsidRDefault="003C7299" w:rsidP="00CB5A30">
            <w:pPr>
              <w:rPr>
                <w:b/>
                <w:bCs/>
              </w:rPr>
            </w:pPr>
            <w:r>
              <w:rPr>
                <w:b/>
                <w:bCs/>
              </w:rPr>
              <w:t>Date and time</w:t>
            </w:r>
          </w:p>
        </w:tc>
        <w:tc>
          <w:tcPr>
            <w:tcW w:w="4036" w:type="pct"/>
            <w:shd w:val="clear" w:color="auto" w:fill="8EAADB" w:themeFill="accent1" w:themeFillTint="99"/>
          </w:tcPr>
          <w:p w14:paraId="64839133" w14:textId="77777777" w:rsidR="003C7299" w:rsidRPr="00641ADD" w:rsidRDefault="003C7299" w:rsidP="00CB5A30">
            <w:pPr>
              <w:rPr>
                <w:b/>
                <w:bCs/>
              </w:rPr>
            </w:pPr>
            <w:r>
              <w:rPr>
                <w:b/>
                <w:bCs/>
              </w:rPr>
              <w:t>Stakeholders</w:t>
            </w:r>
          </w:p>
        </w:tc>
      </w:tr>
      <w:tr w:rsidR="003C7299" w14:paraId="359A5712" w14:textId="77777777" w:rsidTr="008377FD">
        <w:trPr>
          <w:tblHeader/>
        </w:trPr>
        <w:tc>
          <w:tcPr>
            <w:tcW w:w="964" w:type="pct"/>
          </w:tcPr>
          <w:p w14:paraId="38750B47" w14:textId="66C9D5A1" w:rsidR="003C7299" w:rsidRPr="003C7299" w:rsidRDefault="003C7299" w:rsidP="00CB5A30">
            <w:pPr>
              <w:rPr>
                <w:sz w:val="20"/>
                <w:szCs w:val="20"/>
              </w:rPr>
            </w:pPr>
            <w:r w:rsidRPr="003C7299">
              <w:rPr>
                <w:sz w:val="20"/>
                <w:szCs w:val="20"/>
              </w:rPr>
              <w:t>Friday 18 June 2021</w:t>
            </w:r>
          </w:p>
        </w:tc>
        <w:tc>
          <w:tcPr>
            <w:tcW w:w="4036" w:type="pct"/>
          </w:tcPr>
          <w:p w14:paraId="622EB9CA" w14:textId="77777777" w:rsidR="003C7299" w:rsidRPr="003C7299" w:rsidRDefault="003C7299" w:rsidP="00CB5A30">
            <w:pPr>
              <w:rPr>
                <w:sz w:val="20"/>
                <w:szCs w:val="20"/>
              </w:rPr>
            </w:pPr>
            <w:r w:rsidRPr="003C7299">
              <w:rPr>
                <w:sz w:val="20"/>
                <w:szCs w:val="20"/>
              </w:rPr>
              <w:t>Australian Fresh Produce Alliance</w:t>
            </w:r>
          </w:p>
        </w:tc>
      </w:tr>
      <w:tr w:rsidR="003C7299" w14:paraId="3848221C" w14:textId="77777777" w:rsidTr="008377FD">
        <w:trPr>
          <w:tblHeader/>
        </w:trPr>
        <w:tc>
          <w:tcPr>
            <w:tcW w:w="964" w:type="pct"/>
          </w:tcPr>
          <w:p w14:paraId="2E297A79" w14:textId="1AB5E524" w:rsidR="003C7299" w:rsidRPr="003C7299" w:rsidRDefault="003C7299" w:rsidP="00CB5A30">
            <w:pPr>
              <w:rPr>
                <w:sz w:val="20"/>
                <w:szCs w:val="20"/>
              </w:rPr>
            </w:pPr>
            <w:r w:rsidRPr="003C7299">
              <w:rPr>
                <w:sz w:val="20"/>
                <w:szCs w:val="20"/>
              </w:rPr>
              <w:t>Wednesday 23 June 2021</w:t>
            </w:r>
          </w:p>
        </w:tc>
        <w:tc>
          <w:tcPr>
            <w:tcW w:w="4036" w:type="pct"/>
          </w:tcPr>
          <w:p w14:paraId="72B8D81F" w14:textId="77777777" w:rsidR="003C7299" w:rsidRPr="003C7299" w:rsidRDefault="003C7299" w:rsidP="00CB5A30">
            <w:pPr>
              <w:rPr>
                <w:sz w:val="20"/>
                <w:szCs w:val="20"/>
              </w:rPr>
            </w:pPr>
            <w:r w:rsidRPr="003C7299">
              <w:rPr>
                <w:sz w:val="20"/>
                <w:szCs w:val="20"/>
              </w:rPr>
              <w:t>Pacific and Timor-Leste Heads of Mission</w:t>
            </w:r>
          </w:p>
        </w:tc>
      </w:tr>
      <w:tr w:rsidR="003C7299" w14:paraId="3B09ABBE" w14:textId="77777777" w:rsidTr="008377FD">
        <w:trPr>
          <w:tblHeader/>
        </w:trPr>
        <w:tc>
          <w:tcPr>
            <w:tcW w:w="964" w:type="pct"/>
          </w:tcPr>
          <w:p w14:paraId="480E0F66" w14:textId="408AE2B6" w:rsidR="003C7299" w:rsidRPr="003C7299" w:rsidRDefault="003C7299" w:rsidP="00CB5A30">
            <w:pPr>
              <w:rPr>
                <w:sz w:val="20"/>
                <w:szCs w:val="20"/>
              </w:rPr>
            </w:pPr>
            <w:r w:rsidRPr="003C7299">
              <w:rPr>
                <w:sz w:val="20"/>
                <w:szCs w:val="20"/>
              </w:rPr>
              <w:t>Thursday 24 June 2021</w:t>
            </w:r>
          </w:p>
        </w:tc>
        <w:tc>
          <w:tcPr>
            <w:tcW w:w="4036" w:type="pct"/>
          </w:tcPr>
          <w:p w14:paraId="47AFB6EE" w14:textId="77777777" w:rsidR="003C7299" w:rsidRPr="003C7299" w:rsidRDefault="003C7299" w:rsidP="00CB5A30">
            <w:pPr>
              <w:rPr>
                <w:sz w:val="20"/>
                <w:szCs w:val="20"/>
              </w:rPr>
            </w:pPr>
            <w:r w:rsidRPr="003C7299">
              <w:rPr>
                <w:sz w:val="20"/>
                <w:szCs w:val="20"/>
              </w:rPr>
              <w:t>National Farmers Federation</w:t>
            </w:r>
          </w:p>
        </w:tc>
      </w:tr>
      <w:tr w:rsidR="003C7299" w14:paraId="06691A65" w14:textId="77777777" w:rsidTr="008377FD">
        <w:trPr>
          <w:tblHeader/>
        </w:trPr>
        <w:tc>
          <w:tcPr>
            <w:tcW w:w="964" w:type="pct"/>
          </w:tcPr>
          <w:p w14:paraId="2C52F28E" w14:textId="41E25690" w:rsidR="003C7299" w:rsidRPr="003C7299" w:rsidRDefault="003C7299" w:rsidP="00CB5A30">
            <w:pPr>
              <w:rPr>
                <w:sz w:val="20"/>
                <w:szCs w:val="20"/>
              </w:rPr>
            </w:pPr>
            <w:r w:rsidRPr="003C7299">
              <w:rPr>
                <w:sz w:val="20"/>
                <w:szCs w:val="20"/>
              </w:rPr>
              <w:t>Friday 25 June 2021</w:t>
            </w:r>
          </w:p>
        </w:tc>
        <w:tc>
          <w:tcPr>
            <w:tcW w:w="4036" w:type="pct"/>
          </w:tcPr>
          <w:p w14:paraId="1ECBAAED" w14:textId="77777777" w:rsidR="003C7299" w:rsidRPr="003C7299" w:rsidRDefault="003C7299" w:rsidP="00CB5A30">
            <w:pPr>
              <w:rPr>
                <w:sz w:val="20"/>
                <w:szCs w:val="20"/>
              </w:rPr>
            </w:pPr>
            <w:proofErr w:type="spellStart"/>
            <w:r w:rsidRPr="003C7299">
              <w:rPr>
                <w:sz w:val="20"/>
                <w:szCs w:val="20"/>
              </w:rPr>
              <w:t>Ausveg</w:t>
            </w:r>
            <w:proofErr w:type="spellEnd"/>
          </w:p>
        </w:tc>
      </w:tr>
      <w:tr w:rsidR="003C7299" w14:paraId="37B36F1E" w14:textId="77777777" w:rsidTr="008377FD">
        <w:trPr>
          <w:tblHeader/>
        </w:trPr>
        <w:tc>
          <w:tcPr>
            <w:tcW w:w="964" w:type="pct"/>
          </w:tcPr>
          <w:p w14:paraId="1EA83468" w14:textId="1192008A" w:rsidR="003C7299" w:rsidRPr="003C7299" w:rsidRDefault="003C7299" w:rsidP="00CB5A30">
            <w:pPr>
              <w:rPr>
                <w:sz w:val="20"/>
                <w:szCs w:val="20"/>
              </w:rPr>
            </w:pPr>
            <w:r w:rsidRPr="003C7299">
              <w:rPr>
                <w:sz w:val="20"/>
                <w:szCs w:val="20"/>
              </w:rPr>
              <w:t>Friday 25 June 2021</w:t>
            </w:r>
          </w:p>
        </w:tc>
        <w:tc>
          <w:tcPr>
            <w:tcW w:w="4036" w:type="pct"/>
          </w:tcPr>
          <w:p w14:paraId="3382B055" w14:textId="77777777" w:rsidR="003C7299" w:rsidRPr="003C7299" w:rsidRDefault="003C7299" w:rsidP="00CB5A30">
            <w:pPr>
              <w:rPr>
                <w:sz w:val="20"/>
                <w:szCs w:val="20"/>
              </w:rPr>
            </w:pPr>
            <w:r w:rsidRPr="003C7299">
              <w:rPr>
                <w:sz w:val="20"/>
                <w:szCs w:val="20"/>
              </w:rPr>
              <w:t>Commonwealth and state and territory Pacific labour mobility restart working group</w:t>
            </w:r>
          </w:p>
        </w:tc>
      </w:tr>
      <w:tr w:rsidR="003C7299" w14:paraId="55474D9A" w14:textId="77777777" w:rsidTr="008377FD">
        <w:trPr>
          <w:tblHeader/>
        </w:trPr>
        <w:tc>
          <w:tcPr>
            <w:tcW w:w="964" w:type="pct"/>
          </w:tcPr>
          <w:p w14:paraId="06E2DFCA" w14:textId="03A7E8AE" w:rsidR="003C7299" w:rsidRPr="003C7299" w:rsidRDefault="003C7299" w:rsidP="00CB5A30">
            <w:pPr>
              <w:rPr>
                <w:sz w:val="20"/>
                <w:szCs w:val="20"/>
              </w:rPr>
            </w:pPr>
            <w:r w:rsidRPr="003C7299">
              <w:rPr>
                <w:sz w:val="20"/>
                <w:szCs w:val="20"/>
              </w:rPr>
              <w:t>Friday 25 June 2021</w:t>
            </w:r>
          </w:p>
        </w:tc>
        <w:tc>
          <w:tcPr>
            <w:tcW w:w="4036" w:type="pct"/>
          </w:tcPr>
          <w:p w14:paraId="2036116D" w14:textId="77777777" w:rsidR="003C7299" w:rsidRPr="003C7299" w:rsidRDefault="003C7299" w:rsidP="00CB5A30">
            <w:pPr>
              <w:rPr>
                <w:sz w:val="20"/>
                <w:szCs w:val="20"/>
              </w:rPr>
            </w:pPr>
            <w:r w:rsidRPr="003C7299">
              <w:rPr>
                <w:sz w:val="20"/>
                <w:szCs w:val="20"/>
              </w:rPr>
              <w:t>Pacific labour mobility industry reference group</w:t>
            </w:r>
          </w:p>
        </w:tc>
      </w:tr>
      <w:tr w:rsidR="003C7299" w14:paraId="7D570937" w14:textId="77777777" w:rsidTr="008377FD">
        <w:trPr>
          <w:tblHeader/>
        </w:trPr>
        <w:tc>
          <w:tcPr>
            <w:tcW w:w="964" w:type="pct"/>
          </w:tcPr>
          <w:p w14:paraId="5734EA75" w14:textId="25FDB047" w:rsidR="003C7299" w:rsidRPr="003C7299" w:rsidRDefault="003C7299" w:rsidP="00CB5A30">
            <w:pPr>
              <w:rPr>
                <w:sz w:val="20"/>
                <w:szCs w:val="20"/>
              </w:rPr>
            </w:pPr>
            <w:r w:rsidRPr="003C7299">
              <w:rPr>
                <w:sz w:val="20"/>
                <w:szCs w:val="20"/>
              </w:rPr>
              <w:t>Monday 28 June 2021</w:t>
            </w:r>
          </w:p>
        </w:tc>
        <w:tc>
          <w:tcPr>
            <w:tcW w:w="4036" w:type="pct"/>
          </w:tcPr>
          <w:p w14:paraId="1B614314" w14:textId="77777777" w:rsidR="003C7299" w:rsidRPr="003C7299" w:rsidRDefault="003C7299" w:rsidP="00CB5A30">
            <w:pPr>
              <w:rPr>
                <w:sz w:val="20"/>
                <w:szCs w:val="20"/>
              </w:rPr>
            </w:pPr>
            <w:r w:rsidRPr="003C7299">
              <w:rPr>
                <w:sz w:val="20"/>
                <w:szCs w:val="20"/>
              </w:rPr>
              <w:t>Research Governance meeting</w:t>
            </w:r>
          </w:p>
        </w:tc>
      </w:tr>
      <w:tr w:rsidR="003C7299" w14:paraId="7D7B62D1" w14:textId="77777777" w:rsidTr="008377FD">
        <w:trPr>
          <w:tblHeader/>
        </w:trPr>
        <w:tc>
          <w:tcPr>
            <w:tcW w:w="964" w:type="pct"/>
          </w:tcPr>
          <w:p w14:paraId="4478106F" w14:textId="59AC0773" w:rsidR="003C7299" w:rsidRPr="003C7299" w:rsidRDefault="003C7299" w:rsidP="00CB5A30">
            <w:pPr>
              <w:rPr>
                <w:sz w:val="20"/>
                <w:szCs w:val="20"/>
              </w:rPr>
            </w:pPr>
            <w:r w:rsidRPr="003C7299">
              <w:rPr>
                <w:sz w:val="20"/>
                <w:szCs w:val="20"/>
              </w:rPr>
              <w:t>Wednesday 30 June 2021</w:t>
            </w:r>
          </w:p>
        </w:tc>
        <w:tc>
          <w:tcPr>
            <w:tcW w:w="4036" w:type="pct"/>
          </w:tcPr>
          <w:p w14:paraId="2BC9F2FB" w14:textId="08D279E5" w:rsidR="003C7299" w:rsidRPr="003C7299" w:rsidRDefault="003C7299" w:rsidP="00CB5A30">
            <w:pPr>
              <w:rPr>
                <w:sz w:val="20"/>
                <w:szCs w:val="20"/>
              </w:rPr>
            </w:pPr>
            <w:r w:rsidRPr="003C7299">
              <w:rPr>
                <w:sz w:val="20"/>
                <w:szCs w:val="20"/>
              </w:rPr>
              <w:t>RWM</w:t>
            </w:r>
          </w:p>
        </w:tc>
      </w:tr>
      <w:tr w:rsidR="003C7299" w14:paraId="37C1BD81" w14:textId="77777777" w:rsidTr="008377FD">
        <w:trPr>
          <w:tblHeader/>
        </w:trPr>
        <w:tc>
          <w:tcPr>
            <w:tcW w:w="964" w:type="pct"/>
          </w:tcPr>
          <w:p w14:paraId="783193E4" w14:textId="12ED4B37" w:rsidR="003C7299" w:rsidRPr="003C7299" w:rsidRDefault="003C7299" w:rsidP="00CB5A30">
            <w:pPr>
              <w:rPr>
                <w:sz w:val="20"/>
                <w:szCs w:val="20"/>
              </w:rPr>
            </w:pPr>
            <w:r w:rsidRPr="003C7299">
              <w:rPr>
                <w:sz w:val="20"/>
                <w:szCs w:val="20"/>
              </w:rPr>
              <w:t>Thursday 1 July 2021</w:t>
            </w:r>
          </w:p>
        </w:tc>
        <w:tc>
          <w:tcPr>
            <w:tcW w:w="4036" w:type="pct"/>
          </w:tcPr>
          <w:p w14:paraId="1FEF3B46" w14:textId="77777777" w:rsidR="003C7299" w:rsidRPr="003C7299" w:rsidRDefault="003C7299" w:rsidP="00CB5A30">
            <w:pPr>
              <w:rPr>
                <w:sz w:val="20"/>
                <w:szCs w:val="20"/>
              </w:rPr>
            </w:pPr>
            <w:proofErr w:type="spellStart"/>
            <w:r w:rsidRPr="003C7299">
              <w:rPr>
                <w:sz w:val="20"/>
                <w:szCs w:val="20"/>
              </w:rPr>
              <w:t>Growcom</w:t>
            </w:r>
            <w:proofErr w:type="spellEnd"/>
          </w:p>
        </w:tc>
      </w:tr>
      <w:tr w:rsidR="003C7299" w14:paraId="7A849AFA" w14:textId="77777777" w:rsidTr="008377FD">
        <w:trPr>
          <w:tblHeader/>
        </w:trPr>
        <w:tc>
          <w:tcPr>
            <w:tcW w:w="964" w:type="pct"/>
          </w:tcPr>
          <w:p w14:paraId="0CA6C4D8" w14:textId="0EAD7000" w:rsidR="003C7299" w:rsidRPr="003C7299" w:rsidRDefault="003C7299" w:rsidP="00CB5A30">
            <w:pPr>
              <w:rPr>
                <w:sz w:val="20"/>
                <w:szCs w:val="20"/>
              </w:rPr>
            </w:pPr>
            <w:r w:rsidRPr="003C7299">
              <w:rPr>
                <w:sz w:val="20"/>
                <w:szCs w:val="20"/>
              </w:rPr>
              <w:t>Friday 2 July 2021</w:t>
            </w:r>
          </w:p>
        </w:tc>
        <w:tc>
          <w:tcPr>
            <w:tcW w:w="4036" w:type="pct"/>
          </w:tcPr>
          <w:p w14:paraId="77EA81DB" w14:textId="77777777" w:rsidR="003C7299" w:rsidRPr="003C7299" w:rsidRDefault="003C7299" w:rsidP="00CB5A30">
            <w:pPr>
              <w:rPr>
                <w:sz w:val="20"/>
                <w:szCs w:val="20"/>
              </w:rPr>
            </w:pPr>
            <w:r w:rsidRPr="003C7299">
              <w:rPr>
                <w:sz w:val="20"/>
                <w:szCs w:val="20"/>
              </w:rPr>
              <w:t>Australian Workers Union</w:t>
            </w:r>
          </w:p>
        </w:tc>
      </w:tr>
      <w:tr w:rsidR="003C7299" w14:paraId="7D287AC7" w14:textId="77777777" w:rsidTr="008377FD">
        <w:trPr>
          <w:tblHeader/>
        </w:trPr>
        <w:tc>
          <w:tcPr>
            <w:tcW w:w="964" w:type="pct"/>
          </w:tcPr>
          <w:p w14:paraId="76EA67C9" w14:textId="72257CC2" w:rsidR="003C7299" w:rsidRPr="003C7299" w:rsidRDefault="003C7299" w:rsidP="00CB5A30">
            <w:pPr>
              <w:rPr>
                <w:sz w:val="20"/>
                <w:szCs w:val="20"/>
              </w:rPr>
            </w:pPr>
            <w:r w:rsidRPr="003C7299">
              <w:rPr>
                <w:sz w:val="20"/>
                <w:szCs w:val="20"/>
              </w:rPr>
              <w:t>Friday 2 July 2021</w:t>
            </w:r>
          </w:p>
        </w:tc>
        <w:tc>
          <w:tcPr>
            <w:tcW w:w="4036" w:type="pct"/>
          </w:tcPr>
          <w:p w14:paraId="268C11BA" w14:textId="77777777" w:rsidR="003C7299" w:rsidRPr="003C7299" w:rsidRDefault="003C7299" w:rsidP="00CB5A30">
            <w:pPr>
              <w:rPr>
                <w:i/>
                <w:iCs/>
                <w:sz w:val="20"/>
                <w:szCs w:val="20"/>
              </w:rPr>
            </w:pPr>
            <w:r w:rsidRPr="003C7299">
              <w:rPr>
                <w:i/>
                <w:iCs/>
                <w:sz w:val="20"/>
                <w:szCs w:val="20"/>
              </w:rPr>
              <w:t>Community care</w:t>
            </w:r>
          </w:p>
          <w:p w14:paraId="41DAACEB" w14:textId="6C91540E" w:rsidR="003C7299" w:rsidRPr="003C7299" w:rsidRDefault="003C7299" w:rsidP="003C7299">
            <w:pPr>
              <w:rPr>
                <w:sz w:val="20"/>
                <w:szCs w:val="20"/>
              </w:rPr>
            </w:pPr>
            <w:r w:rsidRPr="003C7299">
              <w:rPr>
                <w:sz w:val="20"/>
                <w:szCs w:val="20"/>
              </w:rPr>
              <w:t>United Care; ACRATH; Vanuatu Prevention of Blindness; Randall Prior (individual who assists workers); Margaret Morris (individual who assists workers)</w:t>
            </w:r>
          </w:p>
        </w:tc>
      </w:tr>
      <w:tr w:rsidR="003C7299" w14:paraId="1B7714AD" w14:textId="77777777" w:rsidTr="008377FD">
        <w:trPr>
          <w:tblHeader/>
        </w:trPr>
        <w:tc>
          <w:tcPr>
            <w:tcW w:w="964" w:type="pct"/>
          </w:tcPr>
          <w:p w14:paraId="7E445574" w14:textId="06B9FAAF" w:rsidR="003C7299" w:rsidRPr="003C7299" w:rsidRDefault="003C7299" w:rsidP="00CB5A30">
            <w:pPr>
              <w:rPr>
                <w:sz w:val="20"/>
                <w:szCs w:val="20"/>
              </w:rPr>
            </w:pPr>
            <w:r w:rsidRPr="003C7299">
              <w:rPr>
                <w:sz w:val="20"/>
                <w:szCs w:val="20"/>
              </w:rPr>
              <w:t>Friday 2 July 2021</w:t>
            </w:r>
          </w:p>
        </w:tc>
        <w:tc>
          <w:tcPr>
            <w:tcW w:w="4036" w:type="pct"/>
          </w:tcPr>
          <w:p w14:paraId="7953B5EC" w14:textId="77777777" w:rsidR="003C7299" w:rsidRPr="003C7299" w:rsidRDefault="003C7299" w:rsidP="00CB5A30">
            <w:pPr>
              <w:rPr>
                <w:sz w:val="20"/>
                <w:szCs w:val="20"/>
              </w:rPr>
            </w:pPr>
            <w:r w:rsidRPr="003C7299">
              <w:rPr>
                <w:sz w:val="20"/>
                <w:szCs w:val="20"/>
              </w:rPr>
              <w:t>FWO</w:t>
            </w:r>
          </w:p>
        </w:tc>
      </w:tr>
      <w:tr w:rsidR="003C7299" w14:paraId="0B03B9C0" w14:textId="77777777" w:rsidTr="008377FD">
        <w:trPr>
          <w:tblHeader/>
        </w:trPr>
        <w:tc>
          <w:tcPr>
            <w:tcW w:w="964" w:type="pct"/>
          </w:tcPr>
          <w:p w14:paraId="199A1C09" w14:textId="18483183" w:rsidR="003C7299" w:rsidRPr="003C7299" w:rsidRDefault="003C7299" w:rsidP="00CB5A30">
            <w:pPr>
              <w:rPr>
                <w:sz w:val="20"/>
                <w:szCs w:val="20"/>
              </w:rPr>
            </w:pPr>
            <w:r w:rsidRPr="003C7299">
              <w:rPr>
                <w:sz w:val="20"/>
                <w:szCs w:val="20"/>
              </w:rPr>
              <w:t>Monday 5 July 2021</w:t>
            </w:r>
          </w:p>
        </w:tc>
        <w:tc>
          <w:tcPr>
            <w:tcW w:w="4036" w:type="pct"/>
          </w:tcPr>
          <w:p w14:paraId="4A8C7F7D" w14:textId="77777777" w:rsidR="003C7299" w:rsidRPr="003C7299" w:rsidRDefault="003C7299" w:rsidP="00CB5A30">
            <w:pPr>
              <w:rPr>
                <w:sz w:val="20"/>
                <w:szCs w:val="20"/>
              </w:rPr>
            </w:pPr>
            <w:r w:rsidRPr="003C7299">
              <w:rPr>
                <w:sz w:val="20"/>
                <w:szCs w:val="20"/>
              </w:rPr>
              <w:t>United Workers Union</w:t>
            </w:r>
          </w:p>
        </w:tc>
      </w:tr>
      <w:tr w:rsidR="003C7299" w14:paraId="6E99C262" w14:textId="77777777" w:rsidTr="008377FD">
        <w:trPr>
          <w:tblHeader/>
        </w:trPr>
        <w:tc>
          <w:tcPr>
            <w:tcW w:w="964" w:type="pct"/>
          </w:tcPr>
          <w:p w14:paraId="1007BCF1" w14:textId="30D71A5D" w:rsidR="003C7299" w:rsidRPr="003C7299" w:rsidRDefault="003C7299" w:rsidP="00CB5A30">
            <w:pPr>
              <w:rPr>
                <w:sz w:val="20"/>
                <w:szCs w:val="20"/>
              </w:rPr>
            </w:pPr>
            <w:r w:rsidRPr="003C7299">
              <w:rPr>
                <w:sz w:val="20"/>
                <w:szCs w:val="20"/>
              </w:rPr>
              <w:t>Tuesday 6 July 2021</w:t>
            </w:r>
          </w:p>
        </w:tc>
        <w:tc>
          <w:tcPr>
            <w:tcW w:w="4036" w:type="pct"/>
          </w:tcPr>
          <w:p w14:paraId="4A104E54" w14:textId="77777777" w:rsidR="003C7299" w:rsidRPr="003C7299" w:rsidRDefault="003C7299" w:rsidP="00CB5A30">
            <w:pPr>
              <w:rPr>
                <w:sz w:val="20"/>
                <w:szCs w:val="20"/>
              </w:rPr>
            </w:pPr>
            <w:r w:rsidRPr="003C7299">
              <w:rPr>
                <w:sz w:val="20"/>
                <w:szCs w:val="20"/>
              </w:rPr>
              <w:t>Approved Employers of Australia</w:t>
            </w:r>
          </w:p>
        </w:tc>
      </w:tr>
      <w:tr w:rsidR="003C7299" w14:paraId="225DE16A" w14:textId="77777777" w:rsidTr="008377FD">
        <w:trPr>
          <w:tblHeader/>
        </w:trPr>
        <w:tc>
          <w:tcPr>
            <w:tcW w:w="964" w:type="pct"/>
          </w:tcPr>
          <w:p w14:paraId="24538D32" w14:textId="77E59C29" w:rsidR="003C7299" w:rsidRPr="003C7299" w:rsidRDefault="003C7299" w:rsidP="00CB5A30">
            <w:pPr>
              <w:rPr>
                <w:sz w:val="20"/>
                <w:szCs w:val="20"/>
              </w:rPr>
            </w:pPr>
            <w:r w:rsidRPr="003C7299">
              <w:rPr>
                <w:sz w:val="20"/>
                <w:szCs w:val="20"/>
              </w:rPr>
              <w:t>Wednesday 7 July 2021</w:t>
            </w:r>
          </w:p>
        </w:tc>
        <w:tc>
          <w:tcPr>
            <w:tcW w:w="4036" w:type="pct"/>
          </w:tcPr>
          <w:p w14:paraId="5A87AF53" w14:textId="77777777" w:rsidR="003C7299" w:rsidRPr="003C7299" w:rsidRDefault="003C7299" w:rsidP="00CB5A30">
            <w:pPr>
              <w:rPr>
                <w:sz w:val="20"/>
                <w:szCs w:val="20"/>
              </w:rPr>
            </w:pPr>
            <w:r w:rsidRPr="003C7299">
              <w:rPr>
                <w:sz w:val="20"/>
                <w:szCs w:val="20"/>
              </w:rPr>
              <w:t>APTC</w:t>
            </w:r>
          </w:p>
        </w:tc>
      </w:tr>
      <w:tr w:rsidR="003C7299" w14:paraId="7EC17FA1" w14:textId="77777777" w:rsidTr="008377FD">
        <w:trPr>
          <w:tblHeader/>
        </w:trPr>
        <w:tc>
          <w:tcPr>
            <w:tcW w:w="964" w:type="pct"/>
          </w:tcPr>
          <w:p w14:paraId="5F6AFDDA" w14:textId="5241917C" w:rsidR="003C7299" w:rsidRPr="003C7299" w:rsidRDefault="003C7299" w:rsidP="00CB5A30">
            <w:pPr>
              <w:rPr>
                <w:sz w:val="20"/>
                <w:szCs w:val="20"/>
              </w:rPr>
            </w:pPr>
            <w:r w:rsidRPr="003C7299">
              <w:rPr>
                <w:sz w:val="20"/>
                <w:szCs w:val="20"/>
              </w:rPr>
              <w:t>Thursday 8 July 2021</w:t>
            </w:r>
          </w:p>
        </w:tc>
        <w:tc>
          <w:tcPr>
            <w:tcW w:w="4036" w:type="pct"/>
          </w:tcPr>
          <w:p w14:paraId="68B18ED5" w14:textId="77777777" w:rsidR="003C7299" w:rsidRPr="003C7299" w:rsidRDefault="003C7299" w:rsidP="00CB5A30">
            <w:pPr>
              <w:rPr>
                <w:sz w:val="20"/>
                <w:szCs w:val="20"/>
              </w:rPr>
            </w:pPr>
            <w:r w:rsidRPr="003C7299">
              <w:rPr>
                <w:sz w:val="20"/>
                <w:szCs w:val="20"/>
              </w:rPr>
              <w:t xml:space="preserve">Meat processing </w:t>
            </w:r>
          </w:p>
        </w:tc>
      </w:tr>
      <w:tr w:rsidR="003C7299" w14:paraId="4B48D7C5" w14:textId="77777777" w:rsidTr="008377FD">
        <w:trPr>
          <w:tblHeader/>
        </w:trPr>
        <w:tc>
          <w:tcPr>
            <w:tcW w:w="964" w:type="pct"/>
          </w:tcPr>
          <w:p w14:paraId="1C728AB5" w14:textId="4F52A428" w:rsidR="003C7299" w:rsidRPr="003C7299" w:rsidRDefault="003C7299" w:rsidP="00CB5A30">
            <w:pPr>
              <w:rPr>
                <w:sz w:val="20"/>
                <w:szCs w:val="20"/>
              </w:rPr>
            </w:pPr>
            <w:r w:rsidRPr="003C7299">
              <w:rPr>
                <w:sz w:val="20"/>
                <w:szCs w:val="20"/>
              </w:rPr>
              <w:t>Thursday 8 July 2021</w:t>
            </w:r>
          </w:p>
        </w:tc>
        <w:tc>
          <w:tcPr>
            <w:tcW w:w="4036" w:type="pct"/>
          </w:tcPr>
          <w:p w14:paraId="403C2CC0" w14:textId="77777777" w:rsidR="003C7299" w:rsidRPr="002046CA" w:rsidRDefault="003C7299" w:rsidP="00CB5A30">
            <w:pPr>
              <w:rPr>
                <w:i/>
                <w:iCs/>
                <w:sz w:val="20"/>
                <w:szCs w:val="20"/>
              </w:rPr>
            </w:pPr>
            <w:r w:rsidRPr="002046CA">
              <w:rPr>
                <w:i/>
                <w:iCs/>
                <w:sz w:val="20"/>
                <w:szCs w:val="20"/>
              </w:rPr>
              <w:t>Hospitality and Tourism</w:t>
            </w:r>
          </w:p>
          <w:p w14:paraId="200DC4EF" w14:textId="5714BC81" w:rsidR="003C7299" w:rsidRPr="003C7299" w:rsidRDefault="003C7299" w:rsidP="003C7299">
            <w:pPr>
              <w:rPr>
                <w:sz w:val="20"/>
                <w:szCs w:val="20"/>
              </w:rPr>
            </w:pPr>
            <w:r w:rsidRPr="003C7299">
              <w:rPr>
                <w:sz w:val="20"/>
                <w:szCs w:val="20"/>
              </w:rPr>
              <w:t>Cable Beach Club; Prendiville Group; Restaurant and Catering Industry Association; Pullman Bunker Bay Resort; Kimberley Accommodation; DPIRD; Tourism WA; Australian Hotels Association NSW; Office of Rick Wilson; Queensland Hotels Association; Australian Hotels Association WA</w:t>
            </w:r>
          </w:p>
        </w:tc>
      </w:tr>
      <w:tr w:rsidR="003C7299" w14:paraId="1022E500" w14:textId="77777777" w:rsidTr="008377FD">
        <w:trPr>
          <w:tblHeader/>
        </w:trPr>
        <w:tc>
          <w:tcPr>
            <w:tcW w:w="964" w:type="pct"/>
          </w:tcPr>
          <w:p w14:paraId="0FF6D46A" w14:textId="676702BD" w:rsidR="003C7299" w:rsidRPr="003C7299" w:rsidRDefault="003C7299" w:rsidP="00CB5A30">
            <w:pPr>
              <w:rPr>
                <w:sz w:val="20"/>
                <w:szCs w:val="20"/>
              </w:rPr>
            </w:pPr>
            <w:r w:rsidRPr="003C7299">
              <w:rPr>
                <w:sz w:val="20"/>
                <w:szCs w:val="20"/>
              </w:rPr>
              <w:t>Friday 9 July 2021</w:t>
            </w:r>
          </w:p>
        </w:tc>
        <w:tc>
          <w:tcPr>
            <w:tcW w:w="4036" w:type="pct"/>
          </w:tcPr>
          <w:p w14:paraId="20DB178B" w14:textId="77777777" w:rsidR="003C7299" w:rsidRPr="003C7299" w:rsidRDefault="003C7299" w:rsidP="00CB5A30">
            <w:pPr>
              <w:rPr>
                <w:sz w:val="20"/>
                <w:szCs w:val="20"/>
              </w:rPr>
            </w:pPr>
            <w:r w:rsidRPr="003C7299">
              <w:rPr>
                <w:sz w:val="20"/>
                <w:szCs w:val="20"/>
              </w:rPr>
              <w:t>Citrus Australia</w:t>
            </w:r>
          </w:p>
        </w:tc>
      </w:tr>
      <w:tr w:rsidR="003C7299" w14:paraId="5F1F72AD" w14:textId="77777777" w:rsidTr="008377FD">
        <w:trPr>
          <w:tblHeader/>
        </w:trPr>
        <w:tc>
          <w:tcPr>
            <w:tcW w:w="964" w:type="pct"/>
          </w:tcPr>
          <w:p w14:paraId="2DCC7E86" w14:textId="51421F4C" w:rsidR="003C7299" w:rsidRPr="003C7299" w:rsidRDefault="003C7299" w:rsidP="00CB5A30">
            <w:pPr>
              <w:rPr>
                <w:sz w:val="20"/>
                <w:szCs w:val="20"/>
              </w:rPr>
            </w:pPr>
            <w:r w:rsidRPr="003C7299">
              <w:rPr>
                <w:sz w:val="20"/>
                <w:szCs w:val="20"/>
              </w:rPr>
              <w:t>Tuesday 13 July 2021</w:t>
            </w:r>
          </w:p>
        </w:tc>
        <w:tc>
          <w:tcPr>
            <w:tcW w:w="4036" w:type="pct"/>
          </w:tcPr>
          <w:p w14:paraId="464BA5AB" w14:textId="10C5FC30" w:rsidR="003C7299" w:rsidRPr="003C7299" w:rsidRDefault="003C7299" w:rsidP="00CB5A30">
            <w:pPr>
              <w:rPr>
                <w:sz w:val="20"/>
                <w:szCs w:val="20"/>
              </w:rPr>
            </w:pPr>
            <w:r w:rsidRPr="003C7299">
              <w:rPr>
                <w:sz w:val="20"/>
                <w:szCs w:val="20"/>
              </w:rPr>
              <w:t>Salvation Army</w:t>
            </w:r>
          </w:p>
        </w:tc>
      </w:tr>
      <w:tr w:rsidR="003C7299" w14:paraId="73C7D896" w14:textId="77777777" w:rsidTr="008377FD">
        <w:trPr>
          <w:tblHeader/>
        </w:trPr>
        <w:tc>
          <w:tcPr>
            <w:tcW w:w="964" w:type="pct"/>
          </w:tcPr>
          <w:p w14:paraId="18FEC26E" w14:textId="4E70A34A" w:rsidR="003C7299" w:rsidRPr="003C7299" w:rsidRDefault="003C7299" w:rsidP="00CB5A30">
            <w:pPr>
              <w:rPr>
                <w:sz w:val="20"/>
                <w:szCs w:val="20"/>
              </w:rPr>
            </w:pPr>
            <w:r w:rsidRPr="003C7299">
              <w:rPr>
                <w:sz w:val="20"/>
                <w:szCs w:val="20"/>
              </w:rPr>
              <w:t>Tuesday 13 July 2021</w:t>
            </w:r>
          </w:p>
        </w:tc>
        <w:tc>
          <w:tcPr>
            <w:tcW w:w="4036" w:type="pct"/>
          </w:tcPr>
          <w:p w14:paraId="3CB881F2" w14:textId="77777777" w:rsidR="003C7299" w:rsidRPr="003C7299" w:rsidRDefault="003C7299" w:rsidP="00CB5A30">
            <w:pPr>
              <w:rPr>
                <w:i/>
                <w:iCs/>
                <w:sz w:val="20"/>
                <w:szCs w:val="20"/>
              </w:rPr>
            </w:pPr>
            <w:r w:rsidRPr="003C7299">
              <w:rPr>
                <w:i/>
                <w:iCs/>
                <w:sz w:val="20"/>
                <w:szCs w:val="20"/>
              </w:rPr>
              <w:t>Aged care</w:t>
            </w:r>
          </w:p>
          <w:p w14:paraId="7328801D" w14:textId="72F90AA5" w:rsidR="003C7299" w:rsidRPr="003C7299" w:rsidRDefault="003C7299" w:rsidP="003C7299">
            <w:pPr>
              <w:rPr>
                <w:sz w:val="20"/>
                <w:szCs w:val="20"/>
              </w:rPr>
            </w:pPr>
            <w:r w:rsidRPr="003C7299">
              <w:rPr>
                <w:sz w:val="20"/>
                <w:szCs w:val="20"/>
              </w:rPr>
              <w:t xml:space="preserve">Uniting Care Queensland; Bushland Health; </w:t>
            </w:r>
            <w:proofErr w:type="spellStart"/>
            <w:r w:rsidRPr="003C7299">
              <w:rPr>
                <w:sz w:val="20"/>
                <w:szCs w:val="20"/>
              </w:rPr>
              <w:t>HealthX</w:t>
            </w:r>
            <w:proofErr w:type="spellEnd"/>
            <w:r w:rsidRPr="003C7299">
              <w:rPr>
                <w:sz w:val="20"/>
                <w:szCs w:val="20"/>
              </w:rPr>
              <w:t>; Bolton Clarke; Community Services Industry Alliance</w:t>
            </w:r>
          </w:p>
        </w:tc>
      </w:tr>
      <w:tr w:rsidR="003C7299" w14:paraId="172109BD" w14:textId="77777777" w:rsidTr="008377FD">
        <w:trPr>
          <w:tblHeader/>
        </w:trPr>
        <w:tc>
          <w:tcPr>
            <w:tcW w:w="964" w:type="pct"/>
          </w:tcPr>
          <w:p w14:paraId="523A4E6F" w14:textId="5C13B7F2" w:rsidR="003C7299" w:rsidRPr="003C7299" w:rsidRDefault="003C7299" w:rsidP="00CB5A30">
            <w:pPr>
              <w:rPr>
                <w:sz w:val="20"/>
                <w:szCs w:val="20"/>
              </w:rPr>
            </w:pPr>
            <w:r w:rsidRPr="003C7299">
              <w:rPr>
                <w:sz w:val="20"/>
                <w:szCs w:val="20"/>
              </w:rPr>
              <w:t>Wednesday 14 July 2021</w:t>
            </w:r>
          </w:p>
        </w:tc>
        <w:tc>
          <w:tcPr>
            <w:tcW w:w="4036" w:type="pct"/>
          </w:tcPr>
          <w:p w14:paraId="2121575B" w14:textId="77777777" w:rsidR="003C7299" w:rsidRPr="003C7299" w:rsidRDefault="003C7299" w:rsidP="00CB5A30">
            <w:pPr>
              <w:rPr>
                <w:sz w:val="20"/>
                <w:szCs w:val="20"/>
              </w:rPr>
            </w:pPr>
            <w:r w:rsidRPr="003C7299">
              <w:rPr>
                <w:sz w:val="20"/>
                <w:szCs w:val="20"/>
              </w:rPr>
              <w:t>PICSA and PICQ</w:t>
            </w:r>
          </w:p>
        </w:tc>
      </w:tr>
      <w:tr w:rsidR="003C7299" w14:paraId="4560979E" w14:textId="77777777" w:rsidTr="008377FD">
        <w:trPr>
          <w:tblHeader/>
        </w:trPr>
        <w:tc>
          <w:tcPr>
            <w:tcW w:w="964" w:type="pct"/>
          </w:tcPr>
          <w:p w14:paraId="5612F120" w14:textId="2CF586F8" w:rsidR="003C7299" w:rsidRPr="003C7299" w:rsidRDefault="003C7299" w:rsidP="00CB5A30">
            <w:pPr>
              <w:rPr>
                <w:sz w:val="20"/>
                <w:szCs w:val="20"/>
              </w:rPr>
            </w:pPr>
            <w:r w:rsidRPr="003C7299">
              <w:rPr>
                <w:sz w:val="20"/>
                <w:szCs w:val="20"/>
              </w:rPr>
              <w:t>Thursday 15 July 2021</w:t>
            </w:r>
          </w:p>
        </w:tc>
        <w:tc>
          <w:tcPr>
            <w:tcW w:w="4036" w:type="pct"/>
          </w:tcPr>
          <w:p w14:paraId="6DF75ABB" w14:textId="77777777" w:rsidR="003C7299" w:rsidRPr="003C7299" w:rsidRDefault="003C7299" w:rsidP="00CB5A30">
            <w:pPr>
              <w:rPr>
                <w:sz w:val="20"/>
                <w:szCs w:val="20"/>
              </w:rPr>
            </w:pPr>
            <w:r w:rsidRPr="003C7299">
              <w:rPr>
                <w:sz w:val="20"/>
                <w:szCs w:val="20"/>
              </w:rPr>
              <w:t>Pacific and Timor Governments and Labour Sending Units</w:t>
            </w:r>
          </w:p>
        </w:tc>
      </w:tr>
      <w:tr w:rsidR="003C7299" w14:paraId="1F625943" w14:textId="77777777" w:rsidTr="008377FD">
        <w:trPr>
          <w:tblHeader/>
        </w:trPr>
        <w:tc>
          <w:tcPr>
            <w:tcW w:w="964" w:type="pct"/>
          </w:tcPr>
          <w:p w14:paraId="68617752" w14:textId="741768C5" w:rsidR="003C7299" w:rsidRPr="003C7299" w:rsidRDefault="003C7299" w:rsidP="00CB5A30">
            <w:pPr>
              <w:rPr>
                <w:sz w:val="20"/>
                <w:szCs w:val="20"/>
              </w:rPr>
            </w:pPr>
            <w:r w:rsidRPr="003C7299">
              <w:rPr>
                <w:sz w:val="20"/>
                <w:szCs w:val="20"/>
              </w:rPr>
              <w:t>Thursday 15 July 2021</w:t>
            </w:r>
          </w:p>
        </w:tc>
        <w:tc>
          <w:tcPr>
            <w:tcW w:w="4036" w:type="pct"/>
          </w:tcPr>
          <w:p w14:paraId="64AB6C30" w14:textId="42FFA451" w:rsidR="003C7299" w:rsidRPr="003C7299" w:rsidRDefault="003C7299" w:rsidP="00CB5A30">
            <w:pPr>
              <w:rPr>
                <w:sz w:val="20"/>
                <w:szCs w:val="20"/>
              </w:rPr>
            </w:pPr>
            <w:r w:rsidRPr="003C7299">
              <w:rPr>
                <w:sz w:val="20"/>
                <w:szCs w:val="20"/>
              </w:rPr>
              <w:t>Country Liaison Officers</w:t>
            </w:r>
          </w:p>
        </w:tc>
      </w:tr>
      <w:tr w:rsidR="003C7299" w14:paraId="732D8B61" w14:textId="77777777" w:rsidTr="008377FD">
        <w:trPr>
          <w:tblHeader/>
        </w:trPr>
        <w:tc>
          <w:tcPr>
            <w:tcW w:w="964" w:type="pct"/>
          </w:tcPr>
          <w:p w14:paraId="547752AD" w14:textId="4C13B7E3" w:rsidR="003C7299" w:rsidRPr="003C7299" w:rsidRDefault="003C7299" w:rsidP="00CB5A30">
            <w:pPr>
              <w:rPr>
                <w:sz w:val="20"/>
                <w:szCs w:val="20"/>
              </w:rPr>
            </w:pPr>
            <w:r w:rsidRPr="003C7299">
              <w:rPr>
                <w:sz w:val="20"/>
                <w:szCs w:val="20"/>
              </w:rPr>
              <w:t>Thursday 15 July 2021</w:t>
            </w:r>
          </w:p>
        </w:tc>
        <w:tc>
          <w:tcPr>
            <w:tcW w:w="4036" w:type="pct"/>
          </w:tcPr>
          <w:p w14:paraId="52DFEA54" w14:textId="77777777" w:rsidR="003C7299" w:rsidRPr="003C7299" w:rsidRDefault="003C7299" w:rsidP="00CB5A30">
            <w:pPr>
              <w:rPr>
                <w:sz w:val="20"/>
                <w:szCs w:val="20"/>
              </w:rPr>
            </w:pPr>
            <w:r w:rsidRPr="003C7299">
              <w:rPr>
                <w:sz w:val="20"/>
                <w:szCs w:val="20"/>
              </w:rPr>
              <w:t>Commonwealth, States and Territories Roundtable on Aged Care</w:t>
            </w:r>
          </w:p>
        </w:tc>
      </w:tr>
      <w:tr w:rsidR="003C7299" w14:paraId="221BF9AA" w14:textId="77777777" w:rsidTr="008377FD">
        <w:trPr>
          <w:tblHeader/>
        </w:trPr>
        <w:tc>
          <w:tcPr>
            <w:tcW w:w="964" w:type="pct"/>
          </w:tcPr>
          <w:p w14:paraId="4C6B7918" w14:textId="42E5344B" w:rsidR="003C7299" w:rsidRPr="003C7299" w:rsidRDefault="003C7299" w:rsidP="00CB5A30">
            <w:pPr>
              <w:rPr>
                <w:sz w:val="20"/>
                <w:szCs w:val="20"/>
              </w:rPr>
            </w:pPr>
            <w:r w:rsidRPr="003C7299">
              <w:rPr>
                <w:sz w:val="20"/>
                <w:szCs w:val="20"/>
              </w:rPr>
              <w:t>Friday 16 July 2021</w:t>
            </w:r>
          </w:p>
        </w:tc>
        <w:tc>
          <w:tcPr>
            <w:tcW w:w="4036" w:type="pct"/>
          </w:tcPr>
          <w:p w14:paraId="7F0C9E25" w14:textId="19F7DD89" w:rsidR="003C7299" w:rsidRPr="003C7299" w:rsidRDefault="003C7299" w:rsidP="00CB5A30">
            <w:pPr>
              <w:rPr>
                <w:sz w:val="20"/>
                <w:szCs w:val="20"/>
              </w:rPr>
            </w:pPr>
            <w:r w:rsidRPr="003C7299">
              <w:rPr>
                <w:sz w:val="20"/>
                <w:szCs w:val="20"/>
              </w:rPr>
              <w:t>Claire Field</w:t>
            </w:r>
          </w:p>
        </w:tc>
      </w:tr>
    </w:tbl>
    <w:p w14:paraId="3176950E" w14:textId="4EE2CA60" w:rsidR="00551468" w:rsidRDefault="00A22BA4" w:rsidP="003F77E8">
      <w:r>
        <w:br w:type="page"/>
      </w:r>
    </w:p>
    <w:p w14:paraId="040BDD4D" w14:textId="1267C645" w:rsidR="00C37BD1" w:rsidRDefault="00C37BD1" w:rsidP="00381F9A">
      <w:pPr>
        <w:pStyle w:val="Heading2"/>
        <w:spacing w:before="0" w:after="120"/>
      </w:pPr>
      <w:r w:rsidRPr="00DD3D66">
        <w:t>Attachment</w:t>
      </w:r>
      <w:r>
        <w:t xml:space="preserve"> </w:t>
      </w:r>
      <w:r w:rsidR="009C2C4F">
        <w:t>C</w:t>
      </w:r>
      <w:r>
        <w:t>: website and written submissions</w:t>
      </w:r>
    </w:p>
    <w:tbl>
      <w:tblPr>
        <w:tblStyle w:val="TableGrid"/>
        <w:tblW w:w="5000" w:type="pct"/>
        <w:tblLook w:val="04A0" w:firstRow="1" w:lastRow="0" w:firstColumn="1" w:lastColumn="0" w:noHBand="0" w:noVBand="1"/>
      </w:tblPr>
      <w:tblGrid>
        <w:gridCol w:w="2886"/>
        <w:gridCol w:w="3065"/>
        <w:gridCol w:w="3065"/>
      </w:tblGrid>
      <w:tr w:rsidR="00461197" w:rsidRPr="00641ADD" w14:paraId="42ABFA76" w14:textId="77777777" w:rsidTr="008377FD">
        <w:trPr>
          <w:tblHeader/>
        </w:trPr>
        <w:tc>
          <w:tcPr>
            <w:tcW w:w="1600" w:type="pct"/>
            <w:shd w:val="clear" w:color="auto" w:fill="8EAADB" w:themeFill="accent1" w:themeFillTint="99"/>
          </w:tcPr>
          <w:p w14:paraId="0BDB2AC8" w14:textId="0A79269A" w:rsidR="00461197" w:rsidRPr="00641ADD" w:rsidRDefault="00461197" w:rsidP="006D1093">
            <w:pPr>
              <w:rPr>
                <w:b/>
                <w:bCs/>
              </w:rPr>
            </w:pPr>
            <w:r>
              <w:rPr>
                <w:b/>
                <w:bCs/>
              </w:rPr>
              <w:t>Stakeholder group</w:t>
            </w:r>
          </w:p>
        </w:tc>
        <w:tc>
          <w:tcPr>
            <w:tcW w:w="1700" w:type="pct"/>
            <w:shd w:val="clear" w:color="auto" w:fill="8EAADB" w:themeFill="accent1" w:themeFillTint="99"/>
          </w:tcPr>
          <w:p w14:paraId="24144A02" w14:textId="18F96591" w:rsidR="00461197" w:rsidRPr="00DF070A" w:rsidRDefault="00461197" w:rsidP="006D1093">
            <w:pPr>
              <w:rPr>
                <w:b/>
                <w:bCs/>
              </w:rPr>
            </w:pPr>
            <w:r>
              <w:rPr>
                <w:b/>
                <w:bCs/>
              </w:rPr>
              <w:t>Website submissions</w:t>
            </w:r>
          </w:p>
        </w:tc>
        <w:tc>
          <w:tcPr>
            <w:tcW w:w="1700" w:type="pct"/>
            <w:shd w:val="clear" w:color="auto" w:fill="8EAADB" w:themeFill="accent1" w:themeFillTint="99"/>
          </w:tcPr>
          <w:p w14:paraId="7204F15A" w14:textId="56F762B5" w:rsidR="00461197" w:rsidRPr="00DF070A" w:rsidRDefault="00461197" w:rsidP="006D1093">
            <w:pPr>
              <w:rPr>
                <w:b/>
                <w:bCs/>
              </w:rPr>
            </w:pPr>
            <w:r>
              <w:rPr>
                <w:b/>
                <w:bCs/>
              </w:rPr>
              <w:t>Written</w:t>
            </w:r>
            <w:r w:rsidRPr="00DF070A">
              <w:rPr>
                <w:b/>
                <w:bCs/>
              </w:rPr>
              <w:t xml:space="preserve"> submissions </w:t>
            </w:r>
          </w:p>
        </w:tc>
      </w:tr>
      <w:tr w:rsidR="00461197" w:rsidRPr="003C7299" w14:paraId="42B4FD37" w14:textId="77777777" w:rsidTr="00461197">
        <w:tc>
          <w:tcPr>
            <w:tcW w:w="1600" w:type="pct"/>
          </w:tcPr>
          <w:p w14:paraId="5AB468F1" w14:textId="56955BDE" w:rsidR="00461197" w:rsidRPr="009D635E" w:rsidRDefault="00461197" w:rsidP="006D1093">
            <w:pPr>
              <w:rPr>
                <w:b/>
                <w:bCs/>
                <w:sz w:val="20"/>
                <w:szCs w:val="20"/>
              </w:rPr>
            </w:pPr>
            <w:r w:rsidRPr="009D635E">
              <w:rPr>
                <w:b/>
                <w:bCs/>
                <w:sz w:val="20"/>
                <w:szCs w:val="20"/>
              </w:rPr>
              <w:t>Academia</w:t>
            </w:r>
          </w:p>
        </w:tc>
        <w:tc>
          <w:tcPr>
            <w:tcW w:w="1700" w:type="pct"/>
          </w:tcPr>
          <w:p w14:paraId="6687FB12" w14:textId="6B92A3B3" w:rsidR="00461197" w:rsidRPr="00DD746F" w:rsidRDefault="00461197" w:rsidP="00461197">
            <w:pPr>
              <w:rPr>
                <w:b/>
                <w:bCs/>
                <w:sz w:val="20"/>
                <w:szCs w:val="20"/>
              </w:rPr>
            </w:pPr>
            <w:r w:rsidRPr="00DD746F">
              <w:rPr>
                <w:b/>
                <w:bCs/>
                <w:sz w:val="20"/>
                <w:szCs w:val="20"/>
              </w:rPr>
              <w:t>1</w:t>
            </w:r>
          </w:p>
        </w:tc>
        <w:tc>
          <w:tcPr>
            <w:tcW w:w="1700" w:type="pct"/>
          </w:tcPr>
          <w:p w14:paraId="562ACADA" w14:textId="1E70B550" w:rsidR="00461197" w:rsidRPr="00DD746F" w:rsidRDefault="00461197" w:rsidP="00461197">
            <w:pPr>
              <w:rPr>
                <w:b/>
                <w:bCs/>
                <w:sz w:val="20"/>
                <w:szCs w:val="20"/>
              </w:rPr>
            </w:pPr>
            <w:r w:rsidRPr="00DD746F">
              <w:rPr>
                <w:b/>
                <w:bCs/>
                <w:sz w:val="20"/>
                <w:szCs w:val="20"/>
              </w:rPr>
              <w:t>3</w:t>
            </w:r>
          </w:p>
        </w:tc>
      </w:tr>
      <w:tr w:rsidR="00461197" w:rsidRPr="003C7299" w14:paraId="20DC82CC" w14:textId="77777777" w:rsidTr="00461197">
        <w:tc>
          <w:tcPr>
            <w:tcW w:w="1600" w:type="pct"/>
          </w:tcPr>
          <w:p w14:paraId="3462EFA9" w14:textId="615972BA" w:rsidR="00461197" w:rsidRPr="009D635E" w:rsidRDefault="00461197" w:rsidP="006D1093">
            <w:pPr>
              <w:rPr>
                <w:b/>
                <w:bCs/>
                <w:sz w:val="20"/>
                <w:szCs w:val="20"/>
              </w:rPr>
            </w:pPr>
            <w:r w:rsidRPr="009D635E">
              <w:rPr>
                <w:b/>
                <w:bCs/>
                <w:sz w:val="20"/>
                <w:szCs w:val="20"/>
              </w:rPr>
              <w:t>Community Groups</w:t>
            </w:r>
          </w:p>
        </w:tc>
        <w:tc>
          <w:tcPr>
            <w:tcW w:w="1700" w:type="pct"/>
          </w:tcPr>
          <w:p w14:paraId="6BE963E3" w14:textId="4926ED95" w:rsidR="00461197" w:rsidRPr="00DD746F" w:rsidRDefault="00461197" w:rsidP="00461197">
            <w:pPr>
              <w:rPr>
                <w:b/>
                <w:bCs/>
                <w:sz w:val="20"/>
                <w:szCs w:val="20"/>
              </w:rPr>
            </w:pPr>
            <w:r w:rsidRPr="00DD746F">
              <w:rPr>
                <w:b/>
                <w:bCs/>
                <w:sz w:val="20"/>
                <w:szCs w:val="20"/>
              </w:rPr>
              <w:t>7</w:t>
            </w:r>
          </w:p>
        </w:tc>
        <w:tc>
          <w:tcPr>
            <w:tcW w:w="1700" w:type="pct"/>
          </w:tcPr>
          <w:p w14:paraId="52910793" w14:textId="27524E56" w:rsidR="00461197" w:rsidRPr="00DD746F" w:rsidRDefault="00DD746F" w:rsidP="00461197">
            <w:pPr>
              <w:rPr>
                <w:b/>
                <w:bCs/>
                <w:sz w:val="20"/>
                <w:szCs w:val="20"/>
              </w:rPr>
            </w:pPr>
            <w:r w:rsidRPr="00DD746F">
              <w:rPr>
                <w:b/>
                <w:bCs/>
                <w:sz w:val="20"/>
                <w:szCs w:val="20"/>
              </w:rPr>
              <w:t>5</w:t>
            </w:r>
          </w:p>
        </w:tc>
      </w:tr>
      <w:tr w:rsidR="00461197" w:rsidRPr="003C7299" w14:paraId="5DB5AA79" w14:textId="77777777" w:rsidTr="00461197">
        <w:tc>
          <w:tcPr>
            <w:tcW w:w="1600" w:type="pct"/>
          </w:tcPr>
          <w:p w14:paraId="52B57732" w14:textId="77777777" w:rsidR="00461197" w:rsidRDefault="00461197" w:rsidP="006D1093">
            <w:pPr>
              <w:rPr>
                <w:sz w:val="20"/>
                <w:szCs w:val="20"/>
              </w:rPr>
            </w:pPr>
            <w:r w:rsidRPr="009D635E">
              <w:rPr>
                <w:b/>
                <w:bCs/>
                <w:sz w:val="20"/>
                <w:szCs w:val="20"/>
              </w:rPr>
              <w:t>Employer</w:t>
            </w:r>
          </w:p>
          <w:p w14:paraId="6FB00B05" w14:textId="77777777" w:rsidR="00DD746F" w:rsidRDefault="00DD746F" w:rsidP="00DD746F">
            <w:pPr>
              <w:pStyle w:val="ListParagraph"/>
              <w:numPr>
                <w:ilvl w:val="0"/>
                <w:numId w:val="4"/>
              </w:numPr>
              <w:rPr>
                <w:sz w:val="20"/>
                <w:szCs w:val="20"/>
              </w:rPr>
            </w:pPr>
            <w:r>
              <w:rPr>
                <w:sz w:val="20"/>
                <w:szCs w:val="20"/>
              </w:rPr>
              <w:t>agriculture</w:t>
            </w:r>
          </w:p>
          <w:p w14:paraId="49653394" w14:textId="77777777" w:rsidR="00DD746F" w:rsidRDefault="00DD746F" w:rsidP="00DD746F">
            <w:pPr>
              <w:pStyle w:val="ListParagraph"/>
              <w:numPr>
                <w:ilvl w:val="0"/>
                <w:numId w:val="4"/>
              </w:numPr>
              <w:rPr>
                <w:sz w:val="20"/>
                <w:szCs w:val="20"/>
              </w:rPr>
            </w:pPr>
            <w:r>
              <w:rPr>
                <w:sz w:val="20"/>
                <w:szCs w:val="20"/>
              </w:rPr>
              <w:t>meat processing</w:t>
            </w:r>
          </w:p>
          <w:p w14:paraId="5EC59CAE" w14:textId="77777777" w:rsidR="00DD746F" w:rsidRDefault="00DD746F" w:rsidP="00DD746F">
            <w:pPr>
              <w:pStyle w:val="ListParagraph"/>
              <w:numPr>
                <w:ilvl w:val="0"/>
                <w:numId w:val="4"/>
              </w:numPr>
              <w:rPr>
                <w:sz w:val="20"/>
                <w:szCs w:val="20"/>
              </w:rPr>
            </w:pPr>
            <w:r>
              <w:rPr>
                <w:sz w:val="20"/>
                <w:szCs w:val="20"/>
              </w:rPr>
              <w:t>care</w:t>
            </w:r>
          </w:p>
          <w:p w14:paraId="699BF463" w14:textId="77777777" w:rsidR="00DD746F" w:rsidRDefault="00DD746F" w:rsidP="00DD746F">
            <w:pPr>
              <w:pStyle w:val="ListParagraph"/>
              <w:numPr>
                <w:ilvl w:val="0"/>
                <w:numId w:val="4"/>
              </w:numPr>
              <w:rPr>
                <w:sz w:val="20"/>
                <w:szCs w:val="20"/>
              </w:rPr>
            </w:pPr>
            <w:r>
              <w:rPr>
                <w:sz w:val="20"/>
                <w:szCs w:val="20"/>
              </w:rPr>
              <w:t>tourism/hospitality</w:t>
            </w:r>
          </w:p>
          <w:p w14:paraId="10B88341" w14:textId="1F4BA205" w:rsidR="00DD746F" w:rsidRPr="00DD746F" w:rsidRDefault="00DD746F" w:rsidP="00DD746F">
            <w:pPr>
              <w:pStyle w:val="ListParagraph"/>
              <w:numPr>
                <w:ilvl w:val="0"/>
                <w:numId w:val="4"/>
              </w:numPr>
              <w:rPr>
                <w:sz w:val="20"/>
                <w:szCs w:val="20"/>
              </w:rPr>
            </w:pPr>
            <w:r>
              <w:rPr>
                <w:sz w:val="20"/>
                <w:szCs w:val="20"/>
              </w:rPr>
              <w:t>other</w:t>
            </w:r>
          </w:p>
        </w:tc>
        <w:tc>
          <w:tcPr>
            <w:tcW w:w="1700" w:type="pct"/>
          </w:tcPr>
          <w:p w14:paraId="1AFAA5F7" w14:textId="0CDBC267" w:rsidR="00461197" w:rsidRDefault="00461197" w:rsidP="00461197">
            <w:pPr>
              <w:rPr>
                <w:sz w:val="20"/>
                <w:szCs w:val="20"/>
              </w:rPr>
            </w:pPr>
            <w:r w:rsidRPr="00DD746F">
              <w:rPr>
                <w:b/>
                <w:bCs/>
                <w:sz w:val="20"/>
                <w:szCs w:val="20"/>
              </w:rPr>
              <w:t>3</w:t>
            </w:r>
            <w:r w:rsidR="00342520">
              <w:rPr>
                <w:b/>
                <w:bCs/>
                <w:sz w:val="20"/>
                <w:szCs w:val="20"/>
              </w:rPr>
              <w:t>7</w:t>
            </w:r>
          </w:p>
          <w:p w14:paraId="073E4B6B" w14:textId="6A6D5992" w:rsidR="006C1CDC" w:rsidRDefault="006C1CDC" w:rsidP="006C1CDC">
            <w:pPr>
              <w:pStyle w:val="ListParagraph"/>
              <w:numPr>
                <w:ilvl w:val="0"/>
                <w:numId w:val="13"/>
              </w:numPr>
              <w:rPr>
                <w:sz w:val="20"/>
                <w:szCs w:val="20"/>
              </w:rPr>
            </w:pPr>
            <w:r>
              <w:rPr>
                <w:sz w:val="20"/>
                <w:szCs w:val="20"/>
              </w:rPr>
              <w:t>16</w:t>
            </w:r>
          </w:p>
          <w:p w14:paraId="1A7FAB18" w14:textId="36E965F2" w:rsidR="006C1CDC" w:rsidRDefault="006C1CDC" w:rsidP="006C1CDC">
            <w:pPr>
              <w:pStyle w:val="ListParagraph"/>
              <w:numPr>
                <w:ilvl w:val="0"/>
                <w:numId w:val="13"/>
              </w:numPr>
              <w:rPr>
                <w:sz w:val="20"/>
                <w:szCs w:val="20"/>
              </w:rPr>
            </w:pPr>
            <w:r>
              <w:rPr>
                <w:sz w:val="20"/>
                <w:szCs w:val="20"/>
              </w:rPr>
              <w:t>1</w:t>
            </w:r>
            <w:r w:rsidR="00342520">
              <w:rPr>
                <w:sz w:val="20"/>
                <w:szCs w:val="20"/>
              </w:rPr>
              <w:t>5</w:t>
            </w:r>
          </w:p>
          <w:p w14:paraId="476CF900" w14:textId="77777777" w:rsidR="006C1CDC" w:rsidRDefault="006C1CDC" w:rsidP="006C1CDC">
            <w:pPr>
              <w:pStyle w:val="ListParagraph"/>
              <w:numPr>
                <w:ilvl w:val="0"/>
                <w:numId w:val="13"/>
              </w:numPr>
              <w:rPr>
                <w:sz w:val="20"/>
                <w:szCs w:val="20"/>
              </w:rPr>
            </w:pPr>
            <w:r>
              <w:rPr>
                <w:sz w:val="20"/>
                <w:szCs w:val="20"/>
              </w:rPr>
              <w:t>2</w:t>
            </w:r>
          </w:p>
          <w:p w14:paraId="47B29D34" w14:textId="77777777" w:rsidR="006C1CDC" w:rsidRDefault="006C1CDC" w:rsidP="006C1CDC">
            <w:pPr>
              <w:pStyle w:val="ListParagraph"/>
              <w:numPr>
                <w:ilvl w:val="0"/>
                <w:numId w:val="13"/>
              </w:numPr>
              <w:rPr>
                <w:sz w:val="20"/>
                <w:szCs w:val="20"/>
              </w:rPr>
            </w:pPr>
            <w:r>
              <w:rPr>
                <w:sz w:val="20"/>
                <w:szCs w:val="20"/>
              </w:rPr>
              <w:t>0</w:t>
            </w:r>
          </w:p>
          <w:p w14:paraId="57BEC82F" w14:textId="740CFBD5" w:rsidR="006C1CDC" w:rsidRPr="006C1CDC" w:rsidRDefault="008D16FB" w:rsidP="006C1CDC">
            <w:pPr>
              <w:pStyle w:val="ListParagraph"/>
              <w:numPr>
                <w:ilvl w:val="0"/>
                <w:numId w:val="13"/>
              </w:numPr>
              <w:rPr>
                <w:sz w:val="20"/>
                <w:szCs w:val="20"/>
              </w:rPr>
            </w:pPr>
            <w:r>
              <w:rPr>
                <w:sz w:val="20"/>
                <w:szCs w:val="20"/>
              </w:rPr>
              <w:t>4</w:t>
            </w:r>
          </w:p>
        </w:tc>
        <w:tc>
          <w:tcPr>
            <w:tcW w:w="1700" w:type="pct"/>
          </w:tcPr>
          <w:p w14:paraId="38A97E25" w14:textId="77777777" w:rsidR="00461197" w:rsidRPr="00DD746F" w:rsidRDefault="00BD4A50" w:rsidP="00461197">
            <w:pPr>
              <w:rPr>
                <w:b/>
                <w:bCs/>
                <w:sz w:val="20"/>
                <w:szCs w:val="20"/>
              </w:rPr>
            </w:pPr>
            <w:r w:rsidRPr="00DD746F">
              <w:rPr>
                <w:b/>
                <w:bCs/>
                <w:sz w:val="20"/>
                <w:szCs w:val="20"/>
              </w:rPr>
              <w:t>9</w:t>
            </w:r>
          </w:p>
          <w:p w14:paraId="2F087D43" w14:textId="77777777" w:rsidR="00DD746F" w:rsidRDefault="00DD746F" w:rsidP="00DD746F">
            <w:pPr>
              <w:pStyle w:val="ListParagraph"/>
              <w:numPr>
                <w:ilvl w:val="0"/>
                <w:numId w:val="3"/>
              </w:numPr>
              <w:rPr>
                <w:sz w:val="20"/>
                <w:szCs w:val="20"/>
              </w:rPr>
            </w:pPr>
            <w:r w:rsidRPr="00DD746F">
              <w:rPr>
                <w:sz w:val="20"/>
                <w:szCs w:val="20"/>
              </w:rPr>
              <w:t>5</w:t>
            </w:r>
          </w:p>
          <w:p w14:paraId="5347CAEE" w14:textId="77777777" w:rsidR="00DD746F" w:rsidRDefault="00DD746F" w:rsidP="00DD746F">
            <w:pPr>
              <w:pStyle w:val="ListParagraph"/>
              <w:numPr>
                <w:ilvl w:val="0"/>
                <w:numId w:val="3"/>
              </w:numPr>
              <w:rPr>
                <w:sz w:val="20"/>
                <w:szCs w:val="20"/>
              </w:rPr>
            </w:pPr>
            <w:r w:rsidRPr="00DD746F">
              <w:rPr>
                <w:sz w:val="20"/>
                <w:szCs w:val="20"/>
              </w:rPr>
              <w:t>3</w:t>
            </w:r>
          </w:p>
          <w:p w14:paraId="6C30FED2" w14:textId="77777777" w:rsidR="00DD746F" w:rsidRDefault="00DD746F" w:rsidP="00DD746F">
            <w:pPr>
              <w:pStyle w:val="ListParagraph"/>
              <w:numPr>
                <w:ilvl w:val="0"/>
                <w:numId w:val="3"/>
              </w:numPr>
              <w:rPr>
                <w:sz w:val="20"/>
                <w:szCs w:val="20"/>
              </w:rPr>
            </w:pPr>
            <w:r w:rsidRPr="00DD746F">
              <w:rPr>
                <w:sz w:val="20"/>
                <w:szCs w:val="20"/>
              </w:rPr>
              <w:t>0</w:t>
            </w:r>
          </w:p>
          <w:p w14:paraId="1EE262C5" w14:textId="77777777" w:rsidR="00DD746F" w:rsidRDefault="00DD746F" w:rsidP="00DD746F">
            <w:pPr>
              <w:pStyle w:val="ListParagraph"/>
              <w:numPr>
                <w:ilvl w:val="0"/>
                <w:numId w:val="3"/>
              </w:numPr>
              <w:rPr>
                <w:sz w:val="20"/>
                <w:szCs w:val="20"/>
              </w:rPr>
            </w:pPr>
            <w:r w:rsidRPr="00DD746F">
              <w:rPr>
                <w:sz w:val="20"/>
                <w:szCs w:val="20"/>
              </w:rPr>
              <w:t>0</w:t>
            </w:r>
          </w:p>
          <w:p w14:paraId="119008FE" w14:textId="32DB3739" w:rsidR="00DD746F" w:rsidRPr="00DD746F" w:rsidRDefault="00DD746F" w:rsidP="00DD746F">
            <w:pPr>
              <w:pStyle w:val="ListParagraph"/>
              <w:numPr>
                <w:ilvl w:val="0"/>
                <w:numId w:val="3"/>
              </w:numPr>
              <w:rPr>
                <w:sz w:val="20"/>
                <w:szCs w:val="20"/>
              </w:rPr>
            </w:pPr>
            <w:r w:rsidRPr="00DD746F">
              <w:rPr>
                <w:sz w:val="20"/>
                <w:szCs w:val="20"/>
              </w:rPr>
              <w:t>1</w:t>
            </w:r>
          </w:p>
        </w:tc>
      </w:tr>
      <w:tr w:rsidR="00461197" w:rsidRPr="003C7299" w14:paraId="317795C5" w14:textId="77777777" w:rsidTr="00461197">
        <w:tc>
          <w:tcPr>
            <w:tcW w:w="1600" w:type="pct"/>
          </w:tcPr>
          <w:p w14:paraId="20CA909A" w14:textId="77777777" w:rsidR="00461197" w:rsidRDefault="00461197" w:rsidP="006D1093">
            <w:pPr>
              <w:rPr>
                <w:sz w:val="20"/>
                <w:szCs w:val="20"/>
              </w:rPr>
            </w:pPr>
            <w:r w:rsidRPr="009D635E">
              <w:rPr>
                <w:b/>
                <w:bCs/>
                <w:sz w:val="20"/>
                <w:szCs w:val="20"/>
              </w:rPr>
              <w:t>Government</w:t>
            </w:r>
          </w:p>
          <w:p w14:paraId="649DDE82" w14:textId="77777777" w:rsidR="00DD746F" w:rsidRDefault="00DD746F" w:rsidP="00DD746F">
            <w:pPr>
              <w:pStyle w:val="ListParagraph"/>
              <w:numPr>
                <w:ilvl w:val="0"/>
                <w:numId w:val="5"/>
              </w:numPr>
              <w:rPr>
                <w:sz w:val="20"/>
                <w:szCs w:val="20"/>
              </w:rPr>
            </w:pPr>
            <w:r>
              <w:rPr>
                <w:sz w:val="20"/>
                <w:szCs w:val="20"/>
              </w:rPr>
              <w:t>state/territory</w:t>
            </w:r>
          </w:p>
          <w:p w14:paraId="3DD977F3" w14:textId="71391BAC" w:rsidR="00DD746F" w:rsidRPr="00DD746F" w:rsidRDefault="00DD746F" w:rsidP="00DD746F">
            <w:pPr>
              <w:pStyle w:val="ListParagraph"/>
              <w:numPr>
                <w:ilvl w:val="0"/>
                <w:numId w:val="5"/>
              </w:numPr>
              <w:rPr>
                <w:sz w:val="20"/>
                <w:szCs w:val="20"/>
              </w:rPr>
            </w:pPr>
            <w:r>
              <w:rPr>
                <w:sz w:val="20"/>
                <w:szCs w:val="20"/>
              </w:rPr>
              <w:t>local/regional</w:t>
            </w:r>
          </w:p>
        </w:tc>
        <w:tc>
          <w:tcPr>
            <w:tcW w:w="1700" w:type="pct"/>
          </w:tcPr>
          <w:p w14:paraId="5AB7CA0F" w14:textId="6ABF1FE2" w:rsidR="00461197" w:rsidRPr="00DD746F" w:rsidRDefault="00461197" w:rsidP="00461197">
            <w:pPr>
              <w:rPr>
                <w:b/>
                <w:bCs/>
                <w:sz w:val="20"/>
                <w:szCs w:val="20"/>
              </w:rPr>
            </w:pPr>
            <w:r w:rsidRPr="00DD746F">
              <w:rPr>
                <w:b/>
                <w:bCs/>
                <w:sz w:val="20"/>
                <w:szCs w:val="20"/>
              </w:rPr>
              <w:t>3</w:t>
            </w:r>
          </w:p>
        </w:tc>
        <w:tc>
          <w:tcPr>
            <w:tcW w:w="1700" w:type="pct"/>
          </w:tcPr>
          <w:p w14:paraId="6AC2D100" w14:textId="77777777" w:rsidR="00461197" w:rsidRDefault="00461197" w:rsidP="00461197">
            <w:pPr>
              <w:rPr>
                <w:sz w:val="20"/>
                <w:szCs w:val="20"/>
              </w:rPr>
            </w:pPr>
            <w:r w:rsidRPr="00DD746F">
              <w:rPr>
                <w:b/>
                <w:bCs/>
                <w:sz w:val="20"/>
                <w:szCs w:val="20"/>
              </w:rPr>
              <w:t>5</w:t>
            </w:r>
          </w:p>
          <w:p w14:paraId="75DE37E4" w14:textId="77777777" w:rsidR="00DD746F" w:rsidRPr="00DD746F" w:rsidRDefault="00DD746F" w:rsidP="00DD746F">
            <w:pPr>
              <w:pStyle w:val="ListParagraph"/>
              <w:numPr>
                <w:ilvl w:val="0"/>
                <w:numId w:val="9"/>
              </w:numPr>
              <w:rPr>
                <w:sz w:val="20"/>
                <w:szCs w:val="20"/>
              </w:rPr>
            </w:pPr>
            <w:r w:rsidRPr="00DD746F">
              <w:rPr>
                <w:sz w:val="20"/>
                <w:szCs w:val="20"/>
              </w:rPr>
              <w:t>3</w:t>
            </w:r>
          </w:p>
          <w:p w14:paraId="5ADB7DD7" w14:textId="71D70D7D" w:rsidR="00DD746F" w:rsidRPr="00DD746F" w:rsidRDefault="00DD746F" w:rsidP="00DD746F">
            <w:pPr>
              <w:pStyle w:val="ListParagraph"/>
              <w:numPr>
                <w:ilvl w:val="0"/>
                <w:numId w:val="9"/>
              </w:numPr>
              <w:rPr>
                <w:sz w:val="20"/>
                <w:szCs w:val="20"/>
              </w:rPr>
            </w:pPr>
            <w:r w:rsidRPr="00DD746F">
              <w:rPr>
                <w:sz w:val="20"/>
                <w:szCs w:val="20"/>
              </w:rPr>
              <w:t>2</w:t>
            </w:r>
          </w:p>
        </w:tc>
      </w:tr>
      <w:tr w:rsidR="00461197" w:rsidRPr="003C7299" w14:paraId="41113BC6" w14:textId="77777777" w:rsidTr="00461197">
        <w:tc>
          <w:tcPr>
            <w:tcW w:w="1600" w:type="pct"/>
          </w:tcPr>
          <w:p w14:paraId="60D0F6A2" w14:textId="77777777" w:rsidR="00461197" w:rsidRDefault="00461197" w:rsidP="00461197">
            <w:pPr>
              <w:rPr>
                <w:sz w:val="20"/>
                <w:szCs w:val="20"/>
              </w:rPr>
            </w:pPr>
            <w:r w:rsidRPr="009D635E">
              <w:rPr>
                <w:b/>
                <w:bCs/>
                <w:sz w:val="20"/>
                <w:szCs w:val="20"/>
              </w:rPr>
              <w:t>Industry body</w:t>
            </w:r>
          </w:p>
          <w:p w14:paraId="3ED4C3D0" w14:textId="77777777" w:rsidR="00DD746F" w:rsidRDefault="00DD746F" w:rsidP="00DD746F">
            <w:pPr>
              <w:pStyle w:val="ListParagraph"/>
              <w:numPr>
                <w:ilvl w:val="0"/>
                <w:numId w:val="6"/>
              </w:numPr>
              <w:rPr>
                <w:sz w:val="20"/>
                <w:szCs w:val="20"/>
              </w:rPr>
            </w:pPr>
            <w:r>
              <w:rPr>
                <w:sz w:val="20"/>
                <w:szCs w:val="20"/>
              </w:rPr>
              <w:t>agriculture</w:t>
            </w:r>
          </w:p>
          <w:p w14:paraId="5DC2963D" w14:textId="77777777" w:rsidR="00DD746F" w:rsidRDefault="00DD746F" w:rsidP="00DD746F">
            <w:pPr>
              <w:pStyle w:val="ListParagraph"/>
              <w:numPr>
                <w:ilvl w:val="0"/>
                <w:numId w:val="6"/>
              </w:numPr>
              <w:rPr>
                <w:sz w:val="20"/>
                <w:szCs w:val="20"/>
              </w:rPr>
            </w:pPr>
            <w:r>
              <w:rPr>
                <w:sz w:val="20"/>
                <w:szCs w:val="20"/>
              </w:rPr>
              <w:t>meat processing</w:t>
            </w:r>
          </w:p>
          <w:p w14:paraId="4913951E" w14:textId="068A27E5" w:rsidR="00DD746F" w:rsidRDefault="00DD746F" w:rsidP="00DD746F">
            <w:pPr>
              <w:pStyle w:val="ListParagraph"/>
              <w:numPr>
                <w:ilvl w:val="0"/>
                <w:numId w:val="6"/>
              </w:numPr>
              <w:rPr>
                <w:sz w:val="20"/>
                <w:szCs w:val="20"/>
              </w:rPr>
            </w:pPr>
            <w:r>
              <w:rPr>
                <w:sz w:val="20"/>
                <w:szCs w:val="20"/>
              </w:rPr>
              <w:t>care</w:t>
            </w:r>
          </w:p>
          <w:p w14:paraId="7D29276C" w14:textId="4B03CDB2" w:rsidR="00DD746F" w:rsidRDefault="00DD746F" w:rsidP="00DD746F">
            <w:pPr>
              <w:pStyle w:val="ListParagraph"/>
              <w:numPr>
                <w:ilvl w:val="0"/>
                <w:numId w:val="6"/>
              </w:numPr>
              <w:rPr>
                <w:sz w:val="20"/>
                <w:szCs w:val="20"/>
              </w:rPr>
            </w:pPr>
            <w:r>
              <w:rPr>
                <w:sz w:val="20"/>
                <w:szCs w:val="20"/>
              </w:rPr>
              <w:t>tourism/hospitality</w:t>
            </w:r>
          </w:p>
          <w:p w14:paraId="17B7CAF1" w14:textId="5C531CCA" w:rsidR="00DD746F" w:rsidRPr="00DD746F" w:rsidRDefault="00DD746F" w:rsidP="00DD746F">
            <w:pPr>
              <w:pStyle w:val="ListParagraph"/>
              <w:numPr>
                <w:ilvl w:val="0"/>
                <w:numId w:val="6"/>
              </w:numPr>
              <w:rPr>
                <w:sz w:val="20"/>
                <w:szCs w:val="20"/>
              </w:rPr>
            </w:pPr>
            <w:r>
              <w:rPr>
                <w:sz w:val="20"/>
                <w:szCs w:val="20"/>
              </w:rPr>
              <w:t>other</w:t>
            </w:r>
          </w:p>
        </w:tc>
        <w:tc>
          <w:tcPr>
            <w:tcW w:w="1700" w:type="pct"/>
          </w:tcPr>
          <w:p w14:paraId="7C69D08B" w14:textId="77777777" w:rsidR="00461197" w:rsidRDefault="00461197" w:rsidP="006D1093">
            <w:pPr>
              <w:rPr>
                <w:b/>
                <w:bCs/>
                <w:sz w:val="20"/>
                <w:szCs w:val="20"/>
              </w:rPr>
            </w:pPr>
            <w:r w:rsidRPr="00DD746F">
              <w:rPr>
                <w:b/>
                <w:bCs/>
                <w:sz w:val="20"/>
                <w:szCs w:val="20"/>
              </w:rPr>
              <w:t>7</w:t>
            </w:r>
          </w:p>
          <w:p w14:paraId="6327DD6C" w14:textId="77777777" w:rsidR="006C1CDC" w:rsidRDefault="006C1CDC" w:rsidP="006C1CDC">
            <w:pPr>
              <w:pStyle w:val="ListParagraph"/>
              <w:numPr>
                <w:ilvl w:val="0"/>
                <w:numId w:val="16"/>
              </w:numPr>
              <w:rPr>
                <w:sz w:val="20"/>
                <w:szCs w:val="20"/>
              </w:rPr>
            </w:pPr>
            <w:r>
              <w:rPr>
                <w:sz w:val="20"/>
                <w:szCs w:val="20"/>
              </w:rPr>
              <w:t>7</w:t>
            </w:r>
          </w:p>
          <w:p w14:paraId="25AC9A04" w14:textId="77777777" w:rsidR="006C1CDC" w:rsidRDefault="006C1CDC" w:rsidP="006C1CDC">
            <w:pPr>
              <w:pStyle w:val="ListParagraph"/>
              <w:numPr>
                <w:ilvl w:val="0"/>
                <w:numId w:val="16"/>
              </w:numPr>
              <w:rPr>
                <w:sz w:val="20"/>
                <w:szCs w:val="20"/>
              </w:rPr>
            </w:pPr>
            <w:r>
              <w:rPr>
                <w:sz w:val="20"/>
                <w:szCs w:val="20"/>
              </w:rPr>
              <w:t>0</w:t>
            </w:r>
          </w:p>
          <w:p w14:paraId="3D8A57E1" w14:textId="77777777" w:rsidR="006C1CDC" w:rsidRDefault="006C1CDC" w:rsidP="006C1CDC">
            <w:pPr>
              <w:pStyle w:val="ListParagraph"/>
              <w:numPr>
                <w:ilvl w:val="0"/>
                <w:numId w:val="16"/>
              </w:numPr>
              <w:rPr>
                <w:sz w:val="20"/>
                <w:szCs w:val="20"/>
              </w:rPr>
            </w:pPr>
            <w:r>
              <w:rPr>
                <w:sz w:val="20"/>
                <w:szCs w:val="20"/>
              </w:rPr>
              <w:t>0</w:t>
            </w:r>
          </w:p>
          <w:p w14:paraId="14EFB8BB" w14:textId="77777777" w:rsidR="006C1CDC" w:rsidRDefault="006C1CDC" w:rsidP="006C1CDC">
            <w:pPr>
              <w:pStyle w:val="ListParagraph"/>
              <w:numPr>
                <w:ilvl w:val="0"/>
                <w:numId w:val="16"/>
              </w:numPr>
              <w:rPr>
                <w:sz w:val="20"/>
                <w:szCs w:val="20"/>
              </w:rPr>
            </w:pPr>
            <w:r>
              <w:rPr>
                <w:sz w:val="20"/>
                <w:szCs w:val="20"/>
              </w:rPr>
              <w:t>0</w:t>
            </w:r>
          </w:p>
          <w:p w14:paraId="50433A54" w14:textId="08DC6B81" w:rsidR="006C1CDC" w:rsidRPr="006C1CDC" w:rsidRDefault="006C1CDC" w:rsidP="006C1CDC">
            <w:pPr>
              <w:pStyle w:val="ListParagraph"/>
              <w:numPr>
                <w:ilvl w:val="0"/>
                <w:numId w:val="16"/>
              </w:numPr>
              <w:rPr>
                <w:sz w:val="20"/>
                <w:szCs w:val="20"/>
              </w:rPr>
            </w:pPr>
            <w:r>
              <w:rPr>
                <w:sz w:val="20"/>
                <w:szCs w:val="20"/>
              </w:rPr>
              <w:t>0</w:t>
            </w:r>
          </w:p>
        </w:tc>
        <w:tc>
          <w:tcPr>
            <w:tcW w:w="1700" w:type="pct"/>
          </w:tcPr>
          <w:p w14:paraId="218AEA3D" w14:textId="77777777" w:rsidR="00461197" w:rsidRDefault="00DD746F" w:rsidP="006D1093">
            <w:pPr>
              <w:rPr>
                <w:sz w:val="20"/>
                <w:szCs w:val="20"/>
              </w:rPr>
            </w:pPr>
            <w:r w:rsidRPr="00DD746F">
              <w:rPr>
                <w:b/>
                <w:bCs/>
                <w:sz w:val="20"/>
                <w:szCs w:val="20"/>
              </w:rPr>
              <w:t>10</w:t>
            </w:r>
          </w:p>
          <w:p w14:paraId="40862B3C" w14:textId="77777777" w:rsidR="00DD746F" w:rsidRPr="00DD746F" w:rsidRDefault="00DD746F" w:rsidP="00DD746F">
            <w:pPr>
              <w:pStyle w:val="ListParagraph"/>
              <w:numPr>
                <w:ilvl w:val="0"/>
                <w:numId w:val="10"/>
              </w:numPr>
              <w:rPr>
                <w:sz w:val="20"/>
                <w:szCs w:val="20"/>
              </w:rPr>
            </w:pPr>
            <w:r w:rsidRPr="00DD746F">
              <w:rPr>
                <w:sz w:val="20"/>
                <w:szCs w:val="20"/>
              </w:rPr>
              <w:t>8</w:t>
            </w:r>
          </w:p>
          <w:p w14:paraId="7A373B2F" w14:textId="77777777" w:rsidR="00DD746F" w:rsidRPr="00DD746F" w:rsidRDefault="00DD746F" w:rsidP="00DD746F">
            <w:pPr>
              <w:pStyle w:val="ListParagraph"/>
              <w:numPr>
                <w:ilvl w:val="0"/>
                <w:numId w:val="10"/>
              </w:numPr>
              <w:rPr>
                <w:sz w:val="20"/>
                <w:szCs w:val="20"/>
              </w:rPr>
            </w:pPr>
            <w:r w:rsidRPr="00DD746F">
              <w:rPr>
                <w:sz w:val="20"/>
                <w:szCs w:val="20"/>
              </w:rPr>
              <w:t>0</w:t>
            </w:r>
          </w:p>
          <w:p w14:paraId="6E23C6EB" w14:textId="77777777" w:rsidR="00DD746F" w:rsidRPr="00DD746F" w:rsidRDefault="00DD746F" w:rsidP="00DD746F">
            <w:pPr>
              <w:pStyle w:val="ListParagraph"/>
              <w:numPr>
                <w:ilvl w:val="0"/>
                <w:numId w:val="10"/>
              </w:numPr>
              <w:rPr>
                <w:sz w:val="20"/>
                <w:szCs w:val="20"/>
              </w:rPr>
            </w:pPr>
            <w:r w:rsidRPr="00DD746F">
              <w:rPr>
                <w:sz w:val="20"/>
                <w:szCs w:val="20"/>
              </w:rPr>
              <w:t>1</w:t>
            </w:r>
          </w:p>
          <w:p w14:paraId="6721CA63" w14:textId="77777777" w:rsidR="00DD746F" w:rsidRPr="00DD746F" w:rsidRDefault="00DD746F" w:rsidP="00DD746F">
            <w:pPr>
              <w:pStyle w:val="ListParagraph"/>
              <w:numPr>
                <w:ilvl w:val="0"/>
                <w:numId w:val="10"/>
              </w:numPr>
              <w:rPr>
                <w:sz w:val="20"/>
                <w:szCs w:val="20"/>
              </w:rPr>
            </w:pPr>
            <w:r w:rsidRPr="00DD746F">
              <w:rPr>
                <w:sz w:val="20"/>
                <w:szCs w:val="20"/>
              </w:rPr>
              <w:t>0</w:t>
            </w:r>
          </w:p>
          <w:p w14:paraId="00F13880" w14:textId="165E1794" w:rsidR="00DD746F" w:rsidRPr="00DD746F" w:rsidRDefault="00DD746F" w:rsidP="00DD746F">
            <w:pPr>
              <w:pStyle w:val="ListParagraph"/>
              <w:numPr>
                <w:ilvl w:val="0"/>
                <w:numId w:val="10"/>
              </w:numPr>
              <w:rPr>
                <w:sz w:val="20"/>
                <w:szCs w:val="20"/>
              </w:rPr>
            </w:pPr>
            <w:r w:rsidRPr="00DD746F">
              <w:rPr>
                <w:sz w:val="20"/>
                <w:szCs w:val="20"/>
              </w:rPr>
              <w:t>1</w:t>
            </w:r>
          </w:p>
        </w:tc>
      </w:tr>
      <w:tr w:rsidR="00461197" w:rsidRPr="003C7299" w14:paraId="34D91D14" w14:textId="77777777" w:rsidTr="00461197">
        <w:tc>
          <w:tcPr>
            <w:tcW w:w="1600" w:type="pct"/>
          </w:tcPr>
          <w:p w14:paraId="291432FA" w14:textId="77777777" w:rsidR="00461197" w:rsidRPr="009D635E" w:rsidRDefault="00461197" w:rsidP="006D1093">
            <w:pPr>
              <w:rPr>
                <w:b/>
                <w:bCs/>
                <w:sz w:val="20"/>
                <w:szCs w:val="20"/>
              </w:rPr>
            </w:pPr>
            <w:r w:rsidRPr="009D635E">
              <w:rPr>
                <w:b/>
                <w:bCs/>
                <w:sz w:val="20"/>
                <w:szCs w:val="20"/>
              </w:rPr>
              <w:t>Pacific and Timorese groups</w:t>
            </w:r>
          </w:p>
          <w:p w14:paraId="685B48DE" w14:textId="5AF62837" w:rsidR="00DD746F" w:rsidRDefault="00DD746F" w:rsidP="00DD746F">
            <w:pPr>
              <w:pStyle w:val="ListParagraph"/>
              <w:numPr>
                <w:ilvl w:val="0"/>
                <w:numId w:val="7"/>
              </w:numPr>
              <w:rPr>
                <w:sz w:val="20"/>
                <w:szCs w:val="20"/>
              </w:rPr>
            </w:pPr>
            <w:r>
              <w:rPr>
                <w:sz w:val="20"/>
                <w:szCs w:val="20"/>
              </w:rPr>
              <w:t>Government</w:t>
            </w:r>
          </w:p>
          <w:p w14:paraId="3071A178" w14:textId="5370E25C" w:rsidR="00DD746F" w:rsidRDefault="00DD746F" w:rsidP="00DD746F">
            <w:pPr>
              <w:pStyle w:val="ListParagraph"/>
              <w:numPr>
                <w:ilvl w:val="0"/>
                <w:numId w:val="7"/>
              </w:numPr>
              <w:rPr>
                <w:sz w:val="20"/>
                <w:szCs w:val="20"/>
              </w:rPr>
            </w:pPr>
            <w:r>
              <w:rPr>
                <w:sz w:val="20"/>
                <w:szCs w:val="20"/>
              </w:rPr>
              <w:t>CLOs</w:t>
            </w:r>
          </w:p>
          <w:p w14:paraId="2CA8C727" w14:textId="770BD41A" w:rsidR="00DD746F" w:rsidRDefault="00DD746F" w:rsidP="00DD746F">
            <w:pPr>
              <w:pStyle w:val="ListParagraph"/>
              <w:numPr>
                <w:ilvl w:val="0"/>
                <w:numId w:val="7"/>
              </w:numPr>
              <w:rPr>
                <w:sz w:val="20"/>
                <w:szCs w:val="20"/>
              </w:rPr>
            </w:pPr>
            <w:r>
              <w:rPr>
                <w:sz w:val="20"/>
                <w:szCs w:val="20"/>
              </w:rPr>
              <w:t>LSU</w:t>
            </w:r>
          </w:p>
          <w:p w14:paraId="41359940" w14:textId="57C4547C" w:rsidR="00461197" w:rsidRPr="00DD746F" w:rsidRDefault="00DD746F" w:rsidP="00DD746F">
            <w:pPr>
              <w:pStyle w:val="ListParagraph"/>
              <w:numPr>
                <w:ilvl w:val="0"/>
                <w:numId w:val="7"/>
              </w:numPr>
              <w:rPr>
                <w:sz w:val="20"/>
                <w:szCs w:val="20"/>
              </w:rPr>
            </w:pPr>
            <w:r>
              <w:rPr>
                <w:sz w:val="20"/>
                <w:szCs w:val="20"/>
              </w:rPr>
              <w:t>other</w:t>
            </w:r>
          </w:p>
        </w:tc>
        <w:tc>
          <w:tcPr>
            <w:tcW w:w="1700" w:type="pct"/>
          </w:tcPr>
          <w:p w14:paraId="39B44088" w14:textId="36F3A675" w:rsidR="00461197" w:rsidRDefault="00461197" w:rsidP="006D1093">
            <w:pPr>
              <w:rPr>
                <w:sz w:val="20"/>
                <w:szCs w:val="20"/>
              </w:rPr>
            </w:pPr>
            <w:r w:rsidRPr="00DD746F">
              <w:rPr>
                <w:b/>
                <w:bCs/>
                <w:sz w:val="20"/>
                <w:szCs w:val="20"/>
              </w:rPr>
              <w:t>1</w:t>
            </w:r>
            <w:r w:rsidR="00342520">
              <w:rPr>
                <w:b/>
                <w:bCs/>
                <w:sz w:val="20"/>
                <w:szCs w:val="20"/>
              </w:rPr>
              <w:t>4</w:t>
            </w:r>
          </w:p>
          <w:p w14:paraId="14411641" w14:textId="001EBD14" w:rsidR="006C1CDC" w:rsidRDefault="006C1CDC" w:rsidP="006C1CDC">
            <w:pPr>
              <w:pStyle w:val="ListParagraph"/>
              <w:numPr>
                <w:ilvl w:val="0"/>
                <w:numId w:val="17"/>
              </w:numPr>
              <w:rPr>
                <w:sz w:val="20"/>
                <w:szCs w:val="20"/>
              </w:rPr>
            </w:pPr>
            <w:r>
              <w:rPr>
                <w:sz w:val="20"/>
                <w:szCs w:val="20"/>
              </w:rPr>
              <w:t>2</w:t>
            </w:r>
          </w:p>
          <w:p w14:paraId="5FCDFB25" w14:textId="5211DACD" w:rsidR="006C1CDC" w:rsidRDefault="008D16FB" w:rsidP="006C1CDC">
            <w:pPr>
              <w:pStyle w:val="ListParagraph"/>
              <w:numPr>
                <w:ilvl w:val="0"/>
                <w:numId w:val="17"/>
              </w:numPr>
              <w:rPr>
                <w:sz w:val="20"/>
                <w:szCs w:val="20"/>
              </w:rPr>
            </w:pPr>
            <w:r>
              <w:rPr>
                <w:sz w:val="20"/>
                <w:szCs w:val="20"/>
              </w:rPr>
              <w:t>0</w:t>
            </w:r>
          </w:p>
          <w:p w14:paraId="271EB789" w14:textId="72127E82" w:rsidR="006C1CDC" w:rsidRDefault="006C1CDC" w:rsidP="006C1CDC">
            <w:pPr>
              <w:pStyle w:val="ListParagraph"/>
              <w:numPr>
                <w:ilvl w:val="0"/>
                <w:numId w:val="17"/>
              </w:numPr>
              <w:rPr>
                <w:sz w:val="20"/>
                <w:szCs w:val="20"/>
              </w:rPr>
            </w:pPr>
            <w:r>
              <w:rPr>
                <w:sz w:val="20"/>
                <w:szCs w:val="20"/>
              </w:rPr>
              <w:t>0</w:t>
            </w:r>
          </w:p>
          <w:p w14:paraId="24E941DF" w14:textId="58939140" w:rsidR="006C1CDC" w:rsidRPr="006C1CDC" w:rsidRDefault="006C1CDC" w:rsidP="006C1CDC">
            <w:pPr>
              <w:pStyle w:val="ListParagraph"/>
              <w:numPr>
                <w:ilvl w:val="0"/>
                <w:numId w:val="17"/>
              </w:numPr>
              <w:rPr>
                <w:sz w:val="20"/>
                <w:szCs w:val="20"/>
              </w:rPr>
            </w:pPr>
            <w:r>
              <w:rPr>
                <w:sz w:val="20"/>
                <w:szCs w:val="20"/>
              </w:rPr>
              <w:t>1</w:t>
            </w:r>
            <w:r w:rsidR="00342520">
              <w:rPr>
                <w:sz w:val="20"/>
                <w:szCs w:val="20"/>
              </w:rPr>
              <w:t>2</w:t>
            </w:r>
          </w:p>
        </w:tc>
        <w:tc>
          <w:tcPr>
            <w:tcW w:w="1700" w:type="pct"/>
          </w:tcPr>
          <w:p w14:paraId="61806E45" w14:textId="77777777" w:rsidR="00461197" w:rsidRDefault="00DD746F" w:rsidP="006D1093">
            <w:pPr>
              <w:rPr>
                <w:sz w:val="20"/>
                <w:szCs w:val="20"/>
              </w:rPr>
            </w:pPr>
            <w:r w:rsidRPr="00DD746F">
              <w:rPr>
                <w:b/>
                <w:bCs/>
                <w:sz w:val="20"/>
                <w:szCs w:val="20"/>
              </w:rPr>
              <w:t>6</w:t>
            </w:r>
          </w:p>
          <w:p w14:paraId="3DFE8639" w14:textId="77777777" w:rsidR="00DD746F" w:rsidRPr="00DD746F" w:rsidRDefault="00DD746F" w:rsidP="00DD746F">
            <w:pPr>
              <w:pStyle w:val="ListParagraph"/>
              <w:numPr>
                <w:ilvl w:val="0"/>
                <w:numId w:val="11"/>
              </w:numPr>
              <w:rPr>
                <w:sz w:val="20"/>
                <w:szCs w:val="20"/>
              </w:rPr>
            </w:pPr>
            <w:r w:rsidRPr="00DD746F">
              <w:rPr>
                <w:sz w:val="20"/>
                <w:szCs w:val="20"/>
              </w:rPr>
              <w:t>4</w:t>
            </w:r>
          </w:p>
          <w:p w14:paraId="490E4DB2" w14:textId="77777777" w:rsidR="00DD746F" w:rsidRPr="00DD746F" w:rsidRDefault="00DD746F" w:rsidP="00DD746F">
            <w:pPr>
              <w:pStyle w:val="ListParagraph"/>
              <w:numPr>
                <w:ilvl w:val="0"/>
                <w:numId w:val="11"/>
              </w:numPr>
              <w:rPr>
                <w:sz w:val="20"/>
                <w:szCs w:val="20"/>
              </w:rPr>
            </w:pPr>
            <w:r w:rsidRPr="00DD746F">
              <w:rPr>
                <w:sz w:val="20"/>
                <w:szCs w:val="20"/>
              </w:rPr>
              <w:t>1</w:t>
            </w:r>
          </w:p>
          <w:p w14:paraId="16FC618F" w14:textId="77777777" w:rsidR="00DD746F" w:rsidRPr="00DD746F" w:rsidRDefault="00DD746F" w:rsidP="00DD746F">
            <w:pPr>
              <w:pStyle w:val="ListParagraph"/>
              <w:numPr>
                <w:ilvl w:val="0"/>
                <w:numId w:val="11"/>
              </w:numPr>
              <w:rPr>
                <w:sz w:val="20"/>
                <w:szCs w:val="20"/>
              </w:rPr>
            </w:pPr>
            <w:r w:rsidRPr="00DD746F">
              <w:rPr>
                <w:sz w:val="20"/>
                <w:szCs w:val="20"/>
              </w:rPr>
              <w:t>1</w:t>
            </w:r>
          </w:p>
          <w:p w14:paraId="4045123A" w14:textId="70E1CD86" w:rsidR="00DD746F" w:rsidRPr="00DD746F" w:rsidRDefault="00DD746F" w:rsidP="00DD746F">
            <w:pPr>
              <w:pStyle w:val="ListParagraph"/>
              <w:numPr>
                <w:ilvl w:val="0"/>
                <w:numId w:val="11"/>
              </w:numPr>
              <w:rPr>
                <w:sz w:val="20"/>
                <w:szCs w:val="20"/>
              </w:rPr>
            </w:pPr>
            <w:r w:rsidRPr="00DD746F">
              <w:rPr>
                <w:sz w:val="20"/>
                <w:szCs w:val="20"/>
              </w:rPr>
              <w:t>1</w:t>
            </w:r>
          </w:p>
        </w:tc>
      </w:tr>
      <w:tr w:rsidR="00461197" w:rsidRPr="003C7299" w14:paraId="57AA2049" w14:textId="77777777" w:rsidTr="00461197">
        <w:tc>
          <w:tcPr>
            <w:tcW w:w="1600" w:type="pct"/>
          </w:tcPr>
          <w:p w14:paraId="186B184C" w14:textId="77777777" w:rsidR="00461197" w:rsidRDefault="00461197" w:rsidP="00492DDF">
            <w:pPr>
              <w:rPr>
                <w:sz w:val="20"/>
                <w:szCs w:val="20"/>
              </w:rPr>
            </w:pPr>
            <w:r w:rsidRPr="009D635E">
              <w:rPr>
                <w:b/>
                <w:bCs/>
                <w:sz w:val="20"/>
                <w:szCs w:val="20"/>
              </w:rPr>
              <w:t>Worker/union</w:t>
            </w:r>
          </w:p>
          <w:p w14:paraId="1F24FD06" w14:textId="269945D4" w:rsidR="00DD746F" w:rsidRDefault="00DD746F" w:rsidP="00DD746F">
            <w:pPr>
              <w:pStyle w:val="ListParagraph"/>
              <w:numPr>
                <w:ilvl w:val="0"/>
                <w:numId w:val="8"/>
              </w:numPr>
              <w:rPr>
                <w:sz w:val="20"/>
                <w:szCs w:val="20"/>
              </w:rPr>
            </w:pPr>
            <w:r>
              <w:rPr>
                <w:sz w:val="20"/>
                <w:szCs w:val="20"/>
              </w:rPr>
              <w:t>workers</w:t>
            </w:r>
          </w:p>
          <w:p w14:paraId="2301566A" w14:textId="135B7F01" w:rsidR="00DD746F" w:rsidRPr="00DD746F" w:rsidRDefault="00DD746F" w:rsidP="00DD746F">
            <w:pPr>
              <w:pStyle w:val="ListParagraph"/>
              <w:numPr>
                <w:ilvl w:val="0"/>
                <w:numId w:val="8"/>
              </w:numPr>
              <w:rPr>
                <w:sz w:val="20"/>
                <w:szCs w:val="20"/>
              </w:rPr>
            </w:pPr>
            <w:r>
              <w:rPr>
                <w:sz w:val="20"/>
                <w:szCs w:val="20"/>
              </w:rPr>
              <w:t>unions</w:t>
            </w:r>
          </w:p>
        </w:tc>
        <w:tc>
          <w:tcPr>
            <w:tcW w:w="1700" w:type="pct"/>
          </w:tcPr>
          <w:p w14:paraId="078E815F" w14:textId="0D26F19F" w:rsidR="00461197" w:rsidRPr="00DD746F" w:rsidRDefault="00461197" w:rsidP="006D1093">
            <w:pPr>
              <w:rPr>
                <w:b/>
                <w:bCs/>
                <w:sz w:val="20"/>
                <w:szCs w:val="20"/>
              </w:rPr>
            </w:pPr>
            <w:r w:rsidRPr="00DD746F">
              <w:rPr>
                <w:b/>
                <w:bCs/>
                <w:sz w:val="20"/>
                <w:szCs w:val="20"/>
              </w:rPr>
              <w:t>14</w:t>
            </w:r>
          </w:p>
        </w:tc>
        <w:tc>
          <w:tcPr>
            <w:tcW w:w="1700" w:type="pct"/>
          </w:tcPr>
          <w:p w14:paraId="097B891E" w14:textId="77777777" w:rsidR="00461197" w:rsidRDefault="00461197" w:rsidP="006D1093">
            <w:pPr>
              <w:rPr>
                <w:sz w:val="20"/>
                <w:szCs w:val="20"/>
              </w:rPr>
            </w:pPr>
            <w:r w:rsidRPr="00DD746F">
              <w:rPr>
                <w:b/>
                <w:bCs/>
                <w:sz w:val="20"/>
                <w:szCs w:val="20"/>
              </w:rPr>
              <w:t>1</w:t>
            </w:r>
          </w:p>
          <w:p w14:paraId="7D62299D" w14:textId="77777777" w:rsidR="00DD746F" w:rsidRPr="00DD746F" w:rsidRDefault="00DD746F" w:rsidP="00DD746F">
            <w:pPr>
              <w:pStyle w:val="ListParagraph"/>
              <w:numPr>
                <w:ilvl w:val="0"/>
                <w:numId w:val="12"/>
              </w:numPr>
              <w:rPr>
                <w:sz w:val="20"/>
                <w:szCs w:val="20"/>
              </w:rPr>
            </w:pPr>
            <w:r w:rsidRPr="00DD746F">
              <w:rPr>
                <w:sz w:val="20"/>
                <w:szCs w:val="20"/>
              </w:rPr>
              <w:t>0</w:t>
            </w:r>
          </w:p>
          <w:p w14:paraId="055CE42C" w14:textId="39E36E69" w:rsidR="00DD746F" w:rsidRPr="00DD746F" w:rsidRDefault="00DD746F" w:rsidP="00DD746F">
            <w:pPr>
              <w:pStyle w:val="ListParagraph"/>
              <w:numPr>
                <w:ilvl w:val="0"/>
                <w:numId w:val="12"/>
              </w:numPr>
              <w:rPr>
                <w:sz w:val="20"/>
                <w:szCs w:val="20"/>
              </w:rPr>
            </w:pPr>
            <w:r w:rsidRPr="00DD746F">
              <w:rPr>
                <w:sz w:val="20"/>
                <w:szCs w:val="20"/>
              </w:rPr>
              <w:t>1</w:t>
            </w:r>
          </w:p>
        </w:tc>
      </w:tr>
      <w:tr w:rsidR="00461197" w:rsidRPr="003C7299" w14:paraId="4D2BD3E5" w14:textId="77777777" w:rsidTr="00461197">
        <w:tc>
          <w:tcPr>
            <w:tcW w:w="1600" w:type="pct"/>
          </w:tcPr>
          <w:p w14:paraId="4065D5C0" w14:textId="6C8D87AF" w:rsidR="00461197" w:rsidRPr="009D635E" w:rsidRDefault="00461197" w:rsidP="006D1093">
            <w:pPr>
              <w:rPr>
                <w:b/>
                <w:bCs/>
                <w:sz w:val="20"/>
                <w:szCs w:val="20"/>
              </w:rPr>
            </w:pPr>
            <w:r w:rsidRPr="009D635E">
              <w:rPr>
                <w:b/>
                <w:bCs/>
                <w:sz w:val="20"/>
                <w:szCs w:val="20"/>
              </w:rPr>
              <w:t>Other</w:t>
            </w:r>
          </w:p>
        </w:tc>
        <w:tc>
          <w:tcPr>
            <w:tcW w:w="1700" w:type="pct"/>
          </w:tcPr>
          <w:p w14:paraId="57D7C919" w14:textId="64639F57" w:rsidR="00461197" w:rsidRPr="00DD746F" w:rsidRDefault="00342520" w:rsidP="00461197">
            <w:pPr>
              <w:rPr>
                <w:b/>
                <w:bCs/>
                <w:sz w:val="20"/>
                <w:szCs w:val="20"/>
              </w:rPr>
            </w:pPr>
            <w:r>
              <w:rPr>
                <w:b/>
                <w:bCs/>
                <w:sz w:val="20"/>
                <w:szCs w:val="20"/>
              </w:rPr>
              <w:t>9</w:t>
            </w:r>
          </w:p>
        </w:tc>
        <w:tc>
          <w:tcPr>
            <w:tcW w:w="1700" w:type="pct"/>
          </w:tcPr>
          <w:p w14:paraId="1DC5ED43" w14:textId="1A395320" w:rsidR="00461197" w:rsidRPr="00DD746F" w:rsidRDefault="00DD746F" w:rsidP="00461197">
            <w:pPr>
              <w:rPr>
                <w:b/>
                <w:bCs/>
                <w:sz w:val="20"/>
                <w:szCs w:val="20"/>
              </w:rPr>
            </w:pPr>
            <w:r w:rsidRPr="00DD746F">
              <w:rPr>
                <w:b/>
                <w:bCs/>
                <w:sz w:val="20"/>
                <w:szCs w:val="20"/>
              </w:rPr>
              <w:t>3</w:t>
            </w:r>
          </w:p>
        </w:tc>
      </w:tr>
    </w:tbl>
    <w:p w14:paraId="3B87EBC0" w14:textId="686C05C8" w:rsidR="00961807" w:rsidRDefault="00961807" w:rsidP="00961807"/>
    <w:p w14:paraId="1326AC1D" w14:textId="4DA5A1F0" w:rsidR="00961807" w:rsidRPr="00961807" w:rsidRDefault="00961807" w:rsidP="00961807">
      <w:pPr>
        <w:tabs>
          <w:tab w:val="left" w:pos="3268"/>
        </w:tabs>
      </w:pPr>
      <w:r>
        <w:tab/>
      </w:r>
    </w:p>
    <w:sectPr w:rsidR="00961807" w:rsidRPr="00961807" w:rsidSect="00C11456">
      <w:headerReference w:type="default" r:id="rId8"/>
      <w:footerReference w:type="default" r:id="rId9"/>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92B14" w14:textId="77777777" w:rsidR="008818B7" w:rsidRDefault="008818B7" w:rsidP="00443740">
      <w:pPr>
        <w:spacing w:after="0" w:line="240" w:lineRule="auto"/>
      </w:pPr>
      <w:r>
        <w:separator/>
      </w:r>
    </w:p>
  </w:endnote>
  <w:endnote w:type="continuationSeparator" w:id="0">
    <w:p w14:paraId="14A883F8" w14:textId="77777777" w:rsidR="008818B7" w:rsidRDefault="008818B7" w:rsidP="00443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6586320"/>
      <w:docPartObj>
        <w:docPartGallery w:val="Page Numbers (Bottom of Page)"/>
        <w:docPartUnique/>
      </w:docPartObj>
    </w:sdtPr>
    <w:sdtEndPr>
      <w:rPr>
        <w:noProof/>
        <w:sz w:val="18"/>
        <w:szCs w:val="18"/>
      </w:rPr>
    </w:sdtEndPr>
    <w:sdtContent>
      <w:p w14:paraId="4B6ED57E" w14:textId="052723E1" w:rsidR="0088306C" w:rsidRPr="00F342AF" w:rsidRDefault="0088306C" w:rsidP="00F342AF">
        <w:pPr>
          <w:pStyle w:val="Footer"/>
          <w:jc w:val="center"/>
          <w:rPr>
            <w:sz w:val="18"/>
            <w:szCs w:val="18"/>
          </w:rPr>
        </w:pPr>
        <w:r w:rsidRPr="00F342AF">
          <w:rPr>
            <w:sz w:val="18"/>
            <w:szCs w:val="18"/>
          </w:rPr>
          <w:fldChar w:fldCharType="begin"/>
        </w:r>
        <w:r w:rsidRPr="00F342AF">
          <w:rPr>
            <w:sz w:val="18"/>
            <w:szCs w:val="18"/>
          </w:rPr>
          <w:instrText xml:space="preserve"> PAGE   \* MERGEFORMAT </w:instrText>
        </w:r>
        <w:r w:rsidRPr="00F342AF">
          <w:rPr>
            <w:sz w:val="18"/>
            <w:szCs w:val="18"/>
          </w:rPr>
          <w:fldChar w:fldCharType="separate"/>
        </w:r>
        <w:r w:rsidRPr="00F342AF">
          <w:rPr>
            <w:noProof/>
            <w:sz w:val="18"/>
            <w:szCs w:val="18"/>
          </w:rPr>
          <w:t>2</w:t>
        </w:r>
        <w:r w:rsidRPr="00F342AF">
          <w:rPr>
            <w:noProof/>
            <w:sz w:val="18"/>
            <w:szCs w:val="18"/>
          </w:rPr>
          <w:fldChar w:fldCharType="end"/>
        </w:r>
      </w:p>
    </w:sdtContent>
  </w:sdt>
  <w:p w14:paraId="3B43D3B5" w14:textId="77777777" w:rsidR="0088306C" w:rsidRDefault="00883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056FB" w14:textId="77777777" w:rsidR="008818B7" w:rsidRDefault="008818B7" w:rsidP="00443740">
      <w:pPr>
        <w:spacing w:after="0" w:line="240" w:lineRule="auto"/>
      </w:pPr>
      <w:r>
        <w:separator/>
      </w:r>
    </w:p>
  </w:footnote>
  <w:footnote w:type="continuationSeparator" w:id="0">
    <w:p w14:paraId="5A43EBF9" w14:textId="77777777" w:rsidR="008818B7" w:rsidRDefault="008818B7" w:rsidP="00443740">
      <w:pPr>
        <w:spacing w:after="0" w:line="240" w:lineRule="auto"/>
      </w:pPr>
      <w:r>
        <w:continuationSeparator/>
      </w:r>
    </w:p>
  </w:footnote>
  <w:footnote w:id="1">
    <w:p w14:paraId="2A1559E9" w14:textId="518B6BBF" w:rsidR="0088306C" w:rsidRPr="00685253" w:rsidRDefault="0088306C">
      <w:pPr>
        <w:pStyle w:val="FootnoteText"/>
        <w:rPr>
          <w:sz w:val="16"/>
          <w:szCs w:val="16"/>
        </w:rPr>
      </w:pPr>
      <w:r w:rsidRPr="00685253">
        <w:rPr>
          <w:rStyle w:val="FootnoteReference"/>
          <w:sz w:val="16"/>
          <w:szCs w:val="16"/>
        </w:rPr>
        <w:footnoteRef/>
      </w:r>
      <w:r w:rsidRPr="00685253">
        <w:rPr>
          <w:sz w:val="16"/>
          <w:szCs w:val="16"/>
        </w:rPr>
        <w:t xml:space="preserve"> In early 2020, the Department of Education, Skills and Employment introduced a portability pilot to allow Regional Pilot approved employers to share seasonal workers across the four pilot regions. Pilot approved employers must agree to timing and sharing of costs by entering into a Multi-Sponsor Agreement. To date, there has been no uptake of the portability pilot.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09E4C" w14:textId="3C4CA1D7" w:rsidR="0088306C" w:rsidRDefault="0088306C" w:rsidP="00CB5A30">
    <w:pPr>
      <w:pStyle w:val="Header"/>
      <w:jc w:val="center"/>
    </w:pPr>
    <w:r>
      <w:rPr>
        <w:noProof/>
        <w:lang w:eastAsia="en-AU"/>
      </w:rPr>
      <w:drawing>
        <wp:anchor distT="0" distB="0" distL="114300" distR="114300" simplePos="0" relativeHeight="251657216" behindDoc="1" locked="0" layoutInCell="1" allowOverlap="1" wp14:anchorId="19017429" wp14:editId="67D2067C">
          <wp:simplePos x="0" y="0"/>
          <wp:positionH relativeFrom="margin">
            <wp:align>center</wp:align>
          </wp:positionH>
          <wp:positionV relativeFrom="paragraph">
            <wp:posOffset>-273685</wp:posOffset>
          </wp:positionV>
          <wp:extent cx="6312535" cy="811272"/>
          <wp:effectExtent l="0" t="0" r="0" b="825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312535" cy="81127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421A"/>
    <w:multiLevelType w:val="hybridMultilevel"/>
    <w:tmpl w:val="7A2C486C"/>
    <w:lvl w:ilvl="0" w:tplc="E41A426C">
      <w:start w:val="36"/>
      <w:numFmt w:val="bullet"/>
      <w:lvlText w:val="-"/>
      <w:lvlJc w:val="left"/>
      <w:pPr>
        <w:ind w:left="720" w:hanging="360"/>
      </w:pPr>
      <w:rPr>
        <w:rFonts w:ascii="Calibri" w:eastAsiaTheme="minorHAnsi" w:hAnsi="Calibri" w:cs="Calibr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644856"/>
    <w:multiLevelType w:val="hybridMultilevel"/>
    <w:tmpl w:val="3880E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FE2647"/>
    <w:multiLevelType w:val="hybridMultilevel"/>
    <w:tmpl w:val="3F2C0708"/>
    <w:lvl w:ilvl="0" w:tplc="1B8AD85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483880"/>
    <w:multiLevelType w:val="hybridMultilevel"/>
    <w:tmpl w:val="7C4A8BF4"/>
    <w:lvl w:ilvl="0" w:tplc="1B8AD85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1346555"/>
    <w:multiLevelType w:val="hybridMultilevel"/>
    <w:tmpl w:val="5198845C"/>
    <w:lvl w:ilvl="0" w:tplc="1B8AD85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6494B17"/>
    <w:multiLevelType w:val="hybridMultilevel"/>
    <w:tmpl w:val="EDC8AC4C"/>
    <w:lvl w:ilvl="0" w:tplc="E41A426C">
      <w:start w:val="36"/>
      <w:numFmt w:val="bullet"/>
      <w:lvlText w:val="-"/>
      <w:lvlJc w:val="left"/>
      <w:pPr>
        <w:ind w:left="720" w:hanging="360"/>
      </w:pPr>
      <w:rPr>
        <w:rFonts w:ascii="Calibri" w:eastAsiaTheme="minorHAnsi" w:hAnsi="Calibri" w:cs="Calibr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1A0CEE"/>
    <w:multiLevelType w:val="hybridMultilevel"/>
    <w:tmpl w:val="718EB36A"/>
    <w:lvl w:ilvl="0" w:tplc="1B8AD85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8281159"/>
    <w:multiLevelType w:val="hybridMultilevel"/>
    <w:tmpl w:val="69206F4C"/>
    <w:lvl w:ilvl="0" w:tplc="1B8AD85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44B228C"/>
    <w:multiLevelType w:val="hybridMultilevel"/>
    <w:tmpl w:val="FA841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FB7D48"/>
    <w:multiLevelType w:val="hybridMultilevel"/>
    <w:tmpl w:val="26CCE2D2"/>
    <w:lvl w:ilvl="0" w:tplc="1B8AD85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A236B8A"/>
    <w:multiLevelType w:val="hybridMultilevel"/>
    <w:tmpl w:val="98649FBC"/>
    <w:lvl w:ilvl="0" w:tplc="1B8AD85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B4A1544"/>
    <w:multiLevelType w:val="hybridMultilevel"/>
    <w:tmpl w:val="1A3E2658"/>
    <w:lvl w:ilvl="0" w:tplc="1B8AD85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D9D5170"/>
    <w:multiLevelType w:val="hybridMultilevel"/>
    <w:tmpl w:val="FF0299A8"/>
    <w:lvl w:ilvl="0" w:tplc="1B8AD85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7F113D"/>
    <w:multiLevelType w:val="hybridMultilevel"/>
    <w:tmpl w:val="18CA43BA"/>
    <w:lvl w:ilvl="0" w:tplc="1B8AD85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EB7E69"/>
    <w:multiLevelType w:val="hybridMultilevel"/>
    <w:tmpl w:val="C78A89A4"/>
    <w:lvl w:ilvl="0" w:tplc="1B8AD85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E37806"/>
    <w:multiLevelType w:val="hybridMultilevel"/>
    <w:tmpl w:val="B0809D62"/>
    <w:lvl w:ilvl="0" w:tplc="1B8AD85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E96AF1"/>
    <w:multiLevelType w:val="hybridMultilevel"/>
    <w:tmpl w:val="BF8C11D8"/>
    <w:lvl w:ilvl="0" w:tplc="1B8AD85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3"/>
  </w:num>
  <w:num w:numId="4">
    <w:abstractNumId w:val="14"/>
  </w:num>
  <w:num w:numId="5">
    <w:abstractNumId w:val="12"/>
  </w:num>
  <w:num w:numId="6">
    <w:abstractNumId w:val="15"/>
  </w:num>
  <w:num w:numId="7">
    <w:abstractNumId w:val="13"/>
  </w:num>
  <w:num w:numId="8">
    <w:abstractNumId w:val="2"/>
  </w:num>
  <w:num w:numId="9">
    <w:abstractNumId w:val="6"/>
  </w:num>
  <w:num w:numId="10">
    <w:abstractNumId w:val="7"/>
  </w:num>
  <w:num w:numId="11">
    <w:abstractNumId w:val="10"/>
  </w:num>
  <w:num w:numId="12">
    <w:abstractNumId w:val="16"/>
  </w:num>
  <w:num w:numId="13">
    <w:abstractNumId w:val="9"/>
  </w:num>
  <w:num w:numId="14">
    <w:abstractNumId w:val="0"/>
  </w:num>
  <w:num w:numId="15">
    <w:abstractNumId w:val="5"/>
  </w:num>
  <w:num w:numId="16">
    <w:abstractNumId w:val="4"/>
  </w:num>
  <w:num w:numId="17">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740"/>
    <w:rsid w:val="00003739"/>
    <w:rsid w:val="00003890"/>
    <w:rsid w:val="00017417"/>
    <w:rsid w:val="00020016"/>
    <w:rsid w:val="00031C0E"/>
    <w:rsid w:val="00033681"/>
    <w:rsid w:val="00034949"/>
    <w:rsid w:val="0004327B"/>
    <w:rsid w:val="00043D3C"/>
    <w:rsid w:val="000455A8"/>
    <w:rsid w:val="0004686C"/>
    <w:rsid w:val="00050161"/>
    <w:rsid w:val="00051185"/>
    <w:rsid w:val="00060C46"/>
    <w:rsid w:val="00062635"/>
    <w:rsid w:val="0006467E"/>
    <w:rsid w:val="00064C8C"/>
    <w:rsid w:val="00070AFD"/>
    <w:rsid w:val="000734F2"/>
    <w:rsid w:val="00074C02"/>
    <w:rsid w:val="0008363D"/>
    <w:rsid w:val="00085FE2"/>
    <w:rsid w:val="000919EA"/>
    <w:rsid w:val="00093A0E"/>
    <w:rsid w:val="000A2C3D"/>
    <w:rsid w:val="000B06B1"/>
    <w:rsid w:val="000B57C2"/>
    <w:rsid w:val="000B6650"/>
    <w:rsid w:val="000D1017"/>
    <w:rsid w:val="000D5EE9"/>
    <w:rsid w:val="000D78DC"/>
    <w:rsid w:val="000E47E6"/>
    <w:rsid w:val="000F55BC"/>
    <w:rsid w:val="001064CB"/>
    <w:rsid w:val="00114BD9"/>
    <w:rsid w:val="001262C5"/>
    <w:rsid w:val="0014006F"/>
    <w:rsid w:val="0014590C"/>
    <w:rsid w:val="001459ED"/>
    <w:rsid w:val="001521CD"/>
    <w:rsid w:val="00153504"/>
    <w:rsid w:val="0015509C"/>
    <w:rsid w:val="00161C03"/>
    <w:rsid w:val="001745A9"/>
    <w:rsid w:val="001748A5"/>
    <w:rsid w:val="00176EA8"/>
    <w:rsid w:val="00181A35"/>
    <w:rsid w:val="0019036A"/>
    <w:rsid w:val="001932A7"/>
    <w:rsid w:val="00193430"/>
    <w:rsid w:val="001A59D4"/>
    <w:rsid w:val="001A7A32"/>
    <w:rsid w:val="001B0A36"/>
    <w:rsid w:val="001B30E5"/>
    <w:rsid w:val="001B4821"/>
    <w:rsid w:val="001B7669"/>
    <w:rsid w:val="001B7B55"/>
    <w:rsid w:val="001C253A"/>
    <w:rsid w:val="001C2617"/>
    <w:rsid w:val="001D19CB"/>
    <w:rsid w:val="001D6B8A"/>
    <w:rsid w:val="001E508C"/>
    <w:rsid w:val="001E65F2"/>
    <w:rsid w:val="001F3847"/>
    <w:rsid w:val="001F603F"/>
    <w:rsid w:val="001F627A"/>
    <w:rsid w:val="001F7F6D"/>
    <w:rsid w:val="002046CA"/>
    <w:rsid w:val="00204F01"/>
    <w:rsid w:val="0020669E"/>
    <w:rsid w:val="00207789"/>
    <w:rsid w:val="00227EED"/>
    <w:rsid w:val="00233B0F"/>
    <w:rsid w:val="00235369"/>
    <w:rsid w:val="0023695A"/>
    <w:rsid w:val="002448C6"/>
    <w:rsid w:val="00247D62"/>
    <w:rsid w:val="00253098"/>
    <w:rsid w:val="002545E5"/>
    <w:rsid w:val="00256BC3"/>
    <w:rsid w:val="00261796"/>
    <w:rsid w:val="00264128"/>
    <w:rsid w:val="0027079C"/>
    <w:rsid w:val="002716E7"/>
    <w:rsid w:val="00280B50"/>
    <w:rsid w:val="00283B05"/>
    <w:rsid w:val="002860C2"/>
    <w:rsid w:val="002872B2"/>
    <w:rsid w:val="00292578"/>
    <w:rsid w:val="00297DBC"/>
    <w:rsid w:val="00297FBF"/>
    <w:rsid w:val="002A4970"/>
    <w:rsid w:val="002A4D98"/>
    <w:rsid w:val="002A511A"/>
    <w:rsid w:val="002B0A06"/>
    <w:rsid w:val="002B3C5D"/>
    <w:rsid w:val="002B3F39"/>
    <w:rsid w:val="002C2257"/>
    <w:rsid w:val="002C2BEA"/>
    <w:rsid w:val="002C4F11"/>
    <w:rsid w:val="002C58E3"/>
    <w:rsid w:val="002C611C"/>
    <w:rsid w:val="002C7F66"/>
    <w:rsid w:val="002D2182"/>
    <w:rsid w:val="002D29FC"/>
    <w:rsid w:val="002E66F2"/>
    <w:rsid w:val="002E6863"/>
    <w:rsid w:val="002E71C7"/>
    <w:rsid w:val="00306E7C"/>
    <w:rsid w:val="00310144"/>
    <w:rsid w:val="00310B04"/>
    <w:rsid w:val="0031241B"/>
    <w:rsid w:val="003126D5"/>
    <w:rsid w:val="0031465F"/>
    <w:rsid w:val="00322EDC"/>
    <w:rsid w:val="00342208"/>
    <w:rsid w:val="00342520"/>
    <w:rsid w:val="00342928"/>
    <w:rsid w:val="00344FE8"/>
    <w:rsid w:val="00353C31"/>
    <w:rsid w:val="00366A9F"/>
    <w:rsid w:val="00381F9A"/>
    <w:rsid w:val="00393E25"/>
    <w:rsid w:val="003951E5"/>
    <w:rsid w:val="003A5C2B"/>
    <w:rsid w:val="003B1301"/>
    <w:rsid w:val="003C0DFE"/>
    <w:rsid w:val="003C4910"/>
    <w:rsid w:val="003C7299"/>
    <w:rsid w:val="003D201E"/>
    <w:rsid w:val="003D736B"/>
    <w:rsid w:val="003E06C1"/>
    <w:rsid w:val="003E189A"/>
    <w:rsid w:val="003E2ADF"/>
    <w:rsid w:val="003F3473"/>
    <w:rsid w:val="003F34B8"/>
    <w:rsid w:val="003F77E8"/>
    <w:rsid w:val="00400E76"/>
    <w:rsid w:val="00403B23"/>
    <w:rsid w:val="004047FD"/>
    <w:rsid w:val="00405EC7"/>
    <w:rsid w:val="00410DD2"/>
    <w:rsid w:val="004133EA"/>
    <w:rsid w:val="0041446B"/>
    <w:rsid w:val="0042208C"/>
    <w:rsid w:val="00425015"/>
    <w:rsid w:val="00431EBA"/>
    <w:rsid w:val="00440D74"/>
    <w:rsid w:val="00442296"/>
    <w:rsid w:val="00442B87"/>
    <w:rsid w:val="00443740"/>
    <w:rsid w:val="00444ECF"/>
    <w:rsid w:val="00451E61"/>
    <w:rsid w:val="0045264B"/>
    <w:rsid w:val="00455A6B"/>
    <w:rsid w:val="00460BF1"/>
    <w:rsid w:val="00461197"/>
    <w:rsid w:val="00462454"/>
    <w:rsid w:val="0046380F"/>
    <w:rsid w:val="00464537"/>
    <w:rsid w:val="004747ED"/>
    <w:rsid w:val="00475CD4"/>
    <w:rsid w:val="0048331A"/>
    <w:rsid w:val="004872F5"/>
    <w:rsid w:val="0049239D"/>
    <w:rsid w:val="00492DDF"/>
    <w:rsid w:val="00494F6E"/>
    <w:rsid w:val="004966B6"/>
    <w:rsid w:val="004A31FE"/>
    <w:rsid w:val="004B6F6C"/>
    <w:rsid w:val="004C0396"/>
    <w:rsid w:val="004C6AB3"/>
    <w:rsid w:val="004D3B9F"/>
    <w:rsid w:val="004D53F7"/>
    <w:rsid w:val="004D5B33"/>
    <w:rsid w:val="004D7336"/>
    <w:rsid w:val="004E362A"/>
    <w:rsid w:val="004E383D"/>
    <w:rsid w:val="004E4ADC"/>
    <w:rsid w:val="004E7A76"/>
    <w:rsid w:val="004F3E36"/>
    <w:rsid w:val="004F46C5"/>
    <w:rsid w:val="004F6A91"/>
    <w:rsid w:val="0050082A"/>
    <w:rsid w:val="005057D9"/>
    <w:rsid w:val="005132E6"/>
    <w:rsid w:val="00514B73"/>
    <w:rsid w:val="0052531A"/>
    <w:rsid w:val="00527EC7"/>
    <w:rsid w:val="0053685B"/>
    <w:rsid w:val="00536EBF"/>
    <w:rsid w:val="00544E70"/>
    <w:rsid w:val="00551468"/>
    <w:rsid w:val="00551EC5"/>
    <w:rsid w:val="005673EB"/>
    <w:rsid w:val="005718E2"/>
    <w:rsid w:val="00572830"/>
    <w:rsid w:val="00573FA3"/>
    <w:rsid w:val="00574905"/>
    <w:rsid w:val="00596F79"/>
    <w:rsid w:val="005B1B10"/>
    <w:rsid w:val="005B458F"/>
    <w:rsid w:val="005D39C2"/>
    <w:rsid w:val="005E0BFD"/>
    <w:rsid w:val="005E0F41"/>
    <w:rsid w:val="005E34D4"/>
    <w:rsid w:val="005E5BCD"/>
    <w:rsid w:val="005E6FD1"/>
    <w:rsid w:val="005F3D0E"/>
    <w:rsid w:val="005F4623"/>
    <w:rsid w:val="005F5617"/>
    <w:rsid w:val="00607F3E"/>
    <w:rsid w:val="00612FDC"/>
    <w:rsid w:val="00621BCD"/>
    <w:rsid w:val="006401F6"/>
    <w:rsid w:val="006429F3"/>
    <w:rsid w:val="00642A3A"/>
    <w:rsid w:val="0064694D"/>
    <w:rsid w:val="00647A39"/>
    <w:rsid w:val="00651F18"/>
    <w:rsid w:val="006523D7"/>
    <w:rsid w:val="00655467"/>
    <w:rsid w:val="006556DC"/>
    <w:rsid w:val="00661D19"/>
    <w:rsid w:val="00661E63"/>
    <w:rsid w:val="00662884"/>
    <w:rsid w:val="0066503B"/>
    <w:rsid w:val="00676E77"/>
    <w:rsid w:val="00685253"/>
    <w:rsid w:val="00693FF3"/>
    <w:rsid w:val="00694125"/>
    <w:rsid w:val="00697191"/>
    <w:rsid w:val="006A0DA9"/>
    <w:rsid w:val="006A45B7"/>
    <w:rsid w:val="006A7A7E"/>
    <w:rsid w:val="006B08D7"/>
    <w:rsid w:val="006B5D6A"/>
    <w:rsid w:val="006B6685"/>
    <w:rsid w:val="006B79D9"/>
    <w:rsid w:val="006C158F"/>
    <w:rsid w:val="006C1CDC"/>
    <w:rsid w:val="006C7C7C"/>
    <w:rsid w:val="006C7F40"/>
    <w:rsid w:val="006D1093"/>
    <w:rsid w:val="006D1289"/>
    <w:rsid w:val="006D1BBF"/>
    <w:rsid w:val="006F0CE3"/>
    <w:rsid w:val="006F0E3B"/>
    <w:rsid w:val="006F4DC3"/>
    <w:rsid w:val="006F5F73"/>
    <w:rsid w:val="00700611"/>
    <w:rsid w:val="00712993"/>
    <w:rsid w:val="00714D73"/>
    <w:rsid w:val="00717ED3"/>
    <w:rsid w:val="00721857"/>
    <w:rsid w:val="00724DFF"/>
    <w:rsid w:val="00730050"/>
    <w:rsid w:val="0073108F"/>
    <w:rsid w:val="007360AE"/>
    <w:rsid w:val="00736AE9"/>
    <w:rsid w:val="00736E51"/>
    <w:rsid w:val="00737771"/>
    <w:rsid w:val="0074063F"/>
    <w:rsid w:val="00740E6D"/>
    <w:rsid w:val="00746167"/>
    <w:rsid w:val="00753875"/>
    <w:rsid w:val="00755E41"/>
    <w:rsid w:val="007627D7"/>
    <w:rsid w:val="0076477B"/>
    <w:rsid w:val="007652EC"/>
    <w:rsid w:val="00771A0E"/>
    <w:rsid w:val="007752C5"/>
    <w:rsid w:val="00775947"/>
    <w:rsid w:val="00783618"/>
    <w:rsid w:val="00785A48"/>
    <w:rsid w:val="00786164"/>
    <w:rsid w:val="0078676C"/>
    <w:rsid w:val="007A0F3D"/>
    <w:rsid w:val="007A27F4"/>
    <w:rsid w:val="007B1469"/>
    <w:rsid w:val="007B23A5"/>
    <w:rsid w:val="007C4871"/>
    <w:rsid w:val="007D46A5"/>
    <w:rsid w:val="007D68DD"/>
    <w:rsid w:val="007E0531"/>
    <w:rsid w:val="007E1981"/>
    <w:rsid w:val="007E31D4"/>
    <w:rsid w:val="007E570F"/>
    <w:rsid w:val="007F26FF"/>
    <w:rsid w:val="007F7A89"/>
    <w:rsid w:val="007F7C9D"/>
    <w:rsid w:val="008029B6"/>
    <w:rsid w:val="008109A4"/>
    <w:rsid w:val="008127E3"/>
    <w:rsid w:val="008132EA"/>
    <w:rsid w:val="0082578F"/>
    <w:rsid w:val="0082592F"/>
    <w:rsid w:val="00830131"/>
    <w:rsid w:val="00831606"/>
    <w:rsid w:val="008328F5"/>
    <w:rsid w:val="008375D2"/>
    <w:rsid w:val="008377FD"/>
    <w:rsid w:val="00842C72"/>
    <w:rsid w:val="008473FF"/>
    <w:rsid w:val="0085181D"/>
    <w:rsid w:val="0086013D"/>
    <w:rsid w:val="0087161F"/>
    <w:rsid w:val="008726A4"/>
    <w:rsid w:val="0087771F"/>
    <w:rsid w:val="00880A0C"/>
    <w:rsid w:val="0088135F"/>
    <w:rsid w:val="008818B7"/>
    <w:rsid w:val="00881AB3"/>
    <w:rsid w:val="0088306C"/>
    <w:rsid w:val="008857CB"/>
    <w:rsid w:val="00886122"/>
    <w:rsid w:val="008B04BB"/>
    <w:rsid w:val="008B3202"/>
    <w:rsid w:val="008B3595"/>
    <w:rsid w:val="008C1EF7"/>
    <w:rsid w:val="008C22D9"/>
    <w:rsid w:val="008C2644"/>
    <w:rsid w:val="008C58EC"/>
    <w:rsid w:val="008C703D"/>
    <w:rsid w:val="008C76DF"/>
    <w:rsid w:val="008D16FB"/>
    <w:rsid w:val="008D74C2"/>
    <w:rsid w:val="008E13D6"/>
    <w:rsid w:val="008E4E98"/>
    <w:rsid w:val="008F4EE6"/>
    <w:rsid w:val="008F6D65"/>
    <w:rsid w:val="00903462"/>
    <w:rsid w:val="00904284"/>
    <w:rsid w:val="0090691B"/>
    <w:rsid w:val="00920FBD"/>
    <w:rsid w:val="009314E5"/>
    <w:rsid w:val="0093235F"/>
    <w:rsid w:val="00935CE0"/>
    <w:rsid w:val="00936765"/>
    <w:rsid w:val="00936E0E"/>
    <w:rsid w:val="00942B3A"/>
    <w:rsid w:val="009433B7"/>
    <w:rsid w:val="00953C42"/>
    <w:rsid w:val="00954B1C"/>
    <w:rsid w:val="00960492"/>
    <w:rsid w:val="00961807"/>
    <w:rsid w:val="00963BAF"/>
    <w:rsid w:val="00972E5B"/>
    <w:rsid w:val="00973713"/>
    <w:rsid w:val="00974FA8"/>
    <w:rsid w:val="0097573D"/>
    <w:rsid w:val="00984EE9"/>
    <w:rsid w:val="00985B16"/>
    <w:rsid w:val="00990B63"/>
    <w:rsid w:val="00993B4D"/>
    <w:rsid w:val="00996ECB"/>
    <w:rsid w:val="009A773A"/>
    <w:rsid w:val="009C1BB9"/>
    <w:rsid w:val="009C25A4"/>
    <w:rsid w:val="009C2C4F"/>
    <w:rsid w:val="009C336D"/>
    <w:rsid w:val="009C720F"/>
    <w:rsid w:val="009D635E"/>
    <w:rsid w:val="009F1A59"/>
    <w:rsid w:val="009F6142"/>
    <w:rsid w:val="009F721B"/>
    <w:rsid w:val="00A03E6A"/>
    <w:rsid w:val="00A177A4"/>
    <w:rsid w:val="00A206A1"/>
    <w:rsid w:val="00A22BA4"/>
    <w:rsid w:val="00A3420A"/>
    <w:rsid w:val="00A42608"/>
    <w:rsid w:val="00A4471A"/>
    <w:rsid w:val="00A44FA6"/>
    <w:rsid w:val="00A55566"/>
    <w:rsid w:val="00A6616E"/>
    <w:rsid w:val="00A71C17"/>
    <w:rsid w:val="00A72739"/>
    <w:rsid w:val="00A7382D"/>
    <w:rsid w:val="00A7625A"/>
    <w:rsid w:val="00A858C6"/>
    <w:rsid w:val="00A867FB"/>
    <w:rsid w:val="00A92A23"/>
    <w:rsid w:val="00A92B30"/>
    <w:rsid w:val="00AA3443"/>
    <w:rsid w:val="00AA5271"/>
    <w:rsid w:val="00AB1D34"/>
    <w:rsid w:val="00AB5ACD"/>
    <w:rsid w:val="00AB6290"/>
    <w:rsid w:val="00AB7387"/>
    <w:rsid w:val="00AC6B3C"/>
    <w:rsid w:val="00AC6CB7"/>
    <w:rsid w:val="00AC71B8"/>
    <w:rsid w:val="00AD3D0A"/>
    <w:rsid w:val="00AD4681"/>
    <w:rsid w:val="00AD4BD6"/>
    <w:rsid w:val="00AE137D"/>
    <w:rsid w:val="00AE6CCC"/>
    <w:rsid w:val="00AE75BC"/>
    <w:rsid w:val="00AF1E54"/>
    <w:rsid w:val="00AF2E05"/>
    <w:rsid w:val="00AF3621"/>
    <w:rsid w:val="00AF442E"/>
    <w:rsid w:val="00AF47A3"/>
    <w:rsid w:val="00AF7A3A"/>
    <w:rsid w:val="00B02332"/>
    <w:rsid w:val="00B029BA"/>
    <w:rsid w:val="00B04487"/>
    <w:rsid w:val="00B0508C"/>
    <w:rsid w:val="00B130AA"/>
    <w:rsid w:val="00B14B22"/>
    <w:rsid w:val="00B14EC9"/>
    <w:rsid w:val="00B276B7"/>
    <w:rsid w:val="00B30CAE"/>
    <w:rsid w:val="00B32636"/>
    <w:rsid w:val="00B34C94"/>
    <w:rsid w:val="00B4320C"/>
    <w:rsid w:val="00B558F8"/>
    <w:rsid w:val="00B6099C"/>
    <w:rsid w:val="00B75DB8"/>
    <w:rsid w:val="00B76CA9"/>
    <w:rsid w:val="00B831A2"/>
    <w:rsid w:val="00B90CBF"/>
    <w:rsid w:val="00B917F2"/>
    <w:rsid w:val="00B9633C"/>
    <w:rsid w:val="00B968A7"/>
    <w:rsid w:val="00BA4261"/>
    <w:rsid w:val="00BA6A7E"/>
    <w:rsid w:val="00BA6E9B"/>
    <w:rsid w:val="00BB6884"/>
    <w:rsid w:val="00BC2616"/>
    <w:rsid w:val="00BC5391"/>
    <w:rsid w:val="00BC5DC3"/>
    <w:rsid w:val="00BD0142"/>
    <w:rsid w:val="00BD306E"/>
    <w:rsid w:val="00BD4A50"/>
    <w:rsid w:val="00BD730E"/>
    <w:rsid w:val="00BF1336"/>
    <w:rsid w:val="00BF3D52"/>
    <w:rsid w:val="00BF667D"/>
    <w:rsid w:val="00C02337"/>
    <w:rsid w:val="00C058E0"/>
    <w:rsid w:val="00C05C1C"/>
    <w:rsid w:val="00C112C0"/>
    <w:rsid w:val="00C11456"/>
    <w:rsid w:val="00C1244D"/>
    <w:rsid w:val="00C13206"/>
    <w:rsid w:val="00C17F8C"/>
    <w:rsid w:val="00C2511C"/>
    <w:rsid w:val="00C26426"/>
    <w:rsid w:val="00C3476B"/>
    <w:rsid w:val="00C35C4B"/>
    <w:rsid w:val="00C37BD1"/>
    <w:rsid w:val="00C43601"/>
    <w:rsid w:val="00C46033"/>
    <w:rsid w:val="00C467AF"/>
    <w:rsid w:val="00C471A2"/>
    <w:rsid w:val="00C47B0F"/>
    <w:rsid w:val="00C56374"/>
    <w:rsid w:val="00C6096F"/>
    <w:rsid w:val="00C617CF"/>
    <w:rsid w:val="00C64270"/>
    <w:rsid w:val="00C673E8"/>
    <w:rsid w:val="00C678CF"/>
    <w:rsid w:val="00C70F50"/>
    <w:rsid w:val="00C71E1B"/>
    <w:rsid w:val="00C76922"/>
    <w:rsid w:val="00C8786A"/>
    <w:rsid w:val="00CA39A2"/>
    <w:rsid w:val="00CA7A63"/>
    <w:rsid w:val="00CB1EF7"/>
    <w:rsid w:val="00CB2E94"/>
    <w:rsid w:val="00CB5A30"/>
    <w:rsid w:val="00CC03BE"/>
    <w:rsid w:val="00CD63F3"/>
    <w:rsid w:val="00CE7FA8"/>
    <w:rsid w:val="00CF4FD0"/>
    <w:rsid w:val="00CF5B85"/>
    <w:rsid w:val="00CF6D74"/>
    <w:rsid w:val="00CF7564"/>
    <w:rsid w:val="00D03217"/>
    <w:rsid w:val="00D161E9"/>
    <w:rsid w:val="00D17488"/>
    <w:rsid w:val="00D2175F"/>
    <w:rsid w:val="00D2445F"/>
    <w:rsid w:val="00D25DAE"/>
    <w:rsid w:val="00D31505"/>
    <w:rsid w:val="00D35A24"/>
    <w:rsid w:val="00D36E1F"/>
    <w:rsid w:val="00D403B1"/>
    <w:rsid w:val="00D415B1"/>
    <w:rsid w:val="00D41CB8"/>
    <w:rsid w:val="00D55801"/>
    <w:rsid w:val="00D61D87"/>
    <w:rsid w:val="00D620CA"/>
    <w:rsid w:val="00D64209"/>
    <w:rsid w:val="00D76B64"/>
    <w:rsid w:val="00D76D7E"/>
    <w:rsid w:val="00D8055D"/>
    <w:rsid w:val="00D82D86"/>
    <w:rsid w:val="00D8423D"/>
    <w:rsid w:val="00D85B92"/>
    <w:rsid w:val="00D9206E"/>
    <w:rsid w:val="00D947B8"/>
    <w:rsid w:val="00D97CFF"/>
    <w:rsid w:val="00DA304C"/>
    <w:rsid w:val="00DA4FBA"/>
    <w:rsid w:val="00DA6386"/>
    <w:rsid w:val="00DB464F"/>
    <w:rsid w:val="00DC6A23"/>
    <w:rsid w:val="00DD131B"/>
    <w:rsid w:val="00DD165C"/>
    <w:rsid w:val="00DD1CD0"/>
    <w:rsid w:val="00DD35DC"/>
    <w:rsid w:val="00DD746F"/>
    <w:rsid w:val="00DE003E"/>
    <w:rsid w:val="00DE2449"/>
    <w:rsid w:val="00DE5B51"/>
    <w:rsid w:val="00DF070A"/>
    <w:rsid w:val="00DF40AD"/>
    <w:rsid w:val="00E005CC"/>
    <w:rsid w:val="00E111A9"/>
    <w:rsid w:val="00E16778"/>
    <w:rsid w:val="00E16849"/>
    <w:rsid w:val="00E2271D"/>
    <w:rsid w:val="00E237B2"/>
    <w:rsid w:val="00E30E1C"/>
    <w:rsid w:val="00E31A99"/>
    <w:rsid w:val="00E40B55"/>
    <w:rsid w:val="00E50424"/>
    <w:rsid w:val="00E51A85"/>
    <w:rsid w:val="00E53BA9"/>
    <w:rsid w:val="00E544AE"/>
    <w:rsid w:val="00E57D11"/>
    <w:rsid w:val="00E70089"/>
    <w:rsid w:val="00E71F13"/>
    <w:rsid w:val="00E72C97"/>
    <w:rsid w:val="00E807DB"/>
    <w:rsid w:val="00E86CE8"/>
    <w:rsid w:val="00E8784E"/>
    <w:rsid w:val="00E953B2"/>
    <w:rsid w:val="00EA4E57"/>
    <w:rsid w:val="00EB3CF6"/>
    <w:rsid w:val="00EB6BEB"/>
    <w:rsid w:val="00EC4BA7"/>
    <w:rsid w:val="00EC4FEB"/>
    <w:rsid w:val="00ED48A4"/>
    <w:rsid w:val="00EE469A"/>
    <w:rsid w:val="00EE6892"/>
    <w:rsid w:val="00EF51C4"/>
    <w:rsid w:val="00F042F9"/>
    <w:rsid w:val="00F13ADE"/>
    <w:rsid w:val="00F16552"/>
    <w:rsid w:val="00F173F3"/>
    <w:rsid w:val="00F24F4D"/>
    <w:rsid w:val="00F30C95"/>
    <w:rsid w:val="00F333C5"/>
    <w:rsid w:val="00F33D45"/>
    <w:rsid w:val="00F34087"/>
    <w:rsid w:val="00F342AF"/>
    <w:rsid w:val="00F360A1"/>
    <w:rsid w:val="00F4327E"/>
    <w:rsid w:val="00F47E81"/>
    <w:rsid w:val="00F56C2E"/>
    <w:rsid w:val="00F63AFA"/>
    <w:rsid w:val="00F73F0F"/>
    <w:rsid w:val="00F76FE8"/>
    <w:rsid w:val="00F83D08"/>
    <w:rsid w:val="00F87699"/>
    <w:rsid w:val="00F91024"/>
    <w:rsid w:val="00F96D27"/>
    <w:rsid w:val="00FA0C40"/>
    <w:rsid w:val="00FA2298"/>
    <w:rsid w:val="00FB3E1B"/>
    <w:rsid w:val="00FB4292"/>
    <w:rsid w:val="00FC5BD7"/>
    <w:rsid w:val="00FC7169"/>
    <w:rsid w:val="00FD2726"/>
    <w:rsid w:val="00FE30C1"/>
    <w:rsid w:val="00FE3B92"/>
    <w:rsid w:val="00FE43E4"/>
    <w:rsid w:val="00FE6739"/>
    <w:rsid w:val="00FE795C"/>
    <w:rsid w:val="00FF0F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99FB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740"/>
  </w:style>
  <w:style w:type="paragraph" w:styleId="Heading1">
    <w:name w:val="heading 1"/>
    <w:basedOn w:val="Normal"/>
    <w:next w:val="Normal"/>
    <w:link w:val="Heading1Char"/>
    <w:uiPriority w:val="9"/>
    <w:qFormat/>
    <w:rsid w:val="004437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3740"/>
    <w:pPr>
      <w:keepNext/>
      <w:keepLines/>
      <w:pBdr>
        <w:top w:val="single" w:sz="2" w:space="1" w:color="2E74B5" w:themeColor="accent5" w:themeShade="BF"/>
      </w:pBdr>
      <w:spacing w:before="40" w:after="80"/>
      <w:outlineLvl w:val="1"/>
    </w:pPr>
    <w:rPr>
      <w:rFonts w:asciiTheme="majorHAnsi" w:eastAsiaTheme="majorEastAsia" w:hAnsiTheme="majorHAnsi" w:cstheme="majorBidi"/>
      <w:color w:val="2E74B5" w:themeColor="accent5" w:themeShade="BF"/>
      <w:sz w:val="26"/>
      <w:szCs w:val="26"/>
    </w:rPr>
  </w:style>
  <w:style w:type="paragraph" w:styleId="Heading3">
    <w:name w:val="heading 3"/>
    <w:basedOn w:val="Heading4"/>
    <w:next w:val="Normal"/>
    <w:link w:val="Heading3Char"/>
    <w:uiPriority w:val="9"/>
    <w:unhideWhenUsed/>
    <w:qFormat/>
    <w:rsid w:val="008377FD"/>
    <w:pPr>
      <w:outlineLvl w:val="2"/>
    </w:pPr>
    <w:rPr>
      <w:rFonts w:cs="Calibri"/>
      <w:b w:val="0"/>
      <w:bCs/>
      <w:i/>
      <w:color w:val="1F3864" w:themeColor="accent1" w:themeShade="80"/>
      <w:u w:val="none"/>
    </w:rPr>
  </w:style>
  <w:style w:type="paragraph" w:styleId="Heading4">
    <w:name w:val="heading 4"/>
    <w:basedOn w:val="Normal"/>
    <w:next w:val="Normal"/>
    <w:link w:val="Heading4Char"/>
    <w:uiPriority w:val="9"/>
    <w:unhideWhenUsed/>
    <w:qFormat/>
    <w:rsid w:val="008377FD"/>
    <w:pPr>
      <w:keepNext/>
      <w:keepLines/>
      <w:spacing w:before="40" w:after="120"/>
      <w:outlineLvl w:val="3"/>
    </w:pPr>
    <w:rPr>
      <w:rFonts w:asciiTheme="majorHAnsi" w:eastAsiaTheme="majorEastAsia" w:hAnsiTheme="majorHAnsi" w:cstheme="majorBidi"/>
      <w:b/>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74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43740"/>
    <w:rPr>
      <w:rFonts w:asciiTheme="majorHAnsi" w:eastAsiaTheme="majorEastAsia" w:hAnsiTheme="majorHAnsi" w:cstheme="majorBidi"/>
      <w:color w:val="2E74B5" w:themeColor="accent5" w:themeShade="BF"/>
      <w:sz w:val="26"/>
      <w:szCs w:val="26"/>
    </w:rPr>
  </w:style>
  <w:style w:type="paragraph" w:styleId="Header">
    <w:name w:val="header"/>
    <w:basedOn w:val="Normal"/>
    <w:link w:val="HeaderChar"/>
    <w:uiPriority w:val="99"/>
    <w:unhideWhenUsed/>
    <w:rsid w:val="004437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740"/>
  </w:style>
  <w:style w:type="paragraph" w:styleId="Footer">
    <w:name w:val="footer"/>
    <w:basedOn w:val="Normal"/>
    <w:link w:val="FooterChar"/>
    <w:uiPriority w:val="99"/>
    <w:unhideWhenUsed/>
    <w:rsid w:val="004437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740"/>
  </w:style>
  <w:style w:type="paragraph" w:styleId="ListParagraph">
    <w:name w:val="List Paragraph"/>
    <w:basedOn w:val="Normal"/>
    <w:uiPriority w:val="34"/>
    <w:qFormat/>
    <w:rsid w:val="00443740"/>
    <w:pPr>
      <w:ind w:left="720"/>
      <w:contextualSpacing/>
    </w:pPr>
  </w:style>
  <w:style w:type="table" w:styleId="TableGrid">
    <w:name w:val="Table Grid"/>
    <w:basedOn w:val="TableNormal"/>
    <w:uiPriority w:val="39"/>
    <w:rsid w:val="00443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26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635"/>
    <w:rPr>
      <w:rFonts w:ascii="Segoe UI" w:hAnsi="Segoe UI" w:cs="Segoe UI"/>
      <w:sz w:val="18"/>
      <w:szCs w:val="18"/>
    </w:rPr>
  </w:style>
  <w:style w:type="character" w:customStyle="1" w:styleId="normaltextrun">
    <w:name w:val="normaltextrun"/>
    <w:basedOn w:val="DefaultParagraphFont"/>
    <w:rsid w:val="00D9206E"/>
  </w:style>
  <w:style w:type="character" w:customStyle="1" w:styleId="eop">
    <w:name w:val="eop"/>
    <w:basedOn w:val="DefaultParagraphFont"/>
    <w:rsid w:val="00D9206E"/>
  </w:style>
  <w:style w:type="character" w:styleId="CommentReference">
    <w:name w:val="annotation reference"/>
    <w:basedOn w:val="DefaultParagraphFont"/>
    <w:uiPriority w:val="99"/>
    <w:semiHidden/>
    <w:unhideWhenUsed/>
    <w:rsid w:val="00193430"/>
    <w:rPr>
      <w:sz w:val="16"/>
      <w:szCs w:val="16"/>
    </w:rPr>
  </w:style>
  <w:style w:type="paragraph" w:styleId="CommentText">
    <w:name w:val="annotation text"/>
    <w:basedOn w:val="Normal"/>
    <w:link w:val="CommentTextChar"/>
    <w:uiPriority w:val="99"/>
    <w:semiHidden/>
    <w:unhideWhenUsed/>
    <w:rsid w:val="00193430"/>
    <w:pPr>
      <w:spacing w:line="240" w:lineRule="auto"/>
    </w:pPr>
    <w:rPr>
      <w:sz w:val="20"/>
      <w:szCs w:val="20"/>
    </w:rPr>
  </w:style>
  <w:style w:type="character" w:customStyle="1" w:styleId="CommentTextChar">
    <w:name w:val="Comment Text Char"/>
    <w:basedOn w:val="DefaultParagraphFont"/>
    <w:link w:val="CommentText"/>
    <w:uiPriority w:val="99"/>
    <w:semiHidden/>
    <w:rsid w:val="00193430"/>
    <w:rPr>
      <w:sz w:val="20"/>
      <w:szCs w:val="20"/>
    </w:rPr>
  </w:style>
  <w:style w:type="paragraph" w:styleId="CommentSubject">
    <w:name w:val="annotation subject"/>
    <w:basedOn w:val="CommentText"/>
    <w:next w:val="CommentText"/>
    <w:link w:val="CommentSubjectChar"/>
    <w:uiPriority w:val="99"/>
    <w:semiHidden/>
    <w:unhideWhenUsed/>
    <w:rsid w:val="00193430"/>
    <w:rPr>
      <w:b/>
      <w:bCs/>
    </w:rPr>
  </w:style>
  <w:style w:type="character" w:customStyle="1" w:styleId="CommentSubjectChar">
    <w:name w:val="Comment Subject Char"/>
    <w:basedOn w:val="CommentTextChar"/>
    <w:link w:val="CommentSubject"/>
    <w:uiPriority w:val="99"/>
    <w:semiHidden/>
    <w:rsid w:val="00193430"/>
    <w:rPr>
      <w:b/>
      <w:bCs/>
      <w:sz w:val="20"/>
      <w:szCs w:val="20"/>
    </w:rPr>
  </w:style>
  <w:style w:type="paragraph" w:styleId="FootnoteText">
    <w:name w:val="footnote text"/>
    <w:basedOn w:val="Normal"/>
    <w:link w:val="FootnoteTextChar"/>
    <w:uiPriority w:val="99"/>
    <w:semiHidden/>
    <w:unhideWhenUsed/>
    <w:rsid w:val="001A59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59D4"/>
    <w:rPr>
      <w:sz w:val="20"/>
      <w:szCs w:val="20"/>
    </w:rPr>
  </w:style>
  <w:style w:type="character" w:styleId="FootnoteReference">
    <w:name w:val="footnote reference"/>
    <w:basedOn w:val="DefaultParagraphFont"/>
    <w:uiPriority w:val="99"/>
    <w:semiHidden/>
    <w:unhideWhenUsed/>
    <w:rsid w:val="001A59D4"/>
    <w:rPr>
      <w:vertAlign w:val="superscript"/>
    </w:rPr>
  </w:style>
  <w:style w:type="character" w:customStyle="1" w:styleId="Heading4Char">
    <w:name w:val="Heading 4 Char"/>
    <w:basedOn w:val="DefaultParagraphFont"/>
    <w:link w:val="Heading4"/>
    <w:uiPriority w:val="9"/>
    <w:rsid w:val="008377FD"/>
    <w:rPr>
      <w:rFonts w:asciiTheme="majorHAnsi" w:eastAsiaTheme="majorEastAsia" w:hAnsiTheme="majorHAnsi" w:cstheme="majorBidi"/>
      <w:b/>
      <w:iCs/>
      <w:u w:val="single"/>
    </w:rPr>
  </w:style>
  <w:style w:type="paragraph" w:customStyle="1" w:styleId="Source">
    <w:name w:val="Source"/>
    <w:basedOn w:val="Normal"/>
    <w:qFormat/>
    <w:rsid w:val="002A4970"/>
    <w:pPr>
      <w:spacing w:after="200" w:line="276" w:lineRule="auto"/>
    </w:pPr>
    <w:rPr>
      <w:rFonts w:eastAsiaTheme="minorEastAsia" w:cstheme="minorHAnsi"/>
      <w:b/>
      <w:sz w:val="20"/>
      <w:szCs w:val="20"/>
    </w:rPr>
  </w:style>
  <w:style w:type="paragraph" w:styleId="NormalWeb">
    <w:name w:val="Normal (Web)"/>
    <w:basedOn w:val="Normal"/>
    <w:uiPriority w:val="99"/>
    <w:unhideWhenUsed/>
    <w:rsid w:val="00A71C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AA3443"/>
    <w:rPr>
      <w:b/>
      <w:bCs/>
    </w:rPr>
  </w:style>
  <w:style w:type="paragraph" w:styleId="Revision">
    <w:name w:val="Revision"/>
    <w:hidden/>
    <w:uiPriority w:val="99"/>
    <w:semiHidden/>
    <w:rsid w:val="00AB1D34"/>
    <w:pPr>
      <w:spacing w:after="0" w:line="240" w:lineRule="auto"/>
    </w:pPr>
  </w:style>
  <w:style w:type="character" w:customStyle="1" w:styleId="Heading3Char">
    <w:name w:val="Heading 3 Char"/>
    <w:basedOn w:val="DefaultParagraphFont"/>
    <w:link w:val="Heading3"/>
    <w:uiPriority w:val="9"/>
    <w:rsid w:val="008377FD"/>
    <w:rPr>
      <w:rFonts w:asciiTheme="majorHAnsi" w:eastAsiaTheme="majorEastAsia" w:hAnsiTheme="majorHAnsi" w:cs="Calibri"/>
      <w:bCs/>
      <w:i/>
      <w:iCs/>
      <w:color w:val="1F3864" w:themeColor="accent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57958">
      <w:bodyDiv w:val="1"/>
      <w:marLeft w:val="0"/>
      <w:marRight w:val="0"/>
      <w:marTop w:val="0"/>
      <w:marBottom w:val="0"/>
      <w:divBdr>
        <w:top w:val="none" w:sz="0" w:space="0" w:color="auto"/>
        <w:left w:val="none" w:sz="0" w:space="0" w:color="auto"/>
        <w:bottom w:val="none" w:sz="0" w:space="0" w:color="auto"/>
        <w:right w:val="none" w:sz="0" w:space="0" w:color="auto"/>
      </w:divBdr>
    </w:div>
    <w:div w:id="468593216">
      <w:bodyDiv w:val="1"/>
      <w:marLeft w:val="0"/>
      <w:marRight w:val="0"/>
      <w:marTop w:val="0"/>
      <w:marBottom w:val="0"/>
      <w:divBdr>
        <w:top w:val="none" w:sz="0" w:space="0" w:color="auto"/>
        <w:left w:val="none" w:sz="0" w:space="0" w:color="auto"/>
        <w:bottom w:val="none" w:sz="0" w:space="0" w:color="auto"/>
        <w:right w:val="none" w:sz="0" w:space="0" w:color="auto"/>
      </w:divBdr>
    </w:div>
    <w:div w:id="93660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C610F-0072-4DEA-A0A5-8133F85F9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5340</Words>
  <Characters>31479</Characters>
  <Application>Microsoft Office Word</Application>
  <DocSecurity>0</DocSecurity>
  <Lines>660</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Labour Mobility - Consultation Summary</dc:title>
  <dc:subject/>
  <dc:creator/>
  <cp:keywords/>
  <dc:description/>
  <cp:lastModifiedBy/>
  <cp:revision>1</cp:revision>
  <dcterms:created xsi:type="dcterms:W3CDTF">2021-08-17T04:08:00Z</dcterms:created>
  <dcterms:modified xsi:type="dcterms:W3CDTF">2021-08-17T04:09:00Z</dcterms:modified>
  <cp:category/>
</cp:coreProperties>
</file>