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A80B" w14:textId="4F582D12" w:rsidR="006F771A" w:rsidRPr="003D4CD4" w:rsidRDefault="008B37B5" w:rsidP="003D4CD4">
      <w:pPr>
        <w:pStyle w:val="Heading1"/>
      </w:pPr>
      <w:r w:rsidRPr="003D4CD4">
        <w:t xml:space="preserve">Pacific Labour Mobility Accommodation review </w:t>
      </w:r>
    </w:p>
    <w:p w14:paraId="58C1E8F9" w14:textId="51AF0290" w:rsidR="00DE2F79" w:rsidRDefault="00DE2F79" w:rsidP="00DE2F79">
      <w:pPr>
        <w:pStyle w:val="Standard"/>
        <w:rPr>
          <w:rFonts w:asciiTheme="minorHAnsi" w:eastAsia="Times New Roman" w:hAnsiTheme="minorHAnsi" w:cstheme="minorHAnsi"/>
          <w:color w:val="000000"/>
          <w:kern w:val="0"/>
          <w:sz w:val="22"/>
          <w:szCs w:val="22"/>
          <w:lang w:eastAsia="en-AU" w:bidi="ar-SA"/>
        </w:rPr>
      </w:pPr>
      <w:r w:rsidRPr="00DE2F79">
        <w:rPr>
          <w:rFonts w:asciiTheme="minorHAnsi" w:eastAsia="Times New Roman" w:hAnsiTheme="minorHAnsi" w:cstheme="minorHAnsi"/>
          <w:color w:val="000000"/>
          <w:kern w:val="0"/>
          <w:sz w:val="22"/>
          <w:szCs w:val="22"/>
          <w:lang w:eastAsia="en-AU" w:bidi="ar-SA"/>
        </w:rPr>
        <w:t xml:space="preserve">Expansion of labour mobility is a key government priority under the Pacific step-up initiative. This includes the Seasonal Worker Programme (SWP), administered by the Department of Education, Skills and Employment (DESE), and the Pacific Labour Scheme (PLS), administered by </w:t>
      </w:r>
      <w:r w:rsidR="00D908DC">
        <w:rPr>
          <w:rFonts w:asciiTheme="minorHAnsi" w:eastAsia="Times New Roman" w:hAnsiTheme="minorHAnsi" w:cstheme="minorHAnsi"/>
          <w:color w:val="000000"/>
          <w:kern w:val="0"/>
          <w:sz w:val="22"/>
          <w:szCs w:val="22"/>
          <w:lang w:eastAsia="en-AU" w:bidi="ar-SA"/>
        </w:rPr>
        <w:t xml:space="preserve">Pacific Labour Facility, under contract to </w:t>
      </w:r>
      <w:r w:rsidRPr="00DE2F79">
        <w:rPr>
          <w:rFonts w:asciiTheme="minorHAnsi" w:eastAsia="Times New Roman" w:hAnsiTheme="minorHAnsi" w:cstheme="minorHAnsi"/>
          <w:color w:val="000000"/>
          <w:kern w:val="0"/>
          <w:sz w:val="22"/>
          <w:szCs w:val="22"/>
          <w:lang w:eastAsia="en-AU" w:bidi="ar-SA"/>
        </w:rPr>
        <w:t xml:space="preserve">the Department of Foreign Affairs and Trade (DFAT). Ten countries </w:t>
      </w:r>
      <w:r w:rsidR="003C6F73">
        <w:rPr>
          <w:rFonts w:asciiTheme="minorHAnsi" w:eastAsia="Times New Roman" w:hAnsiTheme="minorHAnsi" w:cstheme="minorHAnsi"/>
          <w:color w:val="000000"/>
          <w:kern w:val="0"/>
          <w:sz w:val="22"/>
          <w:szCs w:val="22"/>
          <w:lang w:eastAsia="en-AU" w:bidi="ar-SA"/>
        </w:rPr>
        <w:t xml:space="preserve">participate </w:t>
      </w:r>
      <w:r w:rsidRPr="00DE2F79">
        <w:rPr>
          <w:rFonts w:asciiTheme="minorHAnsi" w:eastAsia="Times New Roman" w:hAnsiTheme="minorHAnsi" w:cstheme="minorHAnsi"/>
          <w:color w:val="000000"/>
          <w:kern w:val="0"/>
          <w:sz w:val="22"/>
          <w:szCs w:val="22"/>
          <w:lang w:eastAsia="en-AU" w:bidi="ar-SA"/>
        </w:rPr>
        <w:t xml:space="preserve">in both labour initiatives: Fiji, Kiribati, Nauru, Papua New Guinea, Samoa, Solomon Islands, Timor-Leste, Tonga, </w:t>
      </w:r>
      <w:proofErr w:type="gramStart"/>
      <w:r w:rsidRPr="00DE2F79">
        <w:rPr>
          <w:rFonts w:asciiTheme="minorHAnsi" w:eastAsia="Times New Roman" w:hAnsiTheme="minorHAnsi" w:cstheme="minorHAnsi"/>
          <w:color w:val="000000"/>
          <w:kern w:val="0"/>
          <w:sz w:val="22"/>
          <w:szCs w:val="22"/>
          <w:lang w:eastAsia="en-AU" w:bidi="ar-SA"/>
        </w:rPr>
        <w:t>Tuvalu</w:t>
      </w:r>
      <w:proofErr w:type="gramEnd"/>
      <w:r w:rsidRPr="00DE2F79">
        <w:rPr>
          <w:rFonts w:asciiTheme="minorHAnsi" w:eastAsia="Times New Roman" w:hAnsiTheme="minorHAnsi" w:cstheme="minorHAnsi"/>
          <w:color w:val="000000"/>
          <w:kern w:val="0"/>
          <w:sz w:val="22"/>
          <w:szCs w:val="22"/>
          <w:lang w:eastAsia="en-AU" w:bidi="ar-SA"/>
        </w:rPr>
        <w:t xml:space="preserve"> and Vanuatu.</w:t>
      </w:r>
    </w:p>
    <w:p w14:paraId="23AE6BB3" w14:textId="77777777" w:rsidR="00DE2F79" w:rsidRPr="00DE2F79" w:rsidRDefault="00DE2F79" w:rsidP="00DE2F79">
      <w:pPr>
        <w:pStyle w:val="Standard"/>
        <w:rPr>
          <w:rFonts w:asciiTheme="minorHAnsi" w:eastAsia="Times New Roman" w:hAnsiTheme="minorHAnsi" w:cstheme="minorHAnsi"/>
          <w:color w:val="000000"/>
          <w:kern w:val="0"/>
          <w:sz w:val="22"/>
          <w:szCs w:val="22"/>
          <w:lang w:eastAsia="en-AU" w:bidi="ar-SA"/>
        </w:rPr>
      </w:pPr>
    </w:p>
    <w:p w14:paraId="4AF0273C" w14:textId="1B7AFCFA" w:rsidR="00DE2F79" w:rsidRPr="002D03D0" w:rsidRDefault="00DE2F79" w:rsidP="1A4C695B">
      <w:pPr>
        <w:pStyle w:val="Standard"/>
        <w:rPr>
          <w:rFonts w:asciiTheme="minorHAnsi" w:eastAsia="Times New Roman" w:hAnsiTheme="minorHAnsi" w:cstheme="minorBidi"/>
          <w:color w:val="000000"/>
          <w:kern w:val="0"/>
          <w:sz w:val="22"/>
          <w:szCs w:val="22"/>
          <w:lang w:eastAsia="en-AU" w:bidi="ar-SA"/>
        </w:rPr>
      </w:pPr>
      <w:r w:rsidRPr="1A4C695B">
        <w:rPr>
          <w:rFonts w:asciiTheme="minorHAnsi" w:eastAsia="Times New Roman" w:hAnsiTheme="minorHAnsi" w:cstheme="minorBidi"/>
          <w:color w:val="000000"/>
          <w:kern w:val="0"/>
          <w:sz w:val="22"/>
          <w:szCs w:val="22"/>
          <w:lang w:eastAsia="en-AU" w:bidi="ar-SA"/>
        </w:rPr>
        <w:t>Accommodation is one the largest ongoing expenses for workers in Australia under the labour mobility schemes. Approved Employers under both schemes are required to provide accommodation for workers, either for a</w:t>
      </w:r>
      <w:r w:rsidR="00235572" w:rsidRPr="1A4C695B">
        <w:rPr>
          <w:rFonts w:asciiTheme="minorHAnsi" w:eastAsia="Times New Roman" w:hAnsiTheme="minorHAnsi" w:cstheme="minorBidi"/>
          <w:color w:val="000000"/>
          <w:kern w:val="0"/>
          <w:sz w:val="22"/>
          <w:szCs w:val="22"/>
          <w:lang w:eastAsia="en-AU" w:bidi="ar-SA"/>
        </w:rPr>
        <w:t>n</w:t>
      </w:r>
      <w:r w:rsidRPr="1A4C695B">
        <w:rPr>
          <w:rFonts w:asciiTheme="minorHAnsi" w:eastAsia="Times New Roman" w:hAnsiTheme="minorHAnsi" w:cstheme="minorBidi"/>
          <w:color w:val="000000"/>
          <w:kern w:val="0"/>
          <w:sz w:val="22"/>
          <w:szCs w:val="22"/>
          <w:lang w:eastAsia="en-AU" w:bidi="ar-SA"/>
        </w:rPr>
        <w:t xml:space="preserve"> initial period (3 months for PLS) or for the length of the contract (SWP). Workers </w:t>
      </w:r>
      <w:r w:rsidR="00494D56">
        <w:rPr>
          <w:rFonts w:asciiTheme="minorHAnsi" w:eastAsia="Times New Roman" w:hAnsiTheme="minorHAnsi" w:cstheme="minorBidi"/>
          <w:color w:val="000000"/>
          <w:kern w:val="0"/>
          <w:sz w:val="22"/>
          <w:szCs w:val="22"/>
          <w:lang w:eastAsia="en-AU" w:bidi="ar-SA"/>
        </w:rPr>
        <w:t xml:space="preserve">in both </w:t>
      </w:r>
      <w:r w:rsidR="00494D56" w:rsidRPr="002D03D0">
        <w:rPr>
          <w:rFonts w:asciiTheme="minorHAnsi" w:eastAsia="Times New Roman" w:hAnsiTheme="minorHAnsi" w:cstheme="minorBidi"/>
          <w:color w:val="000000"/>
          <w:kern w:val="0"/>
          <w:sz w:val="22"/>
          <w:szCs w:val="22"/>
          <w:lang w:eastAsia="en-AU" w:bidi="ar-SA"/>
        </w:rPr>
        <w:t xml:space="preserve">the PLS and SWP </w:t>
      </w:r>
      <w:r w:rsidR="00DE6599" w:rsidRPr="002D03D0">
        <w:rPr>
          <w:rFonts w:asciiTheme="minorHAnsi" w:eastAsia="Times New Roman" w:hAnsiTheme="minorHAnsi" w:cstheme="minorBidi"/>
          <w:color w:val="000000"/>
          <w:kern w:val="0"/>
          <w:sz w:val="22"/>
          <w:szCs w:val="22"/>
          <w:lang w:eastAsia="en-AU" w:bidi="ar-SA"/>
        </w:rPr>
        <w:t>can</w:t>
      </w:r>
      <w:r w:rsidRPr="002D03D0">
        <w:rPr>
          <w:rFonts w:asciiTheme="minorHAnsi" w:eastAsia="Times New Roman" w:hAnsiTheme="minorHAnsi" w:cstheme="minorBidi"/>
          <w:color w:val="000000"/>
          <w:kern w:val="0"/>
          <w:sz w:val="22"/>
          <w:szCs w:val="22"/>
          <w:lang w:eastAsia="en-AU" w:bidi="ar-SA"/>
        </w:rPr>
        <w:t xml:space="preserve"> choose to relocate to private accommodation arrangements although</w:t>
      </w:r>
      <w:r w:rsidR="00D908DC" w:rsidRPr="002D03D0">
        <w:rPr>
          <w:rFonts w:asciiTheme="minorHAnsi" w:eastAsia="Times New Roman" w:hAnsiTheme="minorHAnsi" w:cstheme="minorBidi"/>
          <w:color w:val="000000"/>
          <w:kern w:val="0"/>
          <w:sz w:val="22"/>
          <w:szCs w:val="22"/>
          <w:lang w:eastAsia="en-AU" w:bidi="ar-SA"/>
        </w:rPr>
        <w:t>. In practice, few workers choose this option</w:t>
      </w:r>
      <w:r w:rsidR="00DE6599" w:rsidRPr="002D03D0">
        <w:rPr>
          <w:rFonts w:asciiTheme="minorHAnsi" w:eastAsia="Times New Roman" w:hAnsiTheme="minorHAnsi" w:cstheme="minorBidi"/>
          <w:color w:val="000000"/>
          <w:kern w:val="0"/>
          <w:sz w:val="22"/>
          <w:szCs w:val="22"/>
          <w:lang w:eastAsia="en-AU" w:bidi="ar-SA"/>
        </w:rPr>
        <w:t>, particularly in SWP</w:t>
      </w:r>
      <w:r w:rsidRPr="002D03D0">
        <w:rPr>
          <w:rFonts w:asciiTheme="minorHAnsi" w:eastAsia="Times New Roman" w:hAnsiTheme="minorHAnsi" w:cstheme="minorBidi"/>
          <w:color w:val="000000"/>
          <w:kern w:val="0"/>
          <w:sz w:val="22"/>
          <w:szCs w:val="22"/>
          <w:lang w:eastAsia="en-AU" w:bidi="ar-SA"/>
        </w:rPr>
        <w:t>. Workers usually pay for employer-arranged accommodation through deductions from their earnings. Under the SWP all accommodation</w:t>
      </w:r>
      <w:r w:rsidR="00494D56" w:rsidRPr="002D03D0">
        <w:rPr>
          <w:rFonts w:asciiTheme="minorHAnsi" w:eastAsia="Times New Roman" w:hAnsiTheme="minorHAnsi" w:cstheme="minorBidi"/>
          <w:color w:val="000000"/>
          <w:kern w:val="0"/>
          <w:sz w:val="22"/>
          <w:szCs w:val="22"/>
          <w:lang w:eastAsia="en-AU" w:bidi="ar-SA"/>
        </w:rPr>
        <w:t xml:space="preserve"> provided by Approved Employers</w:t>
      </w:r>
      <w:r w:rsidRPr="002D03D0">
        <w:rPr>
          <w:rFonts w:asciiTheme="minorHAnsi" w:eastAsia="Times New Roman" w:hAnsiTheme="minorHAnsi" w:cstheme="minorBidi"/>
          <w:color w:val="000000"/>
          <w:kern w:val="0"/>
          <w:sz w:val="22"/>
          <w:szCs w:val="22"/>
          <w:lang w:eastAsia="en-AU" w:bidi="ar-SA"/>
        </w:rPr>
        <w:t xml:space="preserve"> is required to be approved by DESE against minimum standards set under Guidelines prior to the accommodation being used to house workers</w:t>
      </w:r>
    </w:p>
    <w:p w14:paraId="6EB0C952" w14:textId="77777777" w:rsidR="00DE2F79" w:rsidRPr="002D03D0" w:rsidRDefault="00DE2F79" w:rsidP="00DE2F79">
      <w:pPr>
        <w:pStyle w:val="Standard"/>
        <w:rPr>
          <w:rFonts w:asciiTheme="minorHAnsi" w:eastAsia="Times New Roman" w:hAnsiTheme="minorHAnsi" w:cstheme="minorHAnsi"/>
          <w:color w:val="000000"/>
          <w:kern w:val="0"/>
          <w:sz w:val="22"/>
          <w:szCs w:val="22"/>
          <w:lang w:eastAsia="en-AU" w:bidi="ar-SA"/>
        </w:rPr>
      </w:pPr>
    </w:p>
    <w:p w14:paraId="3718BD8F" w14:textId="5DE1ECCA" w:rsidR="00617704" w:rsidRPr="002D03D0" w:rsidRDefault="00617704" w:rsidP="00617704">
      <w:pPr>
        <w:pStyle w:val="Standard"/>
        <w:rPr>
          <w:rFonts w:asciiTheme="minorHAnsi" w:eastAsia="Times New Roman" w:hAnsiTheme="minorHAnsi" w:cstheme="minorHAnsi"/>
          <w:color w:val="000000"/>
          <w:kern w:val="0"/>
          <w:sz w:val="22"/>
          <w:szCs w:val="22"/>
          <w:lang w:eastAsia="en-AU" w:bidi="ar-SA"/>
        </w:rPr>
      </w:pPr>
      <w:r w:rsidRPr="002D03D0">
        <w:rPr>
          <w:rFonts w:asciiTheme="minorHAnsi" w:eastAsia="Times New Roman" w:hAnsiTheme="minorHAnsi" w:cstheme="minorHAnsi"/>
          <w:color w:val="000000"/>
          <w:kern w:val="0"/>
          <w:sz w:val="22"/>
          <w:szCs w:val="22"/>
          <w:lang w:eastAsia="en-AU" w:bidi="ar-SA"/>
        </w:rPr>
        <w:t xml:space="preserve">The purpose of the review was to examine the cost and inclusions of accommodation for PLS and SWP workers and to consider what changes are warranted to DFAT and DESE policies to improve the value and suitability of accommodation for Pacific workers. </w:t>
      </w:r>
    </w:p>
    <w:p w14:paraId="72F6017C" w14:textId="62A3D94C" w:rsidR="009266D4" w:rsidRPr="002D03D0" w:rsidRDefault="009266D4" w:rsidP="00DE2F79">
      <w:pPr>
        <w:pStyle w:val="Standard"/>
        <w:rPr>
          <w:rFonts w:asciiTheme="minorHAnsi" w:eastAsia="Times New Roman" w:hAnsiTheme="minorHAnsi" w:cstheme="minorHAnsi"/>
          <w:color w:val="000000"/>
          <w:kern w:val="0"/>
          <w:sz w:val="22"/>
          <w:szCs w:val="22"/>
          <w:lang w:eastAsia="en-AU" w:bidi="ar-SA"/>
        </w:rPr>
      </w:pPr>
    </w:p>
    <w:p w14:paraId="0382EA06" w14:textId="1EC605CC" w:rsidR="00DE2F79" w:rsidRPr="002D03D0" w:rsidRDefault="00DE2F79" w:rsidP="00DE2F79">
      <w:pPr>
        <w:pStyle w:val="Standard"/>
        <w:rPr>
          <w:rFonts w:asciiTheme="minorHAnsi" w:eastAsia="Times New Roman" w:hAnsiTheme="minorHAnsi" w:cstheme="minorHAnsi"/>
          <w:color w:val="000000"/>
          <w:kern w:val="0"/>
          <w:sz w:val="22"/>
          <w:szCs w:val="22"/>
          <w:lang w:eastAsia="en-AU" w:bidi="ar-SA"/>
        </w:rPr>
      </w:pPr>
      <w:r w:rsidRPr="002D03D0">
        <w:rPr>
          <w:rFonts w:asciiTheme="minorHAnsi" w:eastAsia="Times New Roman" w:hAnsiTheme="minorHAnsi" w:cstheme="minorHAnsi"/>
          <w:color w:val="000000"/>
          <w:kern w:val="0"/>
          <w:sz w:val="22"/>
          <w:szCs w:val="22"/>
          <w:lang w:eastAsia="en-AU" w:bidi="ar-SA"/>
        </w:rPr>
        <w:t xml:space="preserve">The review </w:t>
      </w:r>
      <w:r w:rsidR="00671485" w:rsidRPr="002D03D0">
        <w:rPr>
          <w:rFonts w:asciiTheme="minorHAnsi" w:eastAsia="Times New Roman" w:hAnsiTheme="minorHAnsi" w:cstheme="minorHAnsi"/>
          <w:color w:val="000000"/>
          <w:kern w:val="0"/>
          <w:sz w:val="22"/>
          <w:szCs w:val="22"/>
          <w:lang w:eastAsia="en-AU" w:bidi="ar-SA"/>
        </w:rPr>
        <w:t>focussed on accommodation for PLS workers, as more detail</w:t>
      </w:r>
      <w:r w:rsidR="002964BF" w:rsidRPr="002D03D0">
        <w:rPr>
          <w:rFonts w:asciiTheme="minorHAnsi" w:eastAsia="Times New Roman" w:hAnsiTheme="minorHAnsi" w:cstheme="minorHAnsi"/>
          <w:color w:val="000000"/>
          <w:kern w:val="0"/>
          <w:sz w:val="22"/>
          <w:szCs w:val="22"/>
          <w:lang w:eastAsia="en-AU" w:bidi="ar-SA"/>
        </w:rPr>
        <w:t>ed PLS worker</w:t>
      </w:r>
      <w:r w:rsidR="00671485" w:rsidRPr="002D03D0">
        <w:rPr>
          <w:rFonts w:asciiTheme="minorHAnsi" w:eastAsia="Times New Roman" w:hAnsiTheme="minorHAnsi" w:cstheme="minorHAnsi"/>
          <w:color w:val="000000"/>
          <w:kern w:val="0"/>
          <w:sz w:val="22"/>
          <w:szCs w:val="22"/>
          <w:lang w:eastAsia="en-AU" w:bidi="ar-SA"/>
        </w:rPr>
        <w:t xml:space="preserve"> data was available at the time of analysis. A limited sample </w:t>
      </w:r>
      <w:r w:rsidR="00F32E83" w:rsidRPr="002D03D0">
        <w:rPr>
          <w:rFonts w:asciiTheme="minorHAnsi" w:eastAsia="Times New Roman" w:hAnsiTheme="minorHAnsi" w:cstheme="minorHAnsi"/>
          <w:color w:val="000000"/>
          <w:kern w:val="0"/>
          <w:sz w:val="22"/>
          <w:szCs w:val="22"/>
          <w:lang w:eastAsia="en-AU" w:bidi="ar-SA"/>
        </w:rPr>
        <w:t xml:space="preserve">of properties </w:t>
      </w:r>
      <w:r w:rsidR="00671485" w:rsidRPr="002D03D0">
        <w:rPr>
          <w:rFonts w:asciiTheme="minorHAnsi" w:eastAsia="Times New Roman" w:hAnsiTheme="minorHAnsi" w:cstheme="minorHAnsi"/>
          <w:color w:val="000000"/>
          <w:kern w:val="0"/>
          <w:sz w:val="22"/>
          <w:szCs w:val="22"/>
          <w:lang w:eastAsia="en-AU" w:bidi="ar-SA"/>
        </w:rPr>
        <w:t xml:space="preserve">was selected from </w:t>
      </w:r>
      <w:r w:rsidR="0082268C" w:rsidRPr="002D03D0">
        <w:rPr>
          <w:rFonts w:asciiTheme="minorHAnsi" w:eastAsia="Times New Roman" w:hAnsiTheme="minorHAnsi" w:cstheme="minorHAnsi"/>
          <w:color w:val="000000"/>
          <w:kern w:val="0"/>
          <w:sz w:val="22"/>
          <w:szCs w:val="22"/>
          <w:lang w:eastAsia="en-AU" w:bidi="ar-SA"/>
        </w:rPr>
        <w:t xml:space="preserve">the </w:t>
      </w:r>
      <w:r w:rsidR="00671485" w:rsidRPr="002D03D0">
        <w:rPr>
          <w:rFonts w:asciiTheme="minorHAnsi" w:eastAsia="Times New Roman" w:hAnsiTheme="minorHAnsi" w:cstheme="minorHAnsi"/>
          <w:color w:val="000000"/>
          <w:kern w:val="0"/>
          <w:sz w:val="22"/>
          <w:szCs w:val="22"/>
          <w:lang w:eastAsia="en-AU" w:bidi="ar-SA"/>
        </w:rPr>
        <w:t xml:space="preserve">data </w:t>
      </w:r>
      <w:r w:rsidR="0082268C" w:rsidRPr="002D03D0">
        <w:rPr>
          <w:rFonts w:asciiTheme="minorHAnsi" w:eastAsia="Times New Roman" w:hAnsiTheme="minorHAnsi" w:cstheme="minorHAnsi"/>
          <w:color w:val="000000"/>
          <w:kern w:val="0"/>
          <w:sz w:val="22"/>
          <w:szCs w:val="22"/>
          <w:lang w:eastAsia="en-AU" w:bidi="ar-SA"/>
        </w:rPr>
        <w:t xml:space="preserve">set </w:t>
      </w:r>
      <w:r w:rsidR="00671485" w:rsidRPr="002D03D0">
        <w:rPr>
          <w:rFonts w:asciiTheme="minorHAnsi" w:eastAsia="Times New Roman" w:hAnsiTheme="minorHAnsi" w:cstheme="minorHAnsi"/>
          <w:color w:val="000000"/>
          <w:kern w:val="0"/>
          <w:sz w:val="22"/>
          <w:szCs w:val="22"/>
          <w:lang w:eastAsia="en-AU" w:bidi="ar-SA"/>
        </w:rPr>
        <w:t>provided by the Pacific Labour Facility (PLF)</w:t>
      </w:r>
      <w:r w:rsidR="0082268C" w:rsidRPr="002D03D0">
        <w:rPr>
          <w:rFonts w:asciiTheme="minorHAnsi" w:eastAsia="Times New Roman" w:hAnsiTheme="minorHAnsi" w:cstheme="minorHAnsi"/>
          <w:color w:val="000000"/>
          <w:kern w:val="0"/>
          <w:sz w:val="22"/>
          <w:szCs w:val="22"/>
          <w:lang w:eastAsia="en-AU" w:bidi="ar-SA"/>
        </w:rPr>
        <w:t xml:space="preserve">. </w:t>
      </w:r>
      <w:r w:rsidR="00671485" w:rsidRPr="002D03D0">
        <w:rPr>
          <w:rFonts w:asciiTheme="minorHAnsi" w:eastAsia="Times New Roman" w:hAnsiTheme="minorHAnsi" w:cstheme="minorHAnsi"/>
          <w:color w:val="000000"/>
          <w:kern w:val="0"/>
          <w:sz w:val="22"/>
          <w:szCs w:val="22"/>
          <w:lang w:eastAsia="en-AU" w:bidi="ar-SA"/>
        </w:rPr>
        <w:t xml:space="preserve"> </w:t>
      </w:r>
      <w:r w:rsidR="00DE6599" w:rsidRPr="002D03D0">
        <w:rPr>
          <w:rFonts w:asciiTheme="minorHAnsi" w:eastAsia="Times New Roman" w:hAnsiTheme="minorHAnsi" w:cstheme="minorHAnsi"/>
          <w:color w:val="000000"/>
          <w:kern w:val="0"/>
          <w:sz w:val="22"/>
          <w:szCs w:val="22"/>
          <w:lang w:eastAsia="en-AU" w:bidi="ar-SA"/>
        </w:rPr>
        <w:t>Due to limitations arising from COVID-19, no site visits were undertaken as part of the review. Further, data from DESE relating the SWP was not considered</w:t>
      </w:r>
      <w:r w:rsidR="00AA6006">
        <w:rPr>
          <w:rFonts w:asciiTheme="minorHAnsi" w:eastAsia="Times New Roman" w:hAnsiTheme="minorHAnsi" w:cstheme="minorHAnsi"/>
          <w:color w:val="000000"/>
          <w:kern w:val="0"/>
          <w:sz w:val="22"/>
          <w:szCs w:val="22"/>
          <w:lang w:eastAsia="en-AU" w:bidi="ar-SA"/>
        </w:rPr>
        <w:t xml:space="preserve">. </w:t>
      </w:r>
      <w:r w:rsidR="00617704">
        <w:rPr>
          <w:rFonts w:asciiTheme="minorHAnsi" w:eastAsia="Times New Roman" w:hAnsiTheme="minorHAnsi" w:cstheme="minorHAnsi"/>
          <w:color w:val="000000"/>
          <w:kern w:val="0"/>
          <w:sz w:val="22"/>
          <w:szCs w:val="22"/>
          <w:lang w:eastAsia="en-AU" w:bidi="ar-SA"/>
        </w:rPr>
        <w:t xml:space="preserve">This has limited the utility of the data. </w:t>
      </w:r>
    </w:p>
    <w:p w14:paraId="5FAF3D6D" w14:textId="77777777" w:rsidR="00DE6599" w:rsidRPr="002D03D0" w:rsidRDefault="00DE6599" w:rsidP="00DE2F79">
      <w:pPr>
        <w:pStyle w:val="Standard"/>
        <w:rPr>
          <w:rFonts w:asciiTheme="minorHAnsi" w:eastAsia="Times New Roman" w:hAnsiTheme="minorHAnsi" w:cstheme="minorHAnsi"/>
          <w:color w:val="000000"/>
          <w:kern w:val="0"/>
          <w:sz w:val="22"/>
          <w:szCs w:val="22"/>
          <w:lang w:eastAsia="en-AU" w:bidi="ar-SA"/>
        </w:rPr>
      </w:pPr>
    </w:p>
    <w:p w14:paraId="58380226" w14:textId="70AC42DD" w:rsidR="00DE6599" w:rsidRDefault="00DE6599" w:rsidP="00DE6599">
      <w:pPr>
        <w:pStyle w:val="Standard"/>
        <w:rPr>
          <w:rFonts w:asciiTheme="minorHAnsi" w:eastAsia="Times New Roman" w:hAnsiTheme="minorHAnsi" w:cstheme="minorHAnsi"/>
          <w:color w:val="000000"/>
          <w:kern w:val="0"/>
          <w:sz w:val="22"/>
          <w:szCs w:val="22"/>
          <w:lang w:eastAsia="en-AU" w:bidi="ar-SA"/>
        </w:rPr>
      </w:pPr>
      <w:r w:rsidRPr="002D03D0">
        <w:rPr>
          <w:rFonts w:asciiTheme="minorHAnsi" w:eastAsia="Times New Roman" w:hAnsiTheme="minorHAnsi" w:cstheme="minorHAnsi"/>
          <w:color w:val="000000"/>
          <w:kern w:val="0"/>
          <w:sz w:val="22"/>
          <w:szCs w:val="22"/>
          <w:lang w:eastAsia="en-AU" w:bidi="ar-SA"/>
        </w:rPr>
        <w:t xml:space="preserve">The PLF and </w:t>
      </w:r>
      <w:r w:rsidR="0011554B" w:rsidRPr="002D03D0">
        <w:rPr>
          <w:rFonts w:asciiTheme="minorHAnsi" w:eastAsia="Times New Roman" w:hAnsiTheme="minorHAnsi" w:cstheme="minorHAnsi"/>
          <w:color w:val="000000"/>
          <w:kern w:val="0"/>
          <w:sz w:val="22"/>
          <w:szCs w:val="22"/>
          <w:lang w:eastAsia="en-AU" w:bidi="ar-SA"/>
        </w:rPr>
        <w:t>DESE</w:t>
      </w:r>
      <w:r w:rsidRPr="002D03D0">
        <w:rPr>
          <w:rFonts w:asciiTheme="minorHAnsi" w:eastAsia="Times New Roman" w:hAnsiTheme="minorHAnsi" w:cstheme="minorHAnsi"/>
          <w:color w:val="000000"/>
          <w:kern w:val="0"/>
          <w:sz w:val="22"/>
          <w:szCs w:val="22"/>
          <w:lang w:eastAsia="en-AU" w:bidi="ar-SA"/>
        </w:rPr>
        <w:t xml:space="preserve"> have since </w:t>
      </w:r>
      <w:r w:rsidR="00191C61" w:rsidRPr="002D03D0">
        <w:rPr>
          <w:rFonts w:asciiTheme="minorHAnsi" w:eastAsia="Times New Roman" w:hAnsiTheme="minorHAnsi" w:cstheme="minorHAnsi"/>
          <w:color w:val="000000"/>
          <w:kern w:val="0"/>
          <w:sz w:val="22"/>
          <w:szCs w:val="22"/>
          <w:lang w:eastAsia="en-AU" w:bidi="ar-SA"/>
        </w:rPr>
        <w:t xml:space="preserve">separately </w:t>
      </w:r>
      <w:r w:rsidRPr="002D03D0">
        <w:rPr>
          <w:rFonts w:asciiTheme="minorHAnsi" w:eastAsia="Times New Roman" w:hAnsiTheme="minorHAnsi" w:cstheme="minorHAnsi"/>
          <w:color w:val="000000"/>
          <w:kern w:val="0"/>
          <w:sz w:val="22"/>
          <w:szCs w:val="22"/>
          <w:lang w:eastAsia="en-AU" w:bidi="ar-SA"/>
        </w:rPr>
        <w:t>undertaken site visits</w:t>
      </w:r>
      <w:r w:rsidR="0011554B" w:rsidRPr="002D03D0">
        <w:rPr>
          <w:rFonts w:asciiTheme="minorHAnsi" w:eastAsia="Times New Roman" w:hAnsiTheme="minorHAnsi" w:cstheme="minorHAnsi"/>
          <w:color w:val="000000"/>
          <w:kern w:val="0"/>
          <w:sz w:val="22"/>
          <w:szCs w:val="22"/>
          <w:lang w:eastAsia="en-AU" w:bidi="ar-SA"/>
        </w:rPr>
        <w:t xml:space="preserve"> of worker accommodation</w:t>
      </w:r>
      <w:r w:rsidR="00191C61" w:rsidRPr="002D03D0">
        <w:rPr>
          <w:rFonts w:asciiTheme="minorHAnsi" w:eastAsia="Times New Roman" w:hAnsiTheme="minorHAnsi" w:cstheme="minorHAnsi"/>
          <w:color w:val="000000"/>
          <w:kern w:val="0"/>
          <w:sz w:val="22"/>
          <w:szCs w:val="22"/>
          <w:lang w:eastAsia="en-AU" w:bidi="ar-SA"/>
        </w:rPr>
        <w:t xml:space="preserve"> under the PLS and SWP, respectively</w:t>
      </w:r>
      <w:r w:rsidR="0011554B" w:rsidRPr="002D03D0">
        <w:rPr>
          <w:rFonts w:asciiTheme="minorHAnsi" w:eastAsia="Times New Roman" w:hAnsiTheme="minorHAnsi" w:cstheme="minorHAnsi"/>
          <w:color w:val="000000"/>
          <w:kern w:val="0"/>
          <w:sz w:val="22"/>
          <w:szCs w:val="22"/>
          <w:lang w:eastAsia="en-AU" w:bidi="ar-SA"/>
        </w:rPr>
        <w:t xml:space="preserve">. </w:t>
      </w:r>
      <w:r w:rsidR="00171F36" w:rsidRPr="002D03D0">
        <w:rPr>
          <w:rFonts w:asciiTheme="minorHAnsi" w:eastAsia="Times New Roman" w:hAnsiTheme="minorHAnsi" w:cstheme="minorHAnsi"/>
          <w:color w:val="000000"/>
          <w:kern w:val="0"/>
          <w:sz w:val="22"/>
          <w:szCs w:val="22"/>
          <w:lang w:eastAsia="en-AU" w:bidi="ar-SA"/>
        </w:rPr>
        <w:t xml:space="preserve">An </w:t>
      </w:r>
      <w:r w:rsidR="00191C61" w:rsidRPr="002D03D0">
        <w:rPr>
          <w:rFonts w:asciiTheme="minorHAnsi" w:eastAsia="Times New Roman" w:hAnsiTheme="minorHAnsi" w:cstheme="minorHAnsi"/>
          <w:color w:val="000000"/>
          <w:kern w:val="0"/>
          <w:sz w:val="22"/>
          <w:szCs w:val="22"/>
          <w:lang w:eastAsia="en-AU" w:bidi="ar-SA"/>
        </w:rPr>
        <w:t xml:space="preserve">SWP </w:t>
      </w:r>
      <w:r w:rsidR="00171F36" w:rsidRPr="002D03D0">
        <w:rPr>
          <w:rFonts w:asciiTheme="minorHAnsi" w:eastAsia="Times New Roman" w:hAnsiTheme="minorHAnsi" w:cstheme="minorHAnsi"/>
          <w:color w:val="000000"/>
          <w:kern w:val="0"/>
          <w:sz w:val="22"/>
          <w:szCs w:val="22"/>
          <w:lang w:eastAsia="en-AU" w:bidi="ar-SA"/>
        </w:rPr>
        <w:t xml:space="preserve">accommodation assurance activity was commenced by DESE in late 2020 and is due for completion by mid-2021, provided it remains safe and possible to do so. To </w:t>
      </w:r>
      <w:r w:rsidR="009D015F" w:rsidRPr="002D03D0">
        <w:rPr>
          <w:rFonts w:asciiTheme="minorHAnsi" w:eastAsia="Times New Roman" w:hAnsiTheme="minorHAnsi" w:cstheme="minorHAnsi"/>
          <w:color w:val="000000"/>
          <w:kern w:val="0"/>
          <w:sz w:val="22"/>
          <w:szCs w:val="22"/>
          <w:lang w:eastAsia="en-AU" w:bidi="ar-SA"/>
        </w:rPr>
        <w:t>date</w:t>
      </w:r>
      <w:r w:rsidR="00171F36" w:rsidRPr="002D03D0">
        <w:rPr>
          <w:rFonts w:asciiTheme="minorHAnsi" w:eastAsia="Times New Roman" w:hAnsiTheme="minorHAnsi" w:cstheme="minorHAnsi"/>
          <w:color w:val="000000"/>
          <w:kern w:val="0"/>
          <w:sz w:val="22"/>
          <w:szCs w:val="22"/>
          <w:lang w:eastAsia="en-AU" w:bidi="ar-SA"/>
        </w:rPr>
        <w:t xml:space="preserve">, DESE has visited 122 approved accommodations randomly selected as part of the activity. </w:t>
      </w:r>
    </w:p>
    <w:p w14:paraId="1B8E12DF" w14:textId="77777777" w:rsidR="00617704" w:rsidRDefault="00617704" w:rsidP="00DE6599">
      <w:pPr>
        <w:pStyle w:val="Standard"/>
        <w:rPr>
          <w:rFonts w:asciiTheme="minorHAnsi" w:eastAsia="Times New Roman" w:hAnsiTheme="minorHAnsi" w:cstheme="minorHAnsi"/>
          <w:color w:val="000000"/>
          <w:kern w:val="0"/>
          <w:sz w:val="22"/>
          <w:szCs w:val="22"/>
          <w:lang w:eastAsia="en-AU" w:bidi="ar-SA"/>
        </w:rPr>
      </w:pPr>
    </w:p>
    <w:p w14:paraId="2DD927BF" w14:textId="776A6FC3" w:rsidR="00617704" w:rsidRPr="002D03D0" w:rsidRDefault="00617704" w:rsidP="00617704">
      <w:pPr>
        <w:pStyle w:val="Standard"/>
        <w:rPr>
          <w:rFonts w:asciiTheme="minorHAnsi" w:eastAsia="Times New Roman" w:hAnsiTheme="minorHAnsi" w:cstheme="minorHAnsi"/>
          <w:color w:val="000000"/>
          <w:kern w:val="0"/>
          <w:sz w:val="22"/>
          <w:szCs w:val="22"/>
          <w:lang w:eastAsia="en-AU" w:bidi="ar-SA"/>
        </w:rPr>
      </w:pPr>
      <w:r>
        <w:rPr>
          <w:rFonts w:asciiTheme="minorHAnsi" w:eastAsia="Times New Roman" w:hAnsiTheme="minorHAnsi" w:cstheme="minorHAnsi"/>
          <w:color w:val="000000"/>
          <w:kern w:val="0"/>
          <w:sz w:val="22"/>
          <w:szCs w:val="22"/>
          <w:lang w:eastAsia="en-AU" w:bidi="ar-SA"/>
        </w:rPr>
        <w:t>We acknowledge that accommodation issues are an ongoing and serious issue and are important to resolve for the well-being of workers and reputation of the program</w:t>
      </w:r>
      <w:r w:rsidR="003C6F73">
        <w:rPr>
          <w:rFonts w:asciiTheme="minorHAnsi" w:eastAsia="Times New Roman" w:hAnsiTheme="minorHAnsi" w:cstheme="minorHAnsi"/>
          <w:color w:val="000000"/>
          <w:kern w:val="0"/>
          <w:sz w:val="22"/>
          <w:szCs w:val="22"/>
          <w:lang w:eastAsia="en-AU" w:bidi="ar-SA"/>
        </w:rPr>
        <w:t>mes</w:t>
      </w:r>
      <w:r>
        <w:rPr>
          <w:rFonts w:asciiTheme="minorHAnsi" w:eastAsia="Times New Roman" w:hAnsiTheme="minorHAnsi" w:cstheme="minorHAnsi"/>
          <w:color w:val="000000"/>
          <w:kern w:val="0"/>
          <w:sz w:val="22"/>
          <w:szCs w:val="22"/>
          <w:lang w:eastAsia="en-AU" w:bidi="ar-SA"/>
        </w:rPr>
        <w:t xml:space="preserve">. Accommodation issues are complex and, as noted by the </w:t>
      </w:r>
      <w:r w:rsidRPr="002D03D0">
        <w:rPr>
          <w:rFonts w:asciiTheme="minorHAnsi" w:eastAsia="Times New Roman" w:hAnsiTheme="minorHAnsi" w:cstheme="minorHAnsi"/>
          <w:color w:val="000000"/>
          <w:kern w:val="0"/>
          <w:sz w:val="22"/>
          <w:szCs w:val="22"/>
          <w:lang w:eastAsia="en-AU" w:bidi="ar-SA"/>
        </w:rPr>
        <w:t>Migrant Workers Taskforce</w:t>
      </w:r>
      <w:r>
        <w:rPr>
          <w:rFonts w:asciiTheme="minorHAnsi" w:eastAsia="Times New Roman" w:hAnsiTheme="minorHAnsi" w:cstheme="minorHAnsi"/>
          <w:color w:val="000000"/>
          <w:kern w:val="0"/>
          <w:sz w:val="22"/>
          <w:szCs w:val="22"/>
          <w:lang w:eastAsia="en-AU" w:bidi="ar-SA"/>
        </w:rPr>
        <w:t xml:space="preserve">, of concern </w:t>
      </w:r>
      <w:r w:rsidRPr="002D03D0">
        <w:rPr>
          <w:rFonts w:asciiTheme="minorHAnsi" w:eastAsia="Times New Roman" w:hAnsiTheme="minorHAnsi" w:cstheme="minorHAnsi"/>
          <w:color w:val="000000"/>
          <w:kern w:val="0"/>
          <w:sz w:val="22"/>
          <w:szCs w:val="22"/>
          <w:lang w:eastAsia="en-AU" w:bidi="ar-SA"/>
        </w:rPr>
        <w:t>for all temporary migrant workers</w:t>
      </w:r>
      <w:r>
        <w:rPr>
          <w:rFonts w:asciiTheme="minorHAnsi" w:eastAsia="Times New Roman" w:hAnsiTheme="minorHAnsi" w:cstheme="minorHAnsi"/>
          <w:color w:val="000000"/>
          <w:kern w:val="0"/>
          <w:sz w:val="22"/>
          <w:szCs w:val="22"/>
          <w:lang w:eastAsia="en-AU" w:bidi="ar-SA"/>
        </w:rPr>
        <w:t xml:space="preserve">. We are committed to </w:t>
      </w:r>
      <w:r w:rsidR="003C6F73">
        <w:rPr>
          <w:rFonts w:asciiTheme="minorHAnsi" w:eastAsia="Times New Roman" w:hAnsiTheme="minorHAnsi" w:cstheme="minorHAnsi"/>
          <w:color w:val="000000"/>
          <w:kern w:val="0"/>
          <w:sz w:val="22"/>
          <w:szCs w:val="22"/>
          <w:lang w:eastAsia="en-AU" w:bidi="ar-SA"/>
        </w:rPr>
        <w:t>resolving</w:t>
      </w:r>
      <w:r>
        <w:rPr>
          <w:rFonts w:asciiTheme="minorHAnsi" w:eastAsia="Times New Roman" w:hAnsiTheme="minorHAnsi" w:cstheme="minorHAnsi"/>
          <w:color w:val="000000"/>
          <w:kern w:val="0"/>
          <w:sz w:val="22"/>
          <w:szCs w:val="22"/>
          <w:lang w:eastAsia="en-AU" w:bidi="ar-SA"/>
        </w:rPr>
        <w:t xml:space="preserve"> accommodation issues for Pacific workers, including </w:t>
      </w:r>
      <w:r w:rsidR="003C6F73">
        <w:rPr>
          <w:rFonts w:asciiTheme="minorHAnsi" w:eastAsia="Times New Roman" w:hAnsiTheme="minorHAnsi" w:cstheme="minorHAnsi"/>
          <w:color w:val="000000"/>
          <w:kern w:val="0"/>
          <w:sz w:val="22"/>
          <w:szCs w:val="22"/>
          <w:lang w:eastAsia="en-AU" w:bidi="ar-SA"/>
        </w:rPr>
        <w:t xml:space="preserve">by </w:t>
      </w:r>
      <w:r>
        <w:rPr>
          <w:rFonts w:asciiTheme="minorHAnsi" w:eastAsia="Times New Roman" w:hAnsiTheme="minorHAnsi" w:cstheme="minorHAnsi"/>
          <w:color w:val="000000"/>
          <w:kern w:val="0"/>
          <w:sz w:val="22"/>
          <w:szCs w:val="22"/>
          <w:lang w:eastAsia="en-AU" w:bidi="ar-SA"/>
        </w:rPr>
        <w:t xml:space="preserve">working through the </w:t>
      </w:r>
      <w:r w:rsidRPr="002D03D0">
        <w:rPr>
          <w:rFonts w:asciiTheme="minorHAnsi" w:eastAsia="Times New Roman" w:hAnsiTheme="minorHAnsi" w:cstheme="minorHAnsi"/>
          <w:color w:val="000000"/>
          <w:kern w:val="0"/>
          <w:sz w:val="22"/>
          <w:szCs w:val="22"/>
          <w:lang w:eastAsia="en-AU" w:bidi="ar-SA"/>
        </w:rPr>
        <w:t>Migrant Workers Taskforce</w:t>
      </w:r>
      <w:r>
        <w:rPr>
          <w:rFonts w:asciiTheme="minorHAnsi" w:eastAsia="Times New Roman" w:hAnsiTheme="minorHAnsi" w:cstheme="minorHAnsi"/>
          <w:color w:val="000000"/>
          <w:kern w:val="0"/>
          <w:sz w:val="22"/>
          <w:szCs w:val="22"/>
          <w:lang w:eastAsia="en-AU" w:bidi="ar-SA"/>
        </w:rPr>
        <w:t xml:space="preserve"> on the broader issue. </w:t>
      </w:r>
    </w:p>
    <w:p w14:paraId="75797111" w14:textId="7ED68C8B" w:rsidR="00617704" w:rsidRPr="00DE2F79" w:rsidRDefault="00617704" w:rsidP="00DE6599">
      <w:pPr>
        <w:pStyle w:val="Standard"/>
        <w:rPr>
          <w:rFonts w:asciiTheme="minorHAnsi" w:eastAsia="Times New Roman" w:hAnsiTheme="minorHAnsi" w:cstheme="minorHAnsi"/>
          <w:color w:val="000000"/>
          <w:kern w:val="0"/>
          <w:sz w:val="22"/>
          <w:szCs w:val="22"/>
          <w:lang w:eastAsia="en-AU" w:bidi="ar-SA"/>
        </w:rPr>
      </w:pPr>
    </w:p>
    <w:p w14:paraId="54E479ED" w14:textId="5C2650EA" w:rsidR="008B37B5" w:rsidRPr="00DE2F79" w:rsidRDefault="008B37B5" w:rsidP="00DE2F79">
      <w:pPr>
        <w:pStyle w:val="Standard"/>
        <w:rPr>
          <w:rFonts w:asciiTheme="minorHAnsi" w:eastAsia="Times New Roman" w:hAnsiTheme="minorHAnsi" w:cstheme="minorHAnsi"/>
          <w:color w:val="000000"/>
          <w:kern w:val="0"/>
          <w:sz w:val="22"/>
          <w:szCs w:val="22"/>
          <w:lang w:eastAsia="en-AU" w:bidi="ar-SA"/>
        </w:rPr>
      </w:pPr>
    </w:p>
    <w:tbl>
      <w:tblPr>
        <w:tblStyle w:val="DFATTable1"/>
        <w:tblW w:w="14175"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678"/>
        <w:gridCol w:w="9497"/>
      </w:tblGrid>
      <w:tr w:rsidR="006B494B" w:rsidRPr="0009169A" w14:paraId="06AF5747" w14:textId="77777777" w:rsidTr="47190ECC">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hideMark/>
          </w:tcPr>
          <w:p w14:paraId="6527C354" w14:textId="77777777" w:rsidR="006B494B" w:rsidRPr="0009169A" w:rsidRDefault="006B494B" w:rsidP="6F4C4DEA">
            <w:pPr>
              <w:pStyle w:val="TableHeaderRow"/>
              <w:spacing w:before="120"/>
              <w:rPr>
                <w:rFonts w:asciiTheme="minorHAnsi" w:hAnsiTheme="minorHAnsi"/>
                <w:color w:val="auto"/>
                <w:sz w:val="24"/>
                <w:szCs w:val="24"/>
              </w:rPr>
            </w:pPr>
            <w:bookmarkStart w:id="0" w:name="_Hlk58334839"/>
            <w:r w:rsidRPr="6F4C4DEA">
              <w:rPr>
                <w:rFonts w:asciiTheme="minorHAnsi" w:hAnsiTheme="minorHAnsi"/>
                <w:color w:val="auto"/>
                <w:sz w:val="24"/>
                <w:szCs w:val="24"/>
              </w:rPr>
              <w:t>Recommendation</w:t>
            </w:r>
          </w:p>
        </w:tc>
        <w:tc>
          <w:tcPr>
            <w:tcW w:w="9497" w:type="dxa"/>
            <w:hideMark/>
          </w:tcPr>
          <w:p w14:paraId="417D52BE" w14:textId="77777777" w:rsidR="006B494B" w:rsidRPr="0009169A" w:rsidRDefault="006B494B" w:rsidP="6F4C4DEA">
            <w:pPr>
              <w:pStyle w:val="TableHeaderRow"/>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sidRPr="6F4C4DEA">
              <w:rPr>
                <w:rFonts w:asciiTheme="minorHAnsi" w:hAnsiTheme="minorHAnsi"/>
                <w:color w:val="auto"/>
                <w:sz w:val="24"/>
                <w:szCs w:val="24"/>
              </w:rPr>
              <w:t xml:space="preserve">Response </w:t>
            </w:r>
          </w:p>
        </w:tc>
      </w:tr>
      <w:tr w:rsidR="006B494B" w:rsidRPr="008B37B5" w14:paraId="653B20D4" w14:textId="77777777" w:rsidTr="47190EC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08BE1474" w14:textId="77777777" w:rsidR="006B494B" w:rsidRPr="008B37B5" w:rsidRDefault="006B494B" w:rsidP="6F4C4DEA">
            <w:pPr>
              <w:pStyle w:val="ListParagraph"/>
              <w:ind w:left="0"/>
              <w:contextualSpacing w:val="0"/>
              <w:rPr>
                <w:rFonts w:asciiTheme="minorHAnsi" w:hAnsiTheme="minorHAnsi"/>
                <w:b/>
                <w:bCs/>
                <w:color w:val="000000" w:themeColor="text1"/>
              </w:rPr>
            </w:pPr>
            <w:r w:rsidRPr="6F4C4DEA">
              <w:rPr>
                <w:rFonts w:asciiTheme="minorHAnsi" w:hAnsiTheme="minorHAnsi"/>
                <w:b/>
                <w:bCs/>
                <w:color w:val="000000" w:themeColor="text1"/>
              </w:rPr>
              <w:t xml:space="preserve">Recommendation 1.1 </w:t>
            </w:r>
          </w:p>
          <w:p w14:paraId="7F235558" w14:textId="77777777" w:rsidR="006B494B" w:rsidRPr="008B37B5" w:rsidRDefault="006B494B" w:rsidP="6F4C4DEA">
            <w:pPr>
              <w:pStyle w:val="ListParagraph"/>
              <w:ind w:left="0"/>
              <w:contextualSpacing w:val="0"/>
              <w:rPr>
                <w:rFonts w:asciiTheme="minorHAnsi" w:hAnsiTheme="minorHAnsi"/>
                <w:color w:val="000000" w:themeColor="text1"/>
              </w:rPr>
            </w:pPr>
            <w:r w:rsidRPr="6F4C4DEA">
              <w:rPr>
                <w:rFonts w:asciiTheme="minorHAnsi" w:hAnsiTheme="minorHAnsi"/>
                <w:color w:val="000000" w:themeColor="text1"/>
              </w:rPr>
              <w:t xml:space="preserve">We recommend the PLS to: </w:t>
            </w:r>
          </w:p>
          <w:p w14:paraId="098DFB72" w14:textId="77777777" w:rsidR="006B494B" w:rsidRPr="008B37B5" w:rsidRDefault="006B494B" w:rsidP="6F4C4DEA">
            <w:pPr>
              <w:rPr>
                <w:color w:val="000000" w:themeColor="text1"/>
              </w:rPr>
            </w:pPr>
            <w:r w:rsidRPr="6F4C4DEA">
              <w:rPr>
                <w:color w:val="000000" w:themeColor="text1"/>
              </w:rPr>
              <w:t xml:space="preserve">Conduct further investigation into: </w:t>
            </w:r>
          </w:p>
          <w:p w14:paraId="26F3FC3D" w14:textId="77777777" w:rsidR="006B494B" w:rsidRPr="008B37B5" w:rsidRDefault="006B494B" w:rsidP="6F4C4DEA">
            <w:pPr>
              <w:pStyle w:val="ListParagraph"/>
              <w:numPr>
                <w:ilvl w:val="0"/>
                <w:numId w:val="11"/>
              </w:numPr>
              <w:contextualSpacing w:val="0"/>
              <w:rPr>
                <w:rFonts w:asciiTheme="minorHAnsi" w:hAnsiTheme="minorHAnsi"/>
                <w:color w:val="000000" w:themeColor="text1"/>
              </w:rPr>
            </w:pPr>
            <w:r w:rsidRPr="6F4C4DEA">
              <w:rPr>
                <w:rFonts w:asciiTheme="minorHAnsi" w:hAnsiTheme="minorHAnsi"/>
                <w:color w:val="000000" w:themeColor="text1"/>
              </w:rPr>
              <w:lastRenderedPageBreak/>
              <w:t xml:space="preserve">overcrowded properties identified in PLS accommodation data and this report </w:t>
            </w:r>
          </w:p>
          <w:p w14:paraId="79206FFF" w14:textId="77777777" w:rsidR="006B494B" w:rsidRPr="008B37B5" w:rsidRDefault="006B494B" w:rsidP="6F4C4DEA">
            <w:pPr>
              <w:pStyle w:val="ListParagraph"/>
              <w:numPr>
                <w:ilvl w:val="0"/>
                <w:numId w:val="11"/>
              </w:numPr>
              <w:contextualSpacing w:val="0"/>
              <w:rPr>
                <w:rFonts w:asciiTheme="minorHAnsi" w:hAnsiTheme="minorHAnsi"/>
                <w:color w:val="000000" w:themeColor="text1"/>
              </w:rPr>
            </w:pPr>
            <w:r w:rsidRPr="6F4C4DEA">
              <w:rPr>
                <w:rFonts w:asciiTheme="minorHAnsi" w:hAnsiTheme="minorHAnsi"/>
                <w:color w:val="000000" w:themeColor="text1"/>
              </w:rPr>
              <w:t xml:space="preserve">whether PLS and SWP workers share an approved property at the same time. </w:t>
            </w:r>
          </w:p>
          <w:p w14:paraId="0495FBED" w14:textId="6C75808C" w:rsidR="006B494B" w:rsidRPr="008B37B5" w:rsidRDefault="006B494B" w:rsidP="6F4C4DEA">
            <w:pPr>
              <w:rPr>
                <w:rFonts w:asciiTheme="minorHAnsi" w:hAnsiTheme="minorHAnsi"/>
                <w:color w:val="000000" w:themeColor="text1"/>
              </w:rPr>
            </w:pPr>
            <w:r w:rsidRPr="6F4C4DEA">
              <w:rPr>
                <w:rFonts w:asciiTheme="minorHAnsi" w:hAnsiTheme="minorHAnsi"/>
                <w:color w:val="000000" w:themeColor="text1"/>
              </w:rPr>
              <w:t xml:space="preserve">Ensure responsible AEs undertake remedial action if overcrowding is confirmed. </w:t>
            </w:r>
          </w:p>
        </w:tc>
        <w:tc>
          <w:tcPr>
            <w:tcW w:w="9497" w:type="dxa"/>
            <w:shd w:val="clear" w:color="auto" w:fill="FFFFFF" w:themeFill="background1"/>
          </w:tcPr>
          <w:p w14:paraId="5FA37A12" w14:textId="36A9559B" w:rsidR="006B494B" w:rsidRPr="008B37B5"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lastRenderedPageBreak/>
              <w:t>Agree.</w:t>
            </w:r>
          </w:p>
          <w:p w14:paraId="4D6F6BA1" w14:textId="77777777" w:rsidR="006B494B"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DFAT and PLF have investigated properties identified in the report as potentially over-crowded. </w:t>
            </w:r>
          </w:p>
          <w:p w14:paraId="632183B6" w14:textId="2F520FE4" w:rsidR="006B494B" w:rsidRDefault="006B494B" w:rsidP="6F4C4DEA">
            <w:pPr>
              <w:pStyle w:val="TableHeaderRow"/>
              <w:numPr>
                <w:ilvl w:val="0"/>
                <w:numId w:val="17"/>
              </w:num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one property is no longer used by PLS workers </w:t>
            </w:r>
            <w:r w:rsidR="003B1FDF">
              <w:rPr>
                <w:rFonts w:asciiTheme="minorHAnsi" w:hAnsiTheme="minorHAnsi"/>
                <w:b w:val="0"/>
                <w:color w:val="000000" w:themeColor="text1"/>
                <w:lang w:val="en-AU"/>
              </w:rPr>
              <w:t>(January 2021)</w:t>
            </w:r>
          </w:p>
          <w:p w14:paraId="62A37C37" w14:textId="7B5A445B" w:rsidR="006B494B" w:rsidRDefault="006B494B" w:rsidP="6F4C4DEA">
            <w:pPr>
              <w:pStyle w:val="TableHeaderRow"/>
              <w:numPr>
                <w:ilvl w:val="0"/>
                <w:numId w:val="17"/>
              </w:num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lastRenderedPageBreak/>
              <w:t>one property is a fishing boat and occupancy rates are consistent with industry standards</w:t>
            </w:r>
          </w:p>
          <w:p w14:paraId="571D0D5C" w14:textId="5B9097C9" w:rsidR="006B494B" w:rsidRPr="002D03D0" w:rsidRDefault="005A142D" w:rsidP="6F4C4DEA">
            <w:pPr>
              <w:pStyle w:val="TableHeaderRow"/>
              <w:numPr>
                <w:ilvl w:val="0"/>
                <w:numId w:val="17"/>
              </w:num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2D03D0">
              <w:rPr>
                <w:rFonts w:asciiTheme="minorHAnsi" w:hAnsiTheme="minorHAnsi"/>
                <w:b w:val="0"/>
                <w:color w:val="000000" w:themeColor="text1"/>
                <w:lang w:val="en-AU"/>
              </w:rPr>
              <w:t>three</w:t>
            </w:r>
            <w:r w:rsidR="006B494B" w:rsidRPr="002D03D0">
              <w:rPr>
                <w:rFonts w:asciiTheme="minorHAnsi" w:hAnsiTheme="minorHAnsi"/>
                <w:b w:val="0"/>
                <w:color w:val="000000" w:themeColor="text1"/>
                <w:lang w:val="en-AU"/>
              </w:rPr>
              <w:t xml:space="preserve"> properties </w:t>
            </w:r>
            <w:r w:rsidR="00DE6599" w:rsidRPr="002D03D0">
              <w:rPr>
                <w:rFonts w:asciiTheme="minorHAnsi" w:hAnsiTheme="minorHAnsi"/>
                <w:b w:val="0"/>
                <w:color w:val="000000" w:themeColor="text1"/>
                <w:lang w:val="en-AU"/>
              </w:rPr>
              <w:t xml:space="preserve">had been modified to have additional bedrooms and were approved for use. Due to no site visits being conducted as part of the review, this was not captured. </w:t>
            </w:r>
          </w:p>
          <w:p w14:paraId="0866C737" w14:textId="0A29ABA1" w:rsidR="006B494B" w:rsidRDefault="006B494B" w:rsidP="6F4C4DEA">
            <w:pPr>
              <w:pStyle w:val="TableHeaderRow"/>
              <w:numPr>
                <w:ilvl w:val="0"/>
                <w:numId w:val="17"/>
              </w:num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2D03D0">
              <w:rPr>
                <w:rFonts w:asciiTheme="minorHAnsi" w:hAnsiTheme="minorHAnsi"/>
                <w:b w:val="0"/>
                <w:color w:val="000000" w:themeColor="text1"/>
                <w:lang w:val="en-AU"/>
              </w:rPr>
              <w:t>For</w:t>
            </w:r>
            <w:r w:rsidR="005A142D" w:rsidRPr="002D03D0">
              <w:rPr>
                <w:rFonts w:asciiTheme="minorHAnsi" w:hAnsiTheme="minorHAnsi"/>
                <w:b w:val="0"/>
                <w:color w:val="000000" w:themeColor="text1"/>
                <w:lang w:val="en-AU"/>
              </w:rPr>
              <w:t xml:space="preserve"> two</w:t>
            </w:r>
            <w:r w:rsidRPr="002D03D0">
              <w:rPr>
                <w:rFonts w:asciiTheme="minorHAnsi" w:hAnsiTheme="minorHAnsi"/>
                <w:b w:val="0"/>
                <w:color w:val="000000" w:themeColor="text1"/>
                <w:lang w:val="en-AU"/>
              </w:rPr>
              <w:t xml:space="preserve"> properties the data used in the report was incorrect (12 people were listed in each house, but actual occupancy was 5 workers). </w:t>
            </w:r>
          </w:p>
          <w:p w14:paraId="7BAA02FF" w14:textId="2AF5CE86" w:rsidR="00DE6599" w:rsidRPr="002D03D0" w:rsidRDefault="00DE6599" w:rsidP="6F4C4DEA">
            <w:pPr>
              <w:pStyle w:val="TableHeaderRow"/>
              <w:numPr>
                <w:ilvl w:val="0"/>
                <w:numId w:val="17"/>
              </w:num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Pr>
                <w:rFonts w:asciiTheme="minorHAnsi" w:hAnsiTheme="minorHAnsi"/>
                <w:b w:val="0"/>
                <w:color w:val="000000" w:themeColor="text1"/>
                <w:lang w:val="en-AU"/>
              </w:rPr>
              <w:t>PLF and DESE will enhance information sharing to identify properties potentially being used by PLS and SWP workers</w:t>
            </w:r>
            <w:r w:rsidR="00F03819">
              <w:rPr>
                <w:rFonts w:asciiTheme="minorHAnsi" w:hAnsiTheme="minorHAnsi"/>
                <w:b w:val="0"/>
                <w:color w:val="000000" w:themeColor="text1"/>
                <w:lang w:val="en-AU"/>
              </w:rPr>
              <w:t xml:space="preserve">, </w:t>
            </w:r>
            <w:r w:rsidR="00F03819" w:rsidRPr="00F03819">
              <w:rPr>
                <w:rFonts w:asciiTheme="minorHAnsi" w:hAnsiTheme="minorHAnsi"/>
                <w:b w:val="0"/>
                <w:color w:val="000000" w:themeColor="text1"/>
                <w:lang w:val="en-AU"/>
              </w:rPr>
              <w:t xml:space="preserve">provided </w:t>
            </w:r>
            <w:r w:rsidR="00F77BBE">
              <w:rPr>
                <w:rFonts w:asciiTheme="minorHAnsi" w:hAnsiTheme="minorHAnsi"/>
                <w:b w:val="0"/>
                <w:color w:val="000000" w:themeColor="text1"/>
                <w:lang w:val="en-AU"/>
              </w:rPr>
              <w:t xml:space="preserve">it is </w:t>
            </w:r>
            <w:r w:rsidR="00F03819" w:rsidRPr="00F03819">
              <w:rPr>
                <w:rFonts w:asciiTheme="minorHAnsi" w:hAnsiTheme="minorHAnsi"/>
                <w:b w:val="0"/>
                <w:color w:val="000000" w:themeColor="text1"/>
                <w:lang w:val="en-AU"/>
              </w:rPr>
              <w:t>consistent with privacy and confidentiality legal obligations</w:t>
            </w:r>
            <w:r>
              <w:rPr>
                <w:rFonts w:asciiTheme="minorHAnsi" w:hAnsiTheme="minorHAnsi"/>
                <w:b w:val="0"/>
                <w:color w:val="000000" w:themeColor="text1"/>
                <w:lang w:val="en-AU"/>
              </w:rPr>
              <w:t xml:space="preserve">.  </w:t>
            </w:r>
          </w:p>
          <w:p w14:paraId="08EE57D1" w14:textId="4A4AF0F3" w:rsidR="00BD6847" w:rsidRPr="006A471F" w:rsidRDefault="00050EEE" w:rsidP="001D6ABB">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2F5DBC">
              <w:rPr>
                <w:rFonts w:asciiTheme="minorHAnsi" w:hAnsiTheme="minorHAnsi"/>
                <w:b w:val="0"/>
                <w:color w:val="000000" w:themeColor="text1"/>
                <w:lang w:val="en-AU"/>
              </w:rPr>
              <w:t xml:space="preserve"> </w:t>
            </w:r>
          </w:p>
        </w:tc>
      </w:tr>
      <w:tr w:rsidR="006B494B" w:rsidRPr="00223690" w14:paraId="75D99E2C" w14:textId="77777777" w:rsidTr="47190ECC">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6532172F" w14:textId="77777777" w:rsidR="006B494B" w:rsidRPr="00F90829" w:rsidRDefault="006B494B" w:rsidP="6F4C4DEA">
            <w:pPr>
              <w:pStyle w:val="ListParagraph"/>
              <w:ind w:left="0"/>
              <w:contextualSpacing w:val="0"/>
              <w:rPr>
                <w:rFonts w:asciiTheme="minorHAnsi" w:hAnsiTheme="minorHAnsi"/>
                <w:b/>
                <w:bCs/>
                <w:color w:val="000000" w:themeColor="text1"/>
              </w:rPr>
            </w:pPr>
            <w:r w:rsidRPr="6F4C4DEA">
              <w:rPr>
                <w:rFonts w:asciiTheme="minorHAnsi" w:hAnsiTheme="minorHAnsi"/>
                <w:b/>
                <w:bCs/>
                <w:color w:val="000000" w:themeColor="text1"/>
              </w:rPr>
              <w:lastRenderedPageBreak/>
              <w:t xml:space="preserve">Recommendation 1.2 </w:t>
            </w:r>
          </w:p>
          <w:p w14:paraId="28675C87" w14:textId="4DB0557E" w:rsidR="006B494B" w:rsidRPr="00F90829" w:rsidRDefault="006B494B" w:rsidP="6F4C4DEA">
            <w:pPr>
              <w:rPr>
                <w:rFonts w:asciiTheme="minorHAnsi" w:hAnsiTheme="minorHAnsi"/>
                <w:color w:val="000000" w:themeColor="text1"/>
              </w:rPr>
            </w:pPr>
            <w:r w:rsidRPr="6F4C4DEA">
              <w:rPr>
                <w:rFonts w:asciiTheme="minorHAnsi" w:hAnsiTheme="minorHAnsi"/>
                <w:color w:val="000000" w:themeColor="text1"/>
              </w:rPr>
              <w:t>We recommend that the Accommodation Calculator be finalised as soon as practicable and is used by PLF to assess the reasonableness of accommodation costs and occupancy rates.</w:t>
            </w:r>
          </w:p>
        </w:tc>
        <w:tc>
          <w:tcPr>
            <w:tcW w:w="9497" w:type="dxa"/>
            <w:shd w:val="clear" w:color="auto" w:fill="FFFFFF" w:themeFill="background1"/>
          </w:tcPr>
          <w:p w14:paraId="0EE02F39" w14:textId="77777777" w:rsidR="006B494B"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Agree</w:t>
            </w:r>
          </w:p>
          <w:p w14:paraId="60D8A03B" w14:textId="754FBBAF" w:rsidR="006B494B" w:rsidRPr="0091162C"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The accommodation calculator has been finalised and tested by the PLF. </w:t>
            </w:r>
          </w:p>
          <w:p w14:paraId="20557605" w14:textId="262FB8C0" w:rsidR="006B494B" w:rsidRPr="00223690"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47190ECC">
              <w:rPr>
                <w:rFonts w:asciiTheme="minorHAnsi" w:hAnsiTheme="minorHAnsi"/>
                <w:b w:val="0"/>
                <w:color w:val="000000" w:themeColor="text1"/>
                <w:lang w:val="en-AU"/>
              </w:rPr>
              <w:t xml:space="preserve">In early 2021, the PLF will introduce use of the calculator in the recruitment process. This will be defined in the Standard Operating Procedure (SOPs) that will be developed to give effect to the PLS AE Guidelines. </w:t>
            </w:r>
          </w:p>
        </w:tc>
      </w:tr>
      <w:tr w:rsidR="006B494B" w:rsidRPr="00223690" w14:paraId="243B03CC" w14:textId="77777777" w:rsidTr="47190EC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45339E1D" w14:textId="77777777" w:rsidR="006B494B" w:rsidRPr="00F90829" w:rsidRDefault="006B494B" w:rsidP="6F4C4DEA">
            <w:pPr>
              <w:rPr>
                <w:rFonts w:asciiTheme="minorHAnsi" w:hAnsiTheme="minorHAnsi"/>
                <w:b/>
                <w:bCs/>
                <w:color w:val="000000" w:themeColor="text1"/>
              </w:rPr>
            </w:pPr>
            <w:r w:rsidRPr="6F4C4DEA">
              <w:rPr>
                <w:rFonts w:asciiTheme="minorHAnsi" w:hAnsiTheme="minorHAnsi"/>
                <w:b/>
                <w:bCs/>
                <w:color w:val="000000" w:themeColor="text1"/>
              </w:rPr>
              <w:t>Recommendation 1.3</w:t>
            </w:r>
          </w:p>
          <w:p w14:paraId="3895E29D" w14:textId="68458591" w:rsidR="006B494B" w:rsidRPr="00F90829" w:rsidRDefault="006B494B" w:rsidP="6F4C4DEA">
            <w:pPr>
              <w:rPr>
                <w:rFonts w:asciiTheme="minorHAnsi" w:hAnsiTheme="minorHAnsi"/>
                <w:color w:val="000000" w:themeColor="text1"/>
              </w:rPr>
            </w:pPr>
            <w:r w:rsidRPr="6F4C4DEA">
              <w:rPr>
                <w:rFonts w:asciiTheme="minorHAnsi" w:hAnsiTheme="minorHAnsi"/>
                <w:color w:val="000000" w:themeColor="text1"/>
              </w:rPr>
              <w:t>We recommend that, on a sample basis, the Pacific Labour Mobility Section conducts periodic benchmarking against market rental prices to ensure accommodation costs are consistent with average rental prices.</w:t>
            </w:r>
          </w:p>
        </w:tc>
        <w:tc>
          <w:tcPr>
            <w:tcW w:w="9497" w:type="dxa"/>
            <w:shd w:val="clear" w:color="auto" w:fill="FFFFFF" w:themeFill="background1"/>
          </w:tcPr>
          <w:p w14:paraId="6E946B7B" w14:textId="6E366AAC" w:rsidR="006B494B"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Agree, noting approach below. </w:t>
            </w:r>
          </w:p>
          <w:p w14:paraId="63E2B126" w14:textId="4F394877" w:rsidR="006B494B" w:rsidRPr="0091162C"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47190ECC">
              <w:rPr>
                <w:rFonts w:asciiTheme="minorHAnsi" w:hAnsiTheme="minorHAnsi"/>
                <w:b w:val="0"/>
                <w:color w:val="000000" w:themeColor="text1"/>
                <w:lang w:val="en-AU"/>
              </w:rPr>
              <w:t xml:space="preserve">To complement the accommodation calculator, the PLF will undertake periodic analyses (every six months) to assess broader accommodation issues, trends and/or discrepancies in relation to the local rental markets. </w:t>
            </w:r>
          </w:p>
          <w:p w14:paraId="0624DC4D" w14:textId="07A0FE99" w:rsidR="006B494B" w:rsidRPr="00223690"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The accommodation calculator (mentioned in rec 1.2) will likely identify high-cost properties before the periodic analysis. </w:t>
            </w:r>
          </w:p>
        </w:tc>
      </w:tr>
      <w:tr w:rsidR="006B494B" w:rsidRPr="00223690" w14:paraId="75359489" w14:textId="77777777" w:rsidTr="47190ECC">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084609E9" w14:textId="77777777" w:rsidR="006B494B" w:rsidRPr="002D03D0" w:rsidRDefault="006B494B" w:rsidP="6F4C4DEA">
            <w:pPr>
              <w:pStyle w:val="ListParagraph"/>
              <w:ind w:left="0"/>
              <w:contextualSpacing w:val="0"/>
              <w:rPr>
                <w:rFonts w:asciiTheme="minorHAnsi" w:hAnsiTheme="minorHAnsi"/>
                <w:b/>
                <w:bCs/>
                <w:color w:val="000000" w:themeColor="text1"/>
              </w:rPr>
            </w:pPr>
            <w:r w:rsidRPr="002D03D0">
              <w:rPr>
                <w:rFonts w:asciiTheme="minorHAnsi" w:hAnsiTheme="minorHAnsi"/>
                <w:b/>
                <w:bCs/>
                <w:color w:val="000000" w:themeColor="text1"/>
              </w:rPr>
              <w:t>Recommendation 1.4</w:t>
            </w:r>
          </w:p>
          <w:p w14:paraId="070D77F0" w14:textId="01F6DBDB" w:rsidR="006B494B" w:rsidRPr="002D03D0" w:rsidRDefault="006B494B" w:rsidP="6F4C4DEA">
            <w:pPr>
              <w:rPr>
                <w:rFonts w:asciiTheme="minorHAnsi" w:hAnsiTheme="minorHAnsi"/>
                <w:color w:val="000000" w:themeColor="text1"/>
              </w:rPr>
            </w:pPr>
            <w:r w:rsidRPr="002D03D0">
              <w:rPr>
                <w:rFonts w:asciiTheme="minorHAnsi" w:hAnsiTheme="minorHAnsi"/>
                <w:color w:val="000000" w:themeColor="text1"/>
              </w:rPr>
              <w:t xml:space="preserve">We recommend that the PLS and SWP teams share information, particularly on occupancy rates and high-risk AEs. This is to ensure any potential accommodation overcrowding or overcharging is </w:t>
            </w:r>
            <w:proofErr w:type="gramStart"/>
            <w:r w:rsidRPr="002D03D0">
              <w:rPr>
                <w:rFonts w:asciiTheme="minorHAnsi" w:hAnsiTheme="minorHAnsi"/>
                <w:color w:val="000000" w:themeColor="text1"/>
              </w:rPr>
              <w:t>identified</w:t>
            </w:r>
            <w:proofErr w:type="gramEnd"/>
            <w:r w:rsidRPr="002D03D0">
              <w:rPr>
                <w:rFonts w:asciiTheme="minorHAnsi" w:hAnsiTheme="minorHAnsi"/>
                <w:color w:val="000000" w:themeColor="text1"/>
              </w:rPr>
              <w:t xml:space="preserve"> and corrective actions are undertaken promptly. </w:t>
            </w:r>
          </w:p>
        </w:tc>
        <w:tc>
          <w:tcPr>
            <w:tcW w:w="9497" w:type="dxa"/>
            <w:shd w:val="clear" w:color="auto" w:fill="FFFFFF" w:themeFill="background1"/>
          </w:tcPr>
          <w:p w14:paraId="0147EA2D" w14:textId="2E571F55" w:rsidR="006B494B" w:rsidRPr="002D03D0"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002D03D0">
              <w:rPr>
                <w:rFonts w:asciiTheme="minorHAnsi" w:hAnsiTheme="minorHAnsi"/>
                <w:b w:val="0"/>
                <w:color w:val="000000" w:themeColor="text1"/>
                <w:lang w:val="en-AU"/>
              </w:rPr>
              <w:t>Agree</w:t>
            </w:r>
          </w:p>
          <w:p w14:paraId="1A016AC3" w14:textId="1CDEE8EA" w:rsidR="006B494B" w:rsidRPr="002D03D0" w:rsidRDefault="0006703F"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002D03D0">
              <w:rPr>
                <w:rFonts w:asciiTheme="minorHAnsi" w:hAnsiTheme="minorHAnsi"/>
                <w:b w:val="0"/>
                <w:color w:val="000000" w:themeColor="text1"/>
                <w:lang w:val="en-AU"/>
              </w:rPr>
              <w:t>Provided it is consistent with privacy and confidentiality obligations,</w:t>
            </w:r>
            <w:r w:rsidR="00685D0A" w:rsidRPr="002D03D0">
              <w:rPr>
                <w:rFonts w:asciiTheme="minorHAnsi" w:hAnsiTheme="minorHAnsi"/>
                <w:b w:val="0"/>
                <w:color w:val="000000" w:themeColor="text1"/>
                <w:lang w:val="en-AU"/>
              </w:rPr>
              <w:t xml:space="preserve"> </w:t>
            </w:r>
            <w:r w:rsidR="006B494B" w:rsidRPr="002D03D0">
              <w:rPr>
                <w:rFonts w:asciiTheme="minorHAnsi" w:hAnsiTheme="minorHAnsi"/>
                <w:b w:val="0"/>
                <w:color w:val="000000" w:themeColor="text1"/>
                <w:lang w:val="en-AU"/>
              </w:rPr>
              <w:t>DFAT and DESE will share</w:t>
            </w:r>
            <w:r w:rsidR="00685D0A" w:rsidRPr="002D03D0">
              <w:rPr>
                <w:rFonts w:asciiTheme="minorHAnsi" w:hAnsiTheme="minorHAnsi"/>
                <w:b w:val="0"/>
                <w:color w:val="000000" w:themeColor="text1"/>
                <w:lang w:val="en-AU"/>
              </w:rPr>
              <w:t xml:space="preserve"> the approved accommodation details for PLS and SWP workers</w:t>
            </w:r>
            <w:r w:rsidR="006B494B" w:rsidRPr="002D03D0">
              <w:rPr>
                <w:rFonts w:asciiTheme="minorHAnsi" w:hAnsiTheme="minorHAnsi"/>
                <w:b w:val="0"/>
                <w:color w:val="000000" w:themeColor="text1"/>
                <w:lang w:val="en-AU"/>
              </w:rPr>
              <w:t xml:space="preserve"> at regular intervals (minimum every 6 months)</w:t>
            </w:r>
            <w:r w:rsidR="00685D0A" w:rsidRPr="002D03D0">
              <w:rPr>
                <w:rFonts w:asciiTheme="minorHAnsi" w:hAnsiTheme="minorHAnsi"/>
                <w:b w:val="0"/>
                <w:color w:val="000000" w:themeColor="text1"/>
                <w:lang w:val="en-AU"/>
              </w:rPr>
              <w:t>.</w:t>
            </w:r>
            <w:r w:rsidR="006B494B" w:rsidRPr="002D03D0">
              <w:rPr>
                <w:rFonts w:asciiTheme="minorHAnsi" w:hAnsiTheme="minorHAnsi"/>
                <w:b w:val="0"/>
                <w:color w:val="000000" w:themeColor="text1"/>
                <w:lang w:val="en-AU"/>
              </w:rPr>
              <w:t xml:space="preserve"> </w:t>
            </w:r>
          </w:p>
          <w:p w14:paraId="2ABEE8F6" w14:textId="10464158" w:rsidR="006B494B" w:rsidRPr="002D03D0"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p>
        </w:tc>
      </w:tr>
      <w:tr w:rsidR="006B494B" w:rsidRPr="00223690" w14:paraId="4EF93DB8" w14:textId="77777777" w:rsidTr="47190EC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6CCDA3D2" w14:textId="77777777" w:rsidR="006B494B" w:rsidRPr="003A25E2" w:rsidRDefault="006B494B" w:rsidP="6F4C4DEA">
            <w:pPr>
              <w:pStyle w:val="ListParagraph"/>
              <w:ind w:left="0"/>
              <w:contextualSpacing w:val="0"/>
              <w:rPr>
                <w:rFonts w:asciiTheme="minorHAnsi" w:hAnsiTheme="minorHAnsi"/>
                <w:b/>
                <w:bCs/>
                <w:color w:val="000000" w:themeColor="text1"/>
              </w:rPr>
            </w:pPr>
            <w:bookmarkStart w:id="1" w:name="_Hlk67066176"/>
            <w:r w:rsidRPr="003A25E2">
              <w:rPr>
                <w:rFonts w:asciiTheme="minorHAnsi" w:hAnsiTheme="minorHAnsi"/>
                <w:b/>
                <w:bCs/>
                <w:color w:val="000000" w:themeColor="text1"/>
              </w:rPr>
              <w:lastRenderedPageBreak/>
              <w:t>Recommendation 2</w:t>
            </w:r>
          </w:p>
          <w:p w14:paraId="2812969E" w14:textId="77777777" w:rsidR="006B494B" w:rsidRPr="003A25E2" w:rsidRDefault="006B494B" w:rsidP="6F4C4DEA">
            <w:pPr>
              <w:pStyle w:val="ListParagraph"/>
              <w:ind w:left="0"/>
              <w:contextualSpacing w:val="0"/>
              <w:rPr>
                <w:rFonts w:asciiTheme="minorHAnsi" w:hAnsiTheme="minorHAnsi"/>
                <w:color w:val="000000" w:themeColor="text1"/>
              </w:rPr>
            </w:pPr>
            <w:r w:rsidRPr="003A25E2">
              <w:rPr>
                <w:rFonts w:asciiTheme="minorHAnsi" w:hAnsiTheme="minorHAnsi"/>
                <w:color w:val="000000" w:themeColor="text1"/>
              </w:rPr>
              <w:t>While we acknowledge that PLS is in the process of drafting AE guidelines, we recommend that:</w:t>
            </w:r>
          </w:p>
          <w:p w14:paraId="6C28F174" w14:textId="77777777" w:rsidR="006B494B" w:rsidRPr="003A25E2" w:rsidRDefault="006B494B" w:rsidP="6F4C4DEA">
            <w:pPr>
              <w:pStyle w:val="ListParagraph"/>
              <w:numPr>
                <w:ilvl w:val="0"/>
                <w:numId w:val="12"/>
              </w:numPr>
              <w:contextualSpacing w:val="0"/>
              <w:rPr>
                <w:rFonts w:asciiTheme="minorHAnsi" w:hAnsiTheme="minorHAnsi"/>
                <w:color w:val="000000" w:themeColor="text1"/>
              </w:rPr>
            </w:pPr>
            <w:r w:rsidRPr="003A25E2">
              <w:rPr>
                <w:rFonts w:asciiTheme="minorHAnsi" w:hAnsiTheme="minorHAnsi"/>
                <w:color w:val="000000" w:themeColor="text1"/>
              </w:rPr>
              <w:t>AE guidelines are finalised as soon as practicable</w:t>
            </w:r>
          </w:p>
          <w:p w14:paraId="79C3E8F9" w14:textId="77777777" w:rsidR="006B494B" w:rsidRPr="003A25E2" w:rsidRDefault="006B494B" w:rsidP="6F4C4DEA">
            <w:pPr>
              <w:pStyle w:val="ListParagraph"/>
              <w:numPr>
                <w:ilvl w:val="0"/>
                <w:numId w:val="12"/>
              </w:numPr>
              <w:contextualSpacing w:val="0"/>
              <w:rPr>
                <w:rFonts w:asciiTheme="minorHAnsi" w:hAnsiTheme="minorHAnsi"/>
                <w:color w:val="000000" w:themeColor="text1"/>
              </w:rPr>
            </w:pPr>
            <w:r w:rsidRPr="003A25E2">
              <w:rPr>
                <w:rFonts w:asciiTheme="minorHAnsi" w:hAnsiTheme="minorHAnsi"/>
                <w:color w:val="000000" w:themeColor="text1"/>
              </w:rPr>
              <w:t>Guidance on the minimum standards of accommodation and monitoring activities are clearly articulated</w:t>
            </w:r>
          </w:p>
          <w:p w14:paraId="239050EB" w14:textId="6BCD7FC8" w:rsidR="006B494B" w:rsidRPr="003A25E2" w:rsidRDefault="006B494B" w:rsidP="6F4C4DEA">
            <w:pPr>
              <w:pStyle w:val="ListParagraph"/>
              <w:numPr>
                <w:ilvl w:val="0"/>
                <w:numId w:val="12"/>
              </w:numPr>
              <w:spacing w:line="240" w:lineRule="auto"/>
              <w:rPr>
                <w:rFonts w:asciiTheme="minorHAnsi" w:hAnsiTheme="minorHAnsi"/>
                <w:color w:val="000000" w:themeColor="text1"/>
              </w:rPr>
            </w:pPr>
            <w:r w:rsidRPr="003A25E2">
              <w:rPr>
                <w:rFonts w:asciiTheme="minorHAnsi" w:hAnsiTheme="minorHAnsi"/>
                <w:color w:val="000000" w:themeColor="text1"/>
              </w:rPr>
              <w:t xml:space="preserve">AE guidelines are promulgated to all AEs. </w:t>
            </w:r>
          </w:p>
        </w:tc>
        <w:tc>
          <w:tcPr>
            <w:tcW w:w="9497" w:type="dxa"/>
            <w:shd w:val="clear" w:color="auto" w:fill="FFFFFF" w:themeFill="background1"/>
          </w:tcPr>
          <w:p w14:paraId="33C72BB5" w14:textId="5C7357D1" w:rsidR="006B494B" w:rsidRPr="003A25E2"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3A25E2">
              <w:rPr>
                <w:rFonts w:asciiTheme="minorHAnsi" w:hAnsiTheme="minorHAnsi"/>
                <w:b w:val="0"/>
                <w:color w:val="000000" w:themeColor="text1"/>
                <w:lang w:val="en-AU"/>
              </w:rPr>
              <w:t>Agree</w:t>
            </w:r>
          </w:p>
          <w:p w14:paraId="73E813AC" w14:textId="79E80F8D" w:rsidR="006B494B" w:rsidRPr="003A25E2" w:rsidRDefault="00A93AF2"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3A25E2">
              <w:rPr>
                <w:rFonts w:asciiTheme="minorHAnsi" w:hAnsiTheme="minorHAnsi"/>
                <w:b w:val="0"/>
                <w:color w:val="000000" w:themeColor="text1"/>
                <w:lang w:val="en-AU"/>
              </w:rPr>
              <w:t xml:space="preserve">PLS </w:t>
            </w:r>
            <w:r w:rsidR="006B494B" w:rsidRPr="003A25E2">
              <w:rPr>
                <w:rFonts w:asciiTheme="minorHAnsi" w:hAnsiTheme="minorHAnsi"/>
                <w:b w:val="0"/>
                <w:color w:val="000000" w:themeColor="text1"/>
                <w:lang w:val="en-AU"/>
              </w:rPr>
              <w:t xml:space="preserve">AE guidelines were shared for consultation with AEs and DESE in October 2020. The AE guidelines will be finalised and </w:t>
            </w:r>
            <w:r w:rsidR="006B494B" w:rsidRPr="00626E86">
              <w:rPr>
                <w:rFonts w:asciiTheme="minorHAnsi" w:hAnsiTheme="minorHAnsi"/>
                <w:b w:val="0"/>
                <w:color w:val="000000" w:themeColor="text1"/>
                <w:lang w:val="en-AU"/>
              </w:rPr>
              <w:t xml:space="preserve">published in </w:t>
            </w:r>
            <w:r w:rsidR="003A25E2" w:rsidRPr="00626E86">
              <w:rPr>
                <w:rFonts w:asciiTheme="minorHAnsi" w:hAnsiTheme="minorHAnsi"/>
                <w:b w:val="0"/>
                <w:color w:val="000000" w:themeColor="text1"/>
                <w:lang w:val="en-AU"/>
              </w:rPr>
              <w:t>early</w:t>
            </w:r>
            <w:r w:rsidR="006B494B" w:rsidRPr="00626E86">
              <w:rPr>
                <w:rFonts w:asciiTheme="minorHAnsi" w:hAnsiTheme="minorHAnsi"/>
                <w:b w:val="0"/>
                <w:color w:val="000000" w:themeColor="text1"/>
                <w:lang w:val="en-AU"/>
              </w:rPr>
              <w:t xml:space="preserve"> 2021</w:t>
            </w:r>
            <w:r w:rsidR="006B494B" w:rsidRPr="003A25E2">
              <w:rPr>
                <w:rFonts w:asciiTheme="minorHAnsi" w:hAnsiTheme="minorHAnsi"/>
                <w:b w:val="0"/>
                <w:color w:val="000000" w:themeColor="text1"/>
                <w:lang w:val="en-AU"/>
              </w:rPr>
              <w:t>.  The Standard Operating Procedure (SOPs) will be developed to give effect to the new PLS AE Guidelines.</w:t>
            </w:r>
          </w:p>
          <w:p w14:paraId="2947B362" w14:textId="303D4D43" w:rsidR="006B494B" w:rsidRPr="003A25E2"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3A25E2">
              <w:rPr>
                <w:rFonts w:asciiTheme="minorHAnsi" w:hAnsiTheme="minorHAnsi"/>
                <w:b w:val="0"/>
                <w:color w:val="000000" w:themeColor="text1"/>
                <w:lang w:val="en-AU"/>
              </w:rPr>
              <w:t xml:space="preserve">The guidelines specifically refer to the accommodation form which outlines the minimum standards of accommodation for PLS workers, and AE responsibilities for ensuring all rental payments and inclusions are transparently deducted/recovered from workers. </w:t>
            </w:r>
          </w:p>
          <w:p w14:paraId="558756BC" w14:textId="5E52C59D" w:rsidR="006B494B" w:rsidRPr="003A25E2" w:rsidRDefault="00A93AF2"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3A25E2">
              <w:rPr>
                <w:rFonts w:asciiTheme="minorHAnsi" w:hAnsiTheme="minorHAnsi"/>
                <w:b w:val="0"/>
                <w:color w:val="000000" w:themeColor="text1"/>
                <w:lang w:val="en-AU"/>
              </w:rPr>
              <w:t>SWP AE Guidelines commenced with the new Deed of agreement on 1 January 2019</w:t>
            </w:r>
            <w:r w:rsidR="007D0944" w:rsidRPr="003A25E2">
              <w:rPr>
                <w:rFonts w:asciiTheme="minorHAnsi" w:hAnsiTheme="minorHAnsi"/>
                <w:b w:val="0"/>
                <w:color w:val="000000" w:themeColor="text1"/>
                <w:lang w:val="en-AU"/>
              </w:rPr>
              <w:t xml:space="preserve"> and set out m</w:t>
            </w:r>
            <w:r w:rsidRPr="003A25E2">
              <w:rPr>
                <w:rFonts w:asciiTheme="minorHAnsi" w:hAnsiTheme="minorHAnsi"/>
                <w:b w:val="0"/>
                <w:color w:val="000000" w:themeColor="text1"/>
                <w:lang w:val="en-AU"/>
              </w:rPr>
              <w:t>inimum standards for accommodation</w:t>
            </w:r>
            <w:r w:rsidR="007D0944" w:rsidRPr="003A25E2">
              <w:rPr>
                <w:rFonts w:asciiTheme="minorHAnsi" w:hAnsiTheme="minorHAnsi"/>
                <w:b w:val="0"/>
                <w:color w:val="000000" w:themeColor="text1"/>
                <w:lang w:val="en-AU"/>
              </w:rPr>
              <w:t>. The Guidelines and an overview of the minimum accommodation requirements</w:t>
            </w:r>
            <w:r w:rsidRPr="003A25E2">
              <w:rPr>
                <w:rFonts w:asciiTheme="minorHAnsi" w:hAnsiTheme="minorHAnsi"/>
                <w:b w:val="0"/>
                <w:color w:val="000000" w:themeColor="text1"/>
                <w:lang w:val="en-AU"/>
              </w:rPr>
              <w:t xml:space="preserve"> are publicly available</w:t>
            </w:r>
            <w:r w:rsidR="007D0944" w:rsidRPr="003A25E2">
              <w:rPr>
                <w:rFonts w:asciiTheme="minorHAnsi" w:hAnsiTheme="minorHAnsi"/>
                <w:b w:val="0"/>
                <w:color w:val="000000" w:themeColor="text1"/>
                <w:lang w:val="en-AU"/>
              </w:rPr>
              <w:t xml:space="preserve"> on the DESE website</w:t>
            </w:r>
            <w:r w:rsidRPr="003A25E2">
              <w:rPr>
                <w:rFonts w:asciiTheme="minorHAnsi" w:hAnsiTheme="minorHAnsi"/>
                <w:b w:val="0"/>
                <w:color w:val="000000" w:themeColor="text1"/>
                <w:lang w:val="en-AU"/>
              </w:rPr>
              <w:t xml:space="preserve">. </w:t>
            </w:r>
          </w:p>
        </w:tc>
      </w:tr>
      <w:bookmarkEnd w:id="1"/>
      <w:tr w:rsidR="006B494B" w:rsidRPr="00223690" w14:paraId="3F29E295" w14:textId="77777777" w:rsidTr="47190ECC">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73BEBACF" w14:textId="77777777" w:rsidR="006B494B" w:rsidRPr="00F90829" w:rsidRDefault="006B494B" w:rsidP="6F4C4DEA">
            <w:pPr>
              <w:pStyle w:val="ListParagraph"/>
              <w:ind w:left="0"/>
              <w:contextualSpacing w:val="0"/>
              <w:rPr>
                <w:rFonts w:asciiTheme="minorHAnsi" w:hAnsiTheme="minorHAnsi"/>
                <w:b/>
                <w:bCs/>
                <w:color w:val="000000" w:themeColor="text1"/>
              </w:rPr>
            </w:pPr>
            <w:r w:rsidRPr="6F4C4DEA">
              <w:rPr>
                <w:rFonts w:asciiTheme="minorHAnsi" w:hAnsiTheme="minorHAnsi"/>
                <w:b/>
                <w:bCs/>
                <w:color w:val="000000" w:themeColor="text1"/>
              </w:rPr>
              <w:t xml:space="preserve">Recommendation 3 </w:t>
            </w:r>
          </w:p>
          <w:p w14:paraId="77118557" w14:textId="77777777" w:rsidR="006B494B" w:rsidRPr="00F90829" w:rsidRDefault="006B494B" w:rsidP="6F4C4DEA">
            <w:pPr>
              <w:pStyle w:val="ListParagraph"/>
              <w:ind w:left="0"/>
              <w:contextualSpacing w:val="0"/>
              <w:rPr>
                <w:rFonts w:asciiTheme="minorHAnsi" w:hAnsiTheme="minorHAnsi"/>
                <w:color w:val="000000" w:themeColor="text1"/>
              </w:rPr>
            </w:pPr>
            <w:r w:rsidRPr="6F4C4DEA">
              <w:rPr>
                <w:rFonts w:asciiTheme="minorHAnsi" w:hAnsiTheme="minorHAnsi"/>
                <w:color w:val="000000" w:themeColor="text1"/>
              </w:rPr>
              <w:t xml:space="preserve">We recommend that the PLS builds an assurance framework incorporating: </w:t>
            </w:r>
          </w:p>
          <w:p w14:paraId="76355B67" w14:textId="77777777" w:rsidR="006B494B" w:rsidRPr="00F90829" w:rsidRDefault="006B494B" w:rsidP="6F4C4DEA">
            <w:pPr>
              <w:pStyle w:val="ListParagraph"/>
              <w:numPr>
                <w:ilvl w:val="0"/>
                <w:numId w:val="11"/>
              </w:numPr>
              <w:ind w:left="714" w:hanging="357"/>
              <w:contextualSpacing w:val="0"/>
              <w:rPr>
                <w:rFonts w:asciiTheme="minorHAnsi" w:hAnsiTheme="minorHAnsi"/>
                <w:color w:val="000000" w:themeColor="text1"/>
              </w:rPr>
            </w:pPr>
            <w:r w:rsidRPr="6F4C4DEA">
              <w:rPr>
                <w:rFonts w:asciiTheme="minorHAnsi" w:hAnsiTheme="minorHAnsi"/>
                <w:color w:val="000000" w:themeColor="text1"/>
              </w:rPr>
              <w:t xml:space="preserve">Risk profiling of individual AEs and adjusting the level of compliance activities based on the AE’s risk profile </w:t>
            </w:r>
          </w:p>
          <w:p w14:paraId="780087E9" w14:textId="77777777" w:rsidR="006B494B" w:rsidRPr="00F90829" w:rsidRDefault="006B494B" w:rsidP="6F4C4DEA">
            <w:pPr>
              <w:pStyle w:val="ListParagraph"/>
              <w:numPr>
                <w:ilvl w:val="0"/>
                <w:numId w:val="11"/>
              </w:numPr>
              <w:ind w:left="714" w:hanging="357"/>
              <w:contextualSpacing w:val="0"/>
              <w:rPr>
                <w:rFonts w:asciiTheme="minorHAnsi" w:hAnsiTheme="minorHAnsi"/>
                <w:color w:val="000000" w:themeColor="text1"/>
              </w:rPr>
            </w:pPr>
            <w:r w:rsidRPr="6F4C4DEA">
              <w:rPr>
                <w:rFonts w:asciiTheme="minorHAnsi" w:hAnsiTheme="minorHAnsi"/>
                <w:color w:val="000000" w:themeColor="text1"/>
              </w:rPr>
              <w:t xml:space="preserve">Combining site visits with desktop audits to increase efficiencies and introduce elements of unpredictability </w:t>
            </w:r>
          </w:p>
          <w:p w14:paraId="476ADB79" w14:textId="77777777" w:rsidR="006B494B" w:rsidRPr="00F90829" w:rsidRDefault="006B494B" w:rsidP="6F4C4DEA">
            <w:pPr>
              <w:pStyle w:val="ListParagraph"/>
              <w:numPr>
                <w:ilvl w:val="0"/>
                <w:numId w:val="11"/>
              </w:numPr>
              <w:ind w:left="714" w:hanging="357"/>
              <w:contextualSpacing w:val="0"/>
              <w:rPr>
                <w:rFonts w:asciiTheme="minorHAnsi" w:hAnsiTheme="minorHAnsi"/>
                <w:color w:val="000000" w:themeColor="text1"/>
              </w:rPr>
            </w:pPr>
            <w:r w:rsidRPr="6F4C4DEA">
              <w:rPr>
                <w:rFonts w:asciiTheme="minorHAnsi" w:hAnsiTheme="minorHAnsi"/>
                <w:color w:val="000000" w:themeColor="text1"/>
              </w:rPr>
              <w:t xml:space="preserve">Ensure results of compliance activities (including any accommodation issues) are reported to departmental Senior Executives. </w:t>
            </w:r>
          </w:p>
          <w:p w14:paraId="4AC190AA" w14:textId="69728519" w:rsidR="006B494B" w:rsidRPr="00F90829" w:rsidRDefault="006B494B" w:rsidP="6F4C4DEA">
            <w:pPr>
              <w:rPr>
                <w:rFonts w:asciiTheme="minorHAnsi" w:hAnsiTheme="minorHAnsi"/>
                <w:color w:val="000000" w:themeColor="text1"/>
              </w:rPr>
            </w:pPr>
            <w:r w:rsidRPr="6F4C4DEA">
              <w:rPr>
                <w:rFonts w:asciiTheme="minorHAnsi" w:hAnsiTheme="minorHAnsi"/>
                <w:color w:val="000000" w:themeColor="text1"/>
              </w:rPr>
              <w:t xml:space="preserve">A robust assurance framework will increase the ability to promptly identify underlying root causes of noncompliance or accommodation concerns. </w:t>
            </w:r>
          </w:p>
        </w:tc>
        <w:tc>
          <w:tcPr>
            <w:tcW w:w="9497" w:type="dxa"/>
            <w:shd w:val="clear" w:color="auto" w:fill="FFFFFF" w:themeFill="background1"/>
          </w:tcPr>
          <w:p w14:paraId="6411BEAE" w14:textId="347B70EE" w:rsidR="006B494B"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Agree </w:t>
            </w:r>
          </w:p>
          <w:p w14:paraId="7E797E61" w14:textId="529F32E0" w:rsidR="006B494B" w:rsidRPr="00133BFD"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The new </w:t>
            </w:r>
            <w:r w:rsidR="00A93AF2">
              <w:rPr>
                <w:rFonts w:asciiTheme="minorHAnsi" w:hAnsiTheme="minorHAnsi"/>
                <w:b w:val="0"/>
                <w:color w:val="000000" w:themeColor="text1"/>
                <w:lang w:val="en-AU"/>
              </w:rPr>
              <w:t xml:space="preserve">PLS </w:t>
            </w:r>
            <w:r w:rsidRPr="6F4C4DEA">
              <w:rPr>
                <w:rFonts w:asciiTheme="minorHAnsi" w:hAnsiTheme="minorHAnsi"/>
                <w:b w:val="0"/>
                <w:color w:val="000000" w:themeColor="text1"/>
                <w:lang w:val="en-AU"/>
              </w:rPr>
              <w:t xml:space="preserve">AE Guidelines will be accompanied by new Standard Operating Procedure (SOPs). These internal SOPs will define what, how and when assurance activities will be conducted, based on the risk-based approach outlined in the AE Guidelines. </w:t>
            </w:r>
          </w:p>
          <w:p w14:paraId="29018105" w14:textId="792A50F2" w:rsidR="006B494B"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 xml:space="preserve">The </w:t>
            </w:r>
            <w:r w:rsidR="00321565">
              <w:rPr>
                <w:rFonts w:asciiTheme="minorHAnsi" w:hAnsiTheme="minorHAnsi"/>
                <w:b w:val="0"/>
                <w:color w:val="000000" w:themeColor="text1"/>
                <w:lang w:val="en-AU"/>
              </w:rPr>
              <w:t xml:space="preserve">PLS </w:t>
            </w:r>
            <w:r w:rsidRPr="6F4C4DEA">
              <w:rPr>
                <w:rFonts w:asciiTheme="minorHAnsi" w:hAnsiTheme="minorHAnsi"/>
                <w:b w:val="0"/>
                <w:color w:val="000000" w:themeColor="text1"/>
                <w:lang w:val="en-AU"/>
              </w:rPr>
              <w:t xml:space="preserve">AE guidelines set out the intent of monitoring visits, including where visits may be conducted without notice. The </w:t>
            </w:r>
            <w:r w:rsidR="00321565">
              <w:rPr>
                <w:rFonts w:asciiTheme="minorHAnsi" w:hAnsiTheme="minorHAnsi"/>
                <w:b w:val="0"/>
                <w:color w:val="000000" w:themeColor="text1"/>
                <w:lang w:val="en-AU"/>
              </w:rPr>
              <w:t xml:space="preserve">PLS </w:t>
            </w:r>
            <w:r w:rsidRPr="6F4C4DEA">
              <w:rPr>
                <w:rFonts w:asciiTheme="minorHAnsi" w:hAnsiTheme="minorHAnsi"/>
                <w:b w:val="0"/>
                <w:color w:val="000000" w:themeColor="text1"/>
                <w:lang w:val="en-AU"/>
              </w:rPr>
              <w:t xml:space="preserve">SOPs will include how an AE’s risk rating influences the frequency of monitoring visits. </w:t>
            </w:r>
          </w:p>
          <w:p w14:paraId="01C01FE8" w14:textId="2873F8D8" w:rsidR="00404D00" w:rsidRPr="00133BFD" w:rsidRDefault="00404D00" w:rsidP="00404D00">
            <w:pPr>
              <w:cnfStyle w:val="000000010000" w:firstRow="0" w:lastRow="0" w:firstColumn="0" w:lastColumn="0" w:oddVBand="0" w:evenVBand="0" w:oddHBand="0" w:evenHBand="1" w:firstRowFirstColumn="0" w:firstRowLastColumn="0" w:lastRowFirstColumn="0" w:lastRowLastColumn="0"/>
              <w:rPr>
                <w:rFonts w:asciiTheme="minorHAnsi" w:hAnsiTheme="minorHAnsi"/>
                <w:b/>
                <w:color w:val="000000" w:themeColor="text1"/>
              </w:rPr>
            </w:pPr>
            <w:r w:rsidRPr="00A91000">
              <w:rPr>
                <w:bCs/>
                <w:color w:val="000000" w:themeColor="text1"/>
              </w:rPr>
              <w:t>It is noted the SWP</w:t>
            </w:r>
            <w:r w:rsidRPr="002D03D0">
              <w:rPr>
                <w:bCs/>
                <w:color w:val="000000" w:themeColor="text1"/>
              </w:rPr>
              <w:t xml:space="preserve"> Assurance Framework, overviewed in the SWP AE Guidelines, provides for risk profiling of Approved Employers;</w:t>
            </w:r>
            <w:r w:rsidR="00F911B7" w:rsidRPr="002D03D0">
              <w:rPr>
                <w:bCs/>
                <w:color w:val="000000" w:themeColor="text1"/>
              </w:rPr>
              <w:t xml:space="preserve"> regular and as-required </w:t>
            </w:r>
            <w:r w:rsidRPr="002D03D0">
              <w:rPr>
                <w:bCs/>
                <w:color w:val="000000" w:themeColor="text1"/>
              </w:rPr>
              <w:t xml:space="preserve">assurance activities; and a tiered response to issues commensurate with the nature, </w:t>
            </w:r>
            <w:proofErr w:type="gramStart"/>
            <w:r w:rsidRPr="002D03D0">
              <w:rPr>
                <w:bCs/>
                <w:color w:val="000000" w:themeColor="text1"/>
              </w:rPr>
              <w:t>severity</w:t>
            </w:r>
            <w:proofErr w:type="gramEnd"/>
            <w:r w:rsidRPr="002D03D0">
              <w:rPr>
                <w:bCs/>
                <w:color w:val="000000" w:themeColor="text1"/>
              </w:rPr>
              <w:t xml:space="preserve"> and other factors.</w:t>
            </w:r>
            <w:r>
              <w:rPr>
                <w:rFonts w:cstheme="minorHAnsi"/>
              </w:rPr>
              <w:t xml:space="preserve"> </w:t>
            </w:r>
          </w:p>
          <w:p w14:paraId="586F9A99" w14:textId="316FDE03" w:rsidR="006B494B"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b w:val="0"/>
                <w:color w:val="000000" w:themeColor="text1"/>
                <w:lang w:val="en-AU"/>
              </w:rPr>
            </w:pPr>
            <w:r w:rsidRPr="6F4C4DEA">
              <w:rPr>
                <w:b w:val="0"/>
                <w:color w:val="000000" w:themeColor="text1"/>
                <w:lang w:val="en-AU"/>
              </w:rPr>
              <w:t xml:space="preserve"> Senior executive reporting is considered below. </w:t>
            </w:r>
          </w:p>
          <w:p w14:paraId="2BA4F1BB" w14:textId="30E323F8" w:rsidR="00404D00" w:rsidRDefault="00404D00" w:rsidP="6F4C4DEA">
            <w:pPr>
              <w:pStyle w:val="TableHeaderRow"/>
              <w:spacing w:before="120"/>
              <w:cnfStyle w:val="000000010000" w:firstRow="0" w:lastRow="0" w:firstColumn="0" w:lastColumn="0" w:oddVBand="0" w:evenVBand="0" w:oddHBand="0" w:evenHBand="1" w:firstRowFirstColumn="0" w:firstRowLastColumn="0" w:lastRowFirstColumn="0" w:lastRowLastColumn="0"/>
              <w:rPr>
                <w:b w:val="0"/>
                <w:color w:val="000000" w:themeColor="text1"/>
                <w:lang w:val="en-AU"/>
              </w:rPr>
            </w:pPr>
          </w:p>
          <w:p w14:paraId="04CC69CF" w14:textId="77777777" w:rsidR="006B494B"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b w:val="0"/>
                <w:i/>
                <w:iCs/>
                <w:color w:val="000000" w:themeColor="text1"/>
                <w:lang w:val="en-AU"/>
              </w:rPr>
            </w:pPr>
          </w:p>
          <w:p w14:paraId="7ED794E8" w14:textId="209C1D87" w:rsidR="006B494B" w:rsidRPr="00133BFD" w:rsidRDefault="006B494B" w:rsidP="6F4C4DEA">
            <w:pPr>
              <w:pStyle w:val="TableHeaderRow"/>
              <w:spacing w:before="120"/>
              <w:cnfStyle w:val="000000010000" w:firstRow="0" w:lastRow="0" w:firstColumn="0" w:lastColumn="0" w:oddVBand="0" w:evenVBand="0" w:oddHBand="0" w:evenHBand="1" w:firstRowFirstColumn="0" w:firstRowLastColumn="0" w:lastRowFirstColumn="0" w:lastRowLastColumn="0"/>
              <w:rPr>
                <w:rFonts w:asciiTheme="minorHAnsi" w:hAnsiTheme="minorHAnsi"/>
                <w:b w:val="0"/>
                <w:color w:val="000000" w:themeColor="text1"/>
                <w:lang w:val="en-AU"/>
              </w:rPr>
            </w:pPr>
          </w:p>
        </w:tc>
      </w:tr>
      <w:tr w:rsidR="006B494B" w:rsidRPr="00223690" w14:paraId="13BB9ACB" w14:textId="77777777" w:rsidTr="47190EC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7E88B35A" w14:textId="77777777" w:rsidR="006B494B" w:rsidRPr="00F90829" w:rsidRDefault="006B494B" w:rsidP="6F4C4DEA">
            <w:pPr>
              <w:pStyle w:val="ListParagraph"/>
              <w:ind w:left="0"/>
              <w:contextualSpacing w:val="0"/>
              <w:rPr>
                <w:rFonts w:asciiTheme="minorHAnsi" w:hAnsiTheme="minorHAnsi"/>
                <w:b/>
                <w:bCs/>
                <w:color w:val="000000" w:themeColor="text1"/>
              </w:rPr>
            </w:pPr>
            <w:r w:rsidRPr="6F4C4DEA">
              <w:rPr>
                <w:rFonts w:asciiTheme="minorHAnsi" w:hAnsiTheme="minorHAnsi"/>
                <w:b/>
                <w:bCs/>
                <w:color w:val="000000" w:themeColor="text1"/>
              </w:rPr>
              <w:t>Recommendation 4</w:t>
            </w:r>
          </w:p>
          <w:p w14:paraId="5D55822C" w14:textId="77777777" w:rsidR="006B494B" w:rsidRPr="00F90829" w:rsidRDefault="006B494B" w:rsidP="6F4C4DEA">
            <w:pPr>
              <w:pStyle w:val="ListParagraph"/>
              <w:ind w:left="0"/>
              <w:contextualSpacing w:val="0"/>
              <w:rPr>
                <w:rFonts w:asciiTheme="minorHAnsi" w:hAnsiTheme="minorHAnsi"/>
                <w:color w:val="000000" w:themeColor="text1"/>
              </w:rPr>
            </w:pPr>
            <w:r w:rsidRPr="6F4C4DEA">
              <w:rPr>
                <w:rFonts w:asciiTheme="minorHAnsi" w:hAnsiTheme="minorHAnsi"/>
                <w:color w:val="000000" w:themeColor="text1"/>
              </w:rPr>
              <w:lastRenderedPageBreak/>
              <w:t xml:space="preserve">We suggest Executive Level reporting for both departments on a quarterly basis to include: </w:t>
            </w:r>
          </w:p>
          <w:p w14:paraId="346FC334" w14:textId="77777777" w:rsidR="006B494B" w:rsidRPr="00F90829" w:rsidRDefault="006B494B" w:rsidP="6F4C4DEA">
            <w:pPr>
              <w:pStyle w:val="ListParagraph"/>
              <w:numPr>
                <w:ilvl w:val="0"/>
                <w:numId w:val="11"/>
              </w:numPr>
              <w:ind w:left="714" w:hanging="357"/>
              <w:contextualSpacing w:val="0"/>
              <w:rPr>
                <w:rFonts w:asciiTheme="minorHAnsi" w:hAnsiTheme="minorHAnsi"/>
                <w:color w:val="000000" w:themeColor="text1"/>
              </w:rPr>
            </w:pPr>
            <w:r w:rsidRPr="6F4C4DEA">
              <w:rPr>
                <w:rFonts w:asciiTheme="minorHAnsi" w:hAnsiTheme="minorHAnsi"/>
                <w:color w:val="000000" w:themeColor="text1"/>
              </w:rPr>
              <w:t xml:space="preserve">Results on assurance and compliance activities including number of AEs reported to FWO and reports of unsuitable accommodation </w:t>
            </w:r>
          </w:p>
          <w:p w14:paraId="3EA066FA" w14:textId="77777777" w:rsidR="006B494B" w:rsidRPr="00F90829" w:rsidRDefault="006B494B" w:rsidP="6F4C4DEA">
            <w:pPr>
              <w:pStyle w:val="ListParagraph"/>
              <w:numPr>
                <w:ilvl w:val="0"/>
                <w:numId w:val="11"/>
              </w:numPr>
              <w:ind w:left="714" w:hanging="357"/>
              <w:contextualSpacing w:val="0"/>
              <w:rPr>
                <w:rFonts w:asciiTheme="minorHAnsi" w:hAnsiTheme="minorHAnsi"/>
                <w:color w:val="000000" w:themeColor="text1"/>
              </w:rPr>
            </w:pPr>
            <w:r w:rsidRPr="6F4C4DEA">
              <w:rPr>
                <w:rFonts w:asciiTheme="minorHAnsi" w:hAnsiTheme="minorHAnsi"/>
                <w:color w:val="000000" w:themeColor="text1"/>
              </w:rPr>
              <w:t>Available benchmarking results of PLS and SWP accommodation costs against market rates and identified outliers</w:t>
            </w:r>
          </w:p>
          <w:p w14:paraId="44E64D96" w14:textId="2A9B4A6E" w:rsidR="006B494B" w:rsidRPr="00F90829" w:rsidRDefault="006B494B" w:rsidP="6F4C4DEA">
            <w:pPr>
              <w:rPr>
                <w:rFonts w:asciiTheme="minorHAnsi" w:hAnsiTheme="minorHAnsi"/>
                <w:color w:val="000000" w:themeColor="text1"/>
              </w:rPr>
            </w:pPr>
            <w:r w:rsidRPr="6F4C4DEA">
              <w:rPr>
                <w:rFonts w:asciiTheme="minorHAnsi" w:hAnsiTheme="minorHAnsi"/>
                <w:color w:val="000000" w:themeColor="text1"/>
              </w:rPr>
              <w:t xml:space="preserve">This would achieve cooperation between the two departments as encouraged by the PGPA Act. </w:t>
            </w:r>
          </w:p>
        </w:tc>
        <w:tc>
          <w:tcPr>
            <w:tcW w:w="9497" w:type="dxa"/>
            <w:shd w:val="clear" w:color="auto" w:fill="FFFFFF" w:themeFill="background1"/>
          </w:tcPr>
          <w:p w14:paraId="4E3543AB" w14:textId="2B3C9E2E" w:rsidR="006B494B"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lastRenderedPageBreak/>
              <w:t xml:space="preserve">Agree, noting approach below. </w:t>
            </w:r>
          </w:p>
          <w:p w14:paraId="6D711D16" w14:textId="7AFACA04" w:rsidR="006B494B"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lastRenderedPageBreak/>
              <w:t xml:space="preserve">DFAT will provide reports to Senior Executives three times a year on results of PLS assurance activities, </w:t>
            </w:r>
            <w:r w:rsidRPr="6F4C4DEA">
              <w:rPr>
                <w:b w:val="0"/>
                <w:color w:val="000000" w:themeColor="text1"/>
              </w:rPr>
              <w:t xml:space="preserve">including information on the outcomes of accommodation specific assurance activities and other assurance reporting, including FWO referrals. Information about </w:t>
            </w:r>
            <w:r w:rsidR="009C0622" w:rsidRPr="6F4C4DEA">
              <w:rPr>
                <w:b w:val="0"/>
                <w:color w:val="000000" w:themeColor="text1"/>
              </w:rPr>
              <w:t xml:space="preserve">serious </w:t>
            </w:r>
            <w:r w:rsidRPr="6F4C4DEA">
              <w:rPr>
                <w:b w:val="0"/>
                <w:color w:val="000000" w:themeColor="text1"/>
              </w:rPr>
              <w:t xml:space="preserve">compliance incidents will also be </w:t>
            </w:r>
            <w:r w:rsidRPr="6F4C4DEA">
              <w:rPr>
                <w:rFonts w:asciiTheme="minorHAnsi" w:hAnsiTheme="minorHAnsi"/>
                <w:b w:val="0"/>
                <w:color w:val="000000" w:themeColor="text1"/>
                <w:lang w:val="en-AU"/>
              </w:rPr>
              <w:t xml:space="preserve">escalated as events occur. </w:t>
            </w:r>
          </w:p>
          <w:p w14:paraId="5725275D" w14:textId="041E4406" w:rsidR="009C0622" w:rsidRPr="009C0622" w:rsidRDefault="009C0622" w:rsidP="6F4C4DEA">
            <w:pPr>
              <w:cnfStyle w:val="000000100000" w:firstRow="0" w:lastRow="0" w:firstColumn="0" w:lastColumn="0" w:oddVBand="0" w:evenVBand="0" w:oddHBand="1" w:evenHBand="0" w:firstRowFirstColumn="0" w:firstRowLastColumn="0" w:lastRowFirstColumn="0" w:lastRowLastColumn="0"/>
              <w:rPr>
                <w:color w:val="000000" w:themeColor="text1"/>
              </w:rPr>
            </w:pPr>
            <w:r w:rsidRPr="6F4C4DEA">
              <w:rPr>
                <w:color w:val="000000" w:themeColor="text1"/>
              </w:rPr>
              <w:t xml:space="preserve">DESE notes that regular reporting is provided to the Executive </w:t>
            </w:r>
            <w:r w:rsidR="006A07D9">
              <w:rPr>
                <w:color w:val="000000" w:themeColor="text1"/>
              </w:rPr>
              <w:t xml:space="preserve">of the department </w:t>
            </w:r>
            <w:r w:rsidRPr="6F4C4DEA">
              <w:rPr>
                <w:color w:val="000000" w:themeColor="text1"/>
              </w:rPr>
              <w:t>on the SWP including access</w:t>
            </w:r>
            <w:r w:rsidR="006A07D9">
              <w:rPr>
                <w:color w:val="000000" w:themeColor="text1"/>
              </w:rPr>
              <w:t xml:space="preserve"> for the program delegate</w:t>
            </w:r>
            <w:r w:rsidRPr="6F4C4DEA">
              <w:rPr>
                <w:color w:val="000000" w:themeColor="text1"/>
              </w:rPr>
              <w:t xml:space="preserve"> to ‘real time’ reporting in SWP Online. All decisions taken by the department are informed by relevant and contemporaneous information.  </w:t>
            </w:r>
            <w:proofErr w:type="gramStart"/>
            <w:r w:rsidR="006A07D9">
              <w:rPr>
                <w:color w:val="000000" w:themeColor="text1"/>
              </w:rPr>
              <w:t>Additionally</w:t>
            </w:r>
            <w:proofErr w:type="gramEnd"/>
            <w:r w:rsidR="006A07D9">
              <w:rPr>
                <w:color w:val="000000" w:themeColor="text1"/>
              </w:rPr>
              <w:t xml:space="preserve"> t</w:t>
            </w:r>
            <w:r w:rsidRPr="6F4C4DEA">
              <w:rPr>
                <w:color w:val="000000" w:themeColor="text1"/>
              </w:rPr>
              <w:t xml:space="preserve">he SWP Branch provides a monthly report to the Department’s Program Integrity Sub Committee for Employment services on program compliance and assurance activities. </w:t>
            </w:r>
          </w:p>
          <w:p w14:paraId="4F8D1DB6" w14:textId="4147B37B" w:rsidR="006B494B" w:rsidRDefault="006B494B"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6F4C4DEA">
              <w:rPr>
                <w:rFonts w:asciiTheme="minorHAnsi" w:hAnsiTheme="minorHAnsi"/>
                <w:b w:val="0"/>
                <w:color w:val="000000" w:themeColor="text1"/>
                <w:lang w:val="en-AU"/>
              </w:rPr>
              <w:t>The</w:t>
            </w:r>
            <w:r w:rsidR="009C0622" w:rsidRPr="6F4C4DEA">
              <w:rPr>
                <w:rFonts w:asciiTheme="minorHAnsi" w:hAnsiTheme="minorHAnsi"/>
                <w:b w:val="0"/>
                <w:color w:val="000000" w:themeColor="text1"/>
                <w:lang w:val="en-AU"/>
              </w:rPr>
              <w:t xml:space="preserve"> responsibilities of the </w:t>
            </w:r>
            <w:r w:rsidRPr="6F4C4DEA">
              <w:rPr>
                <w:rFonts w:asciiTheme="minorHAnsi" w:hAnsiTheme="minorHAnsi"/>
                <w:b w:val="0"/>
                <w:color w:val="000000" w:themeColor="text1"/>
                <w:lang w:val="en-AU"/>
              </w:rPr>
              <w:t xml:space="preserve">Fair Work Ombudsman (FWO) </w:t>
            </w:r>
            <w:r w:rsidR="009C0622" w:rsidRPr="6F4C4DEA">
              <w:rPr>
                <w:rFonts w:asciiTheme="minorHAnsi" w:hAnsiTheme="minorHAnsi"/>
                <w:b w:val="0"/>
                <w:color w:val="000000" w:themeColor="text1"/>
                <w:lang w:val="en-AU"/>
              </w:rPr>
              <w:t xml:space="preserve">are defined by </w:t>
            </w:r>
            <w:r w:rsidRPr="6F4C4DEA">
              <w:rPr>
                <w:rFonts w:asciiTheme="minorHAnsi" w:hAnsiTheme="minorHAnsi"/>
                <w:b w:val="0"/>
                <w:color w:val="000000" w:themeColor="text1"/>
                <w:lang w:val="en-AU"/>
              </w:rPr>
              <w:t xml:space="preserve">the Fair Work Act.  Accommodation arrangements for SWP and PLS workers are not included in FWO scope (other than to ensure accommodation deductions match what was agreed in writing), so they are unable to assess fair cost or suitability of accommodation. </w:t>
            </w:r>
          </w:p>
          <w:p w14:paraId="487C3BB2" w14:textId="18244D95" w:rsidR="006B494B" w:rsidRDefault="0006703F" w:rsidP="6F4C4DEA">
            <w:pPr>
              <w:pStyle w:val="TableHeaderRow"/>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b w:val="0"/>
                <w:color w:val="000000" w:themeColor="text1"/>
                <w:lang w:val="en-AU"/>
              </w:rPr>
            </w:pPr>
            <w:r w:rsidRPr="002D03D0">
              <w:rPr>
                <w:rFonts w:asciiTheme="minorHAnsi" w:hAnsiTheme="minorHAnsi"/>
                <w:b w:val="0"/>
                <w:color w:val="000000" w:themeColor="text1"/>
                <w:lang w:val="en-AU"/>
              </w:rPr>
              <w:t xml:space="preserve">Provided it is consistent with privacy and confidentiality obligations, </w:t>
            </w:r>
            <w:r w:rsidR="006B494B" w:rsidRPr="002D03D0">
              <w:rPr>
                <w:rFonts w:asciiTheme="minorHAnsi" w:hAnsiTheme="minorHAnsi"/>
                <w:b w:val="0"/>
                <w:color w:val="000000" w:themeColor="text1"/>
                <w:lang w:val="en-AU"/>
              </w:rPr>
              <w:t xml:space="preserve">DESE and DFAT </w:t>
            </w:r>
            <w:r w:rsidRPr="002D03D0">
              <w:rPr>
                <w:rFonts w:asciiTheme="minorHAnsi" w:hAnsiTheme="minorHAnsi"/>
                <w:b w:val="0"/>
                <w:color w:val="000000" w:themeColor="text1"/>
                <w:lang w:val="en-AU"/>
              </w:rPr>
              <w:t>will</w:t>
            </w:r>
            <w:r w:rsidR="006B494B" w:rsidRPr="002D03D0">
              <w:rPr>
                <w:rFonts w:asciiTheme="minorHAnsi" w:hAnsiTheme="minorHAnsi"/>
                <w:b w:val="0"/>
                <w:color w:val="000000" w:themeColor="text1"/>
                <w:lang w:val="en-AU"/>
              </w:rPr>
              <w:t xml:space="preserve"> share assurance reports on Approved Employers who are active in both SWP and PLS. </w:t>
            </w:r>
          </w:p>
          <w:p w14:paraId="4A6E2C64" w14:textId="277F8537" w:rsidR="006B494B" w:rsidRPr="0075002C" w:rsidRDefault="006B494B" w:rsidP="6F4C4DEA">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B494B" w:rsidRPr="00223690" w14:paraId="5AB784AF" w14:textId="77777777" w:rsidTr="47190ECC">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678" w:type="dxa"/>
            <w:shd w:val="clear" w:color="auto" w:fill="FFFFFF" w:themeFill="background1"/>
          </w:tcPr>
          <w:p w14:paraId="1D87F617" w14:textId="77777777" w:rsidR="006B494B" w:rsidRPr="002D03D0" w:rsidRDefault="006B494B" w:rsidP="6F4C4DEA">
            <w:pPr>
              <w:pStyle w:val="ListParagraph"/>
              <w:ind w:left="0"/>
              <w:contextualSpacing w:val="0"/>
              <w:rPr>
                <w:rFonts w:asciiTheme="minorHAnsi" w:hAnsiTheme="minorHAnsi"/>
                <w:b/>
                <w:bCs/>
                <w:color w:val="000000" w:themeColor="text1"/>
              </w:rPr>
            </w:pPr>
            <w:r w:rsidRPr="002D03D0">
              <w:rPr>
                <w:rFonts w:asciiTheme="minorHAnsi" w:hAnsiTheme="minorHAnsi"/>
                <w:b/>
                <w:bCs/>
                <w:color w:val="000000" w:themeColor="text1"/>
              </w:rPr>
              <w:lastRenderedPageBreak/>
              <w:t>Recommendation 5</w:t>
            </w:r>
          </w:p>
          <w:p w14:paraId="03F88628" w14:textId="77777777" w:rsidR="006B494B" w:rsidRPr="002D03D0" w:rsidRDefault="006B494B" w:rsidP="6F4C4DEA">
            <w:pPr>
              <w:pStyle w:val="ListParagraph"/>
              <w:ind w:left="0"/>
              <w:contextualSpacing w:val="0"/>
              <w:rPr>
                <w:rFonts w:asciiTheme="minorHAnsi" w:hAnsiTheme="minorHAnsi"/>
                <w:color w:val="000000" w:themeColor="text1"/>
              </w:rPr>
            </w:pPr>
            <w:r w:rsidRPr="002D03D0">
              <w:rPr>
                <w:rFonts w:asciiTheme="minorHAnsi" w:hAnsiTheme="minorHAnsi"/>
                <w:color w:val="000000" w:themeColor="text1"/>
              </w:rPr>
              <w:t xml:space="preserve">We recommend that the PLS explore initiatives to support PLS workers to find their own accommodation. Examples include: </w:t>
            </w:r>
          </w:p>
          <w:p w14:paraId="703F700A" w14:textId="77777777" w:rsidR="006B494B" w:rsidRPr="002D03D0" w:rsidRDefault="006B494B" w:rsidP="6F4C4DEA">
            <w:pPr>
              <w:pStyle w:val="ListParagraph"/>
              <w:numPr>
                <w:ilvl w:val="0"/>
                <w:numId w:val="11"/>
              </w:numPr>
              <w:ind w:left="714" w:hanging="357"/>
              <w:contextualSpacing w:val="0"/>
              <w:rPr>
                <w:rFonts w:asciiTheme="minorHAnsi" w:hAnsiTheme="minorHAnsi"/>
                <w:color w:val="000000" w:themeColor="text1"/>
              </w:rPr>
            </w:pPr>
            <w:r w:rsidRPr="002D03D0">
              <w:rPr>
                <w:rFonts w:asciiTheme="minorHAnsi" w:hAnsiTheme="minorHAnsi"/>
                <w:color w:val="000000" w:themeColor="text1"/>
              </w:rPr>
              <w:t>Educating PLS workers on how rental arrangements work in Australia</w:t>
            </w:r>
          </w:p>
          <w:p w14:paraId="7AEF8E1B" w14:textId="4CBA22B9" w:rsidR="006B494B" w:rsidRPr="002D03D0" w:rsidRDefault="006B494B" w:rsidP="6F4C4DEA">
            <w:pPr>
              <w:pStyle w:val="ListParagraph"/>
              <w:numPr>
                <w:ilvl w:val="0"/>
                <w:numId w:val="11"/>
              </w:numPr>
              <w:spacing w:line="240" w:lineRule="auto"/>
              <w:ind w:left="714" w:hanging="357"/>
              <w:rPr>
                <w:rFonts w:asciiTheme="minorHAnsi" w:hAnsiTheme="minorHAnsi"/>
                <w:color w:val="000000" w:themeColor="text1"/>
              </w:rPr>
            </w:pPr>
            <w:r w:rsidRPr="002D03D0">
              <w:rPr>
                <w:rFonts w:asciiTheme="minorHAnsi" w:hAnsiTheme="minorHAnsi"/>
                <w:color w:val="000000" w:themeColor="text1"/>
              </w:rPr>
              <w:t xml:space="preserve">Encouraging PLS workers to engage with other PLS workers who have entered private accommodation arrangements, to gain a better understanding of rental requirements and tenant obligations. </w:t>
            </w:r>
          </w:p>
        </w:tc>
        <w:tc>
          <w:tcPr>
            <w:tcW w:w="9497" w:type="dxa"/>
            <w:shd w:val="clear" w:color="auto" w:fill="FFFFFF" w:themeFill="background1"/>
          </w:tcPr>
          <w:p w14:paraId="08E1A8BD" w14:textId="0A989596" w:rsidR="006B494B" w:rsidRPr="002D03D0" w:rsidRDefault="006B494B" w:rsidP="6F4C4DEA">
            <w:pPr>
              <w:spacing w:before="120"/>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lang w:val="en-GB"/>
              </w:rPr>
            </w:pPr>
            <w:r w:rsidRPr="002D03D0">
              <w:rPr>
                <w:rFonts w:eastAsia="Calibri" w:cs="Calibri"/>
                <w:color w:val="000000" w:themeColor="text1"/>
                <w:lang w:val="en-GB"/>
              </w:rPr>
              <w:t xml:space="preserve">Agree, in principle. Implementation outlined below. </w:t>
            </w:r>
          </w:p>
          <w:p w14:paraId="1DA5ECC7" w14:textId="43C117D5" w:rsidR="006B494B" w:rsidRPr="002D03D0" w:rsidRDefault="006B494B" w:rsidP="6F4C4DEA">
            <w:pPr>
              <w:spacing w:before="120"/>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lang w:val="en-GB"/>
              </w:rPr>
            </w:pPr>
            <w:r w:rsidRPr="002D03D0">
              <w:rPr>
                <w:rFonts w:eastAsia="Calibri" w:cs="Calibri"/>
                <w:color w:val="000000" w:themeColor="text1"/>
                <w:lang w:val="en-GB"/>
              </w:rPr>
              <w:t>PLS AE</w:t>
            </w:r>
            <w:r w:rsidR="007F2455" w:rsidRPr="002D03D0">
              <w:rPr>
                <w:rFonts w:eastAsia="Calibri" w:cs="Calibri"/>
                <w:color w:val="000000" w:themeColor="text1"/>
                <w:lang w:val="en-GB"/>
              </w:rPr>
              <w:t>s</w:t>
            </w:r>
            <w:r w:rsidRPr="002D03D0">
              <w:rPr>
                <w:rFonts w:eastAsia="Calibri" w:cs="Calibri"/>
                <w:color w:val="000000" w:themeColor="text1"/>
                <w:lang w:val="en-GB"/>
              </w:rPr>
              <w:t xml:space="preserve"> are required to provide a minimum of 3 months of accommodation for new workers. SWP AEs are required to provide accommodation for whole contract period for SWP workers. </w:t>
            </w:r>
          </w:p>
          <w:p w14:paraId="69B6D2EA" w14:textId="3395757C" w:rsidR="006B494B" w:rsidRPr="002D03D0" w:rsidRDefault="006B494B" w:rsidP="6F4C4DEA">
            <w:pPr>
              <w:spacing w:before="120"/>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lang w:val="en-GB"/>
              </w:rPr>
            </w:pPr>
            <w:r w:rsidRPr="002D03D0">
              <w:rPr>
                <w:rFonts w:eastAsia="Calibri" w:cs="Calibri"/>
                <w:color w:val="000000" w:themeColor="text1"/>
                <w:lang w:val="en-GB"/>
              </w:rPr>
              <w:t xml:space="preserve">The PLF will develop </w:t>
            </w:r>
            <w:r w:rsidR="00DE6599" w:rsidRPr="002D03D0">
              <w:rPr>
                <w:rFonts w:eastAsia="Calibri" w:cs="Calibri"/>
                <w:color w:val="000000" w:themeColor="text1"/>
                <w:lang w:val="en-GB"/>
              </w:rPr>
              <w:t xml:space="preserve">information </w:t>
            </w:r>
            <w:r w:rsidRPr="002D03D0">
              <w:rPr>
                <w:rFonts w:eastAsia="Calibri" w:cs="Calibri"/>
                <w:color w:val="000000" w:themeColor="text1"/>
                <w:lang w:val="en-GB"/>
              </w:rPr>
              <w:t xml:space="preserve">resources to support workers who want to find and </w:t>
            </w:r>
            <w:proofErr w:type="gramStart"/>
            <w:r w:rsidRPr="002D03D0">
              <w:rPr>
                <w:rFonts w:eastAsia="Calibri" w:cs="Calibri"/>
                <w:color w:val="000000" w:themeColor="text1"/>
                <w:lang w:val="en-GB"/>
              </w:rPr>
              <w:t>enter into</w:t>
            </w:r>
            <w:proofErr w:type="gramEnd"/>
            <w:r w:rsidRPr="002D03D0">
              <w:rPr>
                <w:rFonts w:eastAsia="Calibri" w:cs="Calibri"/>
                <w:color w:val="000000" w:themeColor="text1"/>
                <w:lang w:val="en-GB"/>
              </w:rPr>
              <w:t xml:space="preserve"> a private accommodation arrangement, after their initial 3 months in AE provided accommodation. The PLF however will not proactively encourage workers who may not be ready to seek accommodation separate to that arranged by the AE. This recognises that many workers need time to adjust to life in Australia and will require additional support from their AE. </w:t>
            </w:r>
            <w:r w:rsidR="00DE6599" w:rsidRPr="002D03D0">
              <w:rPr>
                <w:rFonts w:eastAsia="Calibri" w:cs="Calibri"/>
                <w:color w:val="000000" w:themeColor="text1"/>
                <w:lang w:val="en-GB"/>
              </w:rPr>
              <w:t xml:space="preserve">Workers requiring assistance can also contact the PLF Welfare Hotline. </w:t>
            </w:r>
          </w:p>
          <w:p w14:paraId="1C448921" w14:textId="49A0D50A" w:rsidR="006B494B" w:rsidRPr="002D03D0" w:rsidRDefault="006B494B" w:rsidP="6F4C4DEA">
            <w:pPr>
              <w:spacing w:before="120"/>
              <w:cnfStyle w:val="000000010000" w:firstRow="0" w:lastRow="0" w:firstColumn="0" w:lastColumn="0" w:oddVBand="0" w:evenVBand="0" w:oddHBand="0" w:evenHBand="1" w:firstRowFirstColumn="0" w:firstRowLastColumn="0" w:lastRowFirstColumn="0" w:lastRowLastColumn="0"/>
              <w:rPr>
                <w:rFonts w:eastAsia="Calibri" w:cs="Calibri"/>
                <w:color w:val="000000" w:themeColor="text1"/>
                <w:lang w:val="en-GB"/>
              </w:rPr>
            </w:pPr>
            <w:r w:rsidRPr="002D03D0">
              <w:rPr>
                <w:rFonts w:eastAsia="Calibri" w:cs="Calibri"/>
                <w:color w:val="000000" w:themeColor="text1"/>
                <w:lang w:val="en-GB"/>
              </w:rPr>
              <w:t>Guidance on self-sourced accommodation for workers is also provided in the</w:t>
            </w:r>
            <w:r w:rsidR="006F03F9" w:rsidRPr="002D03D0">
              <w:rPr>
                <w:rFonts w:eastAsia="Calibri" w:cs="Calibri"/>
                <w:color w:val="000000" w:themeColor="text1"/>
                <w:lang w:val="en-GB"/>
              </w:rPr>
              <w:t xml:space="preserve"> PLS</w:t>
            </w:r>
            <w:r w:rsidRPr="002D03D0">
              <w:rPr>
                <w:rFonts w:eastAsia="Calibri" w:cs="Calibri"/>
                <w:color w:val="000000" w:themeColor="text1"/>
                <w:lang w:val="en-GB"/>
              </w:rPr>
              <w:t xml:space="preserve"> AE guidelines.  </w:t>
            </w:r>
          </w:p>
        </w:tc>
      </w:tr>
      <w:bookmarkEnd w:id="0"/>
    </w:tbl>
    <w:p w14:paraId="4B796354" w14:textId="0AB99439" w:rsidR="00AE4198" w:rsidRPr="001B5D63" w:rsidRDefault="00AE4198">
      <w:pPr>
        <w:rPr>
          <w:i/>
          <w:iCs/>
        </w:rPr>
      </w:pPr>
    </w:p>
    <w:sectPr w:rsidR="00AE4198" w:rsidRPr="001B5D63" w:rsidSect="009C0622">
      <w:pgSz w:w="16838" w:h="11906" w:orient="landscape"/>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E820" w14:textId="77777777" w:rsidR="00EA3E28" w:rsidRDefault="00EA3E28" w:rsidP="00231099">
      <w:pPr>
        <w:spacing w:after="0" w:line="240" w:lineRule="auto"/>
      </w:pPr>
      <w:r>
        <w:separator/>
      </w:r>
    </w:p>
  </w:endnote>
  <w:endnote w:type="continuationSeparator" w:id="0">
    <w:p w14:paraId="2EC7478D" w14:textId="77777777" w:rsidR="00EA3E28" w:rsidRDefault="00EA3E28" w:rsidP="0023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CF6D9" w14:textId="77777777" w:rsidR="00EA3E28" w:rsidRDefault="00EA3E28" w:rsidP="00231099">
      <w:pPr>
        <w:spacing w:after="0" w:line="240" w:lineRule="auto"/>
      </w:pPr>
      <w:r>
        <w:separator/>
      </w:r>
    </w:p>
  </w:footnote>
  <w:footnote w:type="continuationSeparator" w:id="0">
    <w:p w14:paraId="51A8A5F7" w14:textId="77777777" w:rsidR="00EA3E28" w:rsidRDefault="00EA3E28" w:rsidP="00231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08B"/>
    <w:multiLevelType w:val="hybridMultilevel"/>
    <w:tmpl w:val="E3386F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92529"/>
    <w:multiLevelType w:val="hybridMultilevel"/>
    <w:tmpl w:val="93CEBD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5764167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85802"/>
    <w:multiLevelType w:val="hybridMultilevel"/>
    <w:tmpl w:val="4C1ADEFE"/>
    <w:lvl w:ilvl="0" w:tplc="B95CA1A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373FB"/>
    <w:multiLevelType w:val="hybridMultilevel"/>
    <w:tmpl w:val="45622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4A6FDB"/>
    <w:multiLevelType w:val="hybridMultilevel"/>
    <w:tmpl w:val="9FF28944"/>
    <w:lvl w:ilvl="0" w:tplc="9A04FDB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E1D01"/>
    <w:multiLevelType w:val="hybridMultilevel"/>
    <w:tmpl w:val="5C6AB9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5764167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BE7002"/>
    <w:multiLevelType w:val="hybridMultilevel"/>
    <w:tmpl w:val="DAEE7972"/>
    <w:lvl w:ilvl="0" w:tplc="C9D81C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C22A20"/>
    <w:multiLevelType w:val="hybridMultilevel"/>
    <w:tmpl w:val="78C24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6C3522F"/>
    <w:multiLevelType w:val="hybridMultilevel"/>
    <w:tmpl w:val="52505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2710A3"/>
    <w:multiLevelType w:val="hybridMultilevel"/>
    <w:tmpl w:val="FD36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0119B"/>
    <w:multiLevelType w:val="hybridMultilevel"/>
    <w:tmpl w:val="E09C83EE"/>
    <w:lvl w:ilvl="0" w:tplc="05608C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A121E7"/>
    <w:multiLevelType w:val="hybridMultilevel"/>
    <w:tmpl w:val="BCC8F844"/>
    <w:lvl w:ilvl="0" w:tplc="BB9AB1B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800F1A"/>
    <w:multiLevelType w:val="hybridMultilevel"/>
    <w:tmpl w:val="BA7A5C2C"/>
    <w:lvl w:ilvl="0" w:tplc="E5069AEC">
      <w:start w:val="1"/>
      <w:numFmt w:val="bullet"/>
      <w:lvlText w:val="-"/>
      <w:lvlJc w:val="left"/>
      <w:pPr>
        <w:ind w:left="360" w:firstLine="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73CC0"/>
    <w:multiLevelType w:val="hybridMultilevel"/>
    <w:tmpl w:val="FD9252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1E1E61"/>
    <w:multiLevelType w:val="hybridMultilevel"/>
    <w:tmpl w:val="3300F20C"/>
    <w:lvl w:ilvl="0" w:tplc="F8824F50">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D321B03"/>
    <w:multiLevelType w:val="hybridMultilevel"/>
    <w:tmpl w:val="E4702E48"/>
    <w:lvl w:ilvl="0" w:tplc="C6485778">
      <w:start w:val="1"/>
      <w:numFmt w:val="bullet"/>
      <w:lvlText w:val=""/>
      <w:lvlJc w:val="left"/>
      <w:pPr>
        <w:ind w:left="360" w:hanging="360"/>
      </w:pPr>
      <w:rPr>
        <w:rFonts w:ascii="Symbol" w:hAnsi="Symbol" w:hint="default"/>
      </w:rPr>
    </w:lvl>
    <w:lvl w:ilvl="1" w:tplc="17DA54B6">
      <w:start w:val="1"/>
      <w:numFmt w:val="bullet"/>
      <w:lvlText w:val="o"/>
      <w:lvlJc w:val="left"/>
      <w:pPr>
        <w:ind w:left="1080" w:hanging="360"/>
      </w:pPr>
      <w:rPr>
        <w:rFonts w:ascii="Courier New" w:hAnsi="Courier New" w:hint="default"/>
      </w:rPr>
    </w:lvl>
    <w:lvl w:ilvl="2" w:tplc="25B6F96A">
      <w:start w:val="1"/>
      <w:numFmt w:val="bullet"/>
      <w:lvlText w:val=""/>
      <w:lvlJc w:val="left"/>
      <w:pPr>
        <w:ind w:left="1800" w:hanging="360"/>
      </w:pPr>
      <w:rPr>
        <w:rFonts w:ascii="Wingdings" w:hAnsi="Wingdings" w:hint="default"/>
      </w:rPr>
    </w:lvl>
    <w:lvl w:ilvl="3" w:tplc="03843FC4">
      <w:start w:val="1"/>
      <w:numFmt w:val="bullet"/>
      <w:lvlText w:val=""/>
      <w:lvlJc w:val="left"/>
      <w:pPr>
        <w:ind w:left="2520" w:hanging="360"/>
      </w:pPr>
      <w:rPr>
        <w:rFonts w:ascii="Symbol" w:hAnsi="Symbol" w:hint="default"/>
      </w:rPr>
    </w:lvl>
    <w:lvl w:ilvl="4" w:tplc="BFB89E3E">
      <w:start w:val="1"/>
      <w:numFmt w:val="bullet"/>
      <w:lvlText w:val="o"/>
      <w:lvlJc w:val="left"/>
      <w:pPr>
        <w:ind w:left="3240" w:hanging="360"/>
      </w:pPr>
      <w:rPr>
        <w:rFonts w:ascii="Courier New" w:hAnsi="Courier New" w:hint="default"/>
      </w:rPr>
    </w:lvl>
    <w:lvl w:ilvl="5" w:tplc="2E3AC890">
      <w:start w:val="1"/>
      <w:numFmt w:val="bullet"/>
      <w:lvlText w:val=""/>
      <w:lvlJc w:val="left"/>
      <w:pPr>
        <w:ind w:left="3960" w:hanging="360"/>
      </w:pPr>
      <w:rPr>
        <w:rFonts w:ascii="Wingdings" w:hAnsi="Wingdings" w:hint="default"/>
      </w:rPr>
    </w:lvl>
    <w:lvl w:ilvl="6" w:tplc="B6A8F618">
      <w:start w:val="1"/>
      <w:numFmt w:val="bullet"/>
      <w:lvlText w:val=""/>
      <w:lvlJc w:val="left"/>
      <w:pPr>
        <w:ind w:left="4680" w:hanging="360"/>
      </w:pPr>
      <w:rPr>
        <w:rFonts w:ascii="Symbol" w:hAnsi="Symbol" w:hint="default"/>
      </w:rPr>
    </w:lvl>
    <w:lvl w:ilvl="7" w:tplc="860285A4">
      <w:start w:val="1"/>
      <w:numFmt w:val="bullet"/>
      <w:lvlText w:val="o"/>
      <w:lvlJc w:val="left"/>
      <w:pPr>
        <w:ind w:left="5400" w:hanging="360"/>
      </w:pPr>
      <w:rPr>
        <w:rFonts w:ascii="Courier New" w:hAnsi="Courier New" w:hint="default"/>
      </w:rPr>
    </w:lvl>
    <w:lvl w:ilvl="8" w:tplc="7A022664">
      <w:start w:val="1"/>
      <w:numFmt w:val="bullet"/>
      <w:lvlText w:val=""/>
      <w:lvlJc w:val="left"/>
      <w:pPr>
        <w:ind w:left="6120" w:hanging="360"/>
      </w:pPr>
      <w:rPr>
        <w:rFonts w:ascii="Wingdings" w:hAnsi="Wingdings" w:hint="default"/>
      </w:rPr>
    </w:lvl>
  </w:abstractNum>
  <w:abstractNum w:abstractNumId="16" w15:restartNumberingAfterBreak="0">
    <w:nsid w:val="7CBC168C"/>
    <w:multiLevelType w:val="hybridMultilevel"/>
    <w:tmpl w:val="D78CBE80"/>
    <w:lvl w:ilvl="0" w:tplc="0374EC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0"/>
  </w:num>
  <w:num w:numId="5">
    <w:abstractNumId w:val="6"/>
  </w:num>
  <w:num w:numId="6">
    <w:abstractNumId w:val="1"/>
  </w:num>
  <w:num w:numId="7">
    <w:abstractNumId w:val="13"/>
  </w:num>
  <w:num w:numId="8">
    <w:abstractNumId w:val="16"/>
  </w:num>
  <w:num w:numId="9">
    <w:abstractNumId w:val="2"/>
  </w:num>
  <w:num w:numId="10">
    <w:abstractNumId w:val="10"/>
  </w:num>
  <w:num w:numId="11">
    <w:abstractNumId w:val="8"/>
  </w:num>
  <w:num w:numId="12">
    <w:abstractNumId w:val="7"/>
  </w:num>
  <w:num w:numId="13">
    <w:abstractNumId w:val="3"/>
  </w:num>
  <w:num w:numId="14">
    <w:abstractNumId w:val="9"/>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90"/>
    <w:rsid w:val="0001276F"/>
    <w:rsid w:val="00023776"/>
    <w:rsid w:val="00027259"/>
    <w:rsid w:val="00031550"/>
    <w:rsid w:val="00042EA7"/>
    <w:rsid w:val="00044CBA"/>
    <w:rsid w:val="00050EEE"/>
    <w:rsid w:val="00055786"/>
    <w:rsid w:val="00056004"/>
    <w:rsid w:val="000612F7"/>
    <w:rsid w:val="00065C58"/>
    <w:rsid w:val="0006703F"/>
    <w:rsid w:val="00073252"/>
    <w:rsid w:val="0007418C"/>
    <w:rsid w:val="00077D3A"/>
    <w:rsid w:val="0008254A"/>
    <w:rsid w:val="0009169A"/>
    <w:rsid w:val="00096661"/>
    <w:rsid w:val="000A3D92"/>
    <w:rsid w:val="000A71D6"/>
    <w:rsid w:val="000A73AA"/>
    <w:rsid w:val="000B3144"/>
    <w:rsid w:val="000B444E"/>
    <w:rsid w:val="000C2D76"/>
    <w:rsid w:val="000D2590"/>
    <w:rsid w:val="000D6C58"/>
    <w:rsid w:val="00107697"/>
    <w:rsid w:val="00112566"/>
    <w:rsid w:val="0011310B"/>
    <w:rsid w:val="0011554B"/>
    <w:rsid w:val="00127142"/>
    <w:rsid w:val="00133BFD"/>
    <w:rsid w:val="00143399"/>
    <w:rsid w:val="001455FE"/>
    <w:rsid w:val="0015076A"/>
    <w:rsid w:val="00171F36"/>
    <w:rsid w:val="001725A1"/>
    <w:rsid w:val="00180FD9"/>
    <w:rsid w:val="00181FBC"/>
    <w:rsid w:val="00182F3A"/>
    <w:rsid w:val="00191C61"/>
    <w:rsid w:val="00196481"/>
    <w:rsid w:val="001A4830"/>
    <w:rsid w:val="001B5D63"/>
    <w:rsid w:val="001B7D8A"/>
    <w:rsid w:val="001C179A"/>
    <w:rsid w:val="001D0273"/>
    <w:rsid w:val="001D6ABB"/>
    <w:rsid w:val="00220E34"/>
    <w:rsid w:val="002216F6"/>
    <w:rsid w:val="00223690"/>
    <w:rsid w:val="00226DEB"/>
    <w:rsid w:val="002300DF"/>
    <w:rsid w:val="00231099"/>
    <w:rsid w:val="00235572"/>
    <w:rsid w:val="00240E46"/>
    <w:rsid w:val="00244556"/>
    <w:rsid w:val="00246E2A"/>
    <w:rsid w:val="00251874"/>
    <w:rsid w:val="00251AAC"/>
    <w:rsid w:val="002549AC"/>
    <w:rsid w:val="0026254E"/>
    <w:rsid w:val="00262709"/>
    <w:rsid w:val="00271CFC"/>
    <w:rsid w:val="00272258"/>
    <w:rsid w:val="00272CDE"/>
    <w:rsid w:val="00274B4B"/>
    <w:rsid w:val="002767F1"/>
    <w:rsid w:val="002773E9"/>
    <w:rsid w:val="00284C46"/>
    <w:rsid w:val="00290B9A"/>
    <w:rsid w:val="002964BF"/>
    <w:rsid w:val="002A32BB"/>
    <w:rsid w:val="002B374E"/>
    <w:rsid w:val="002C7CCC"/>
    <w:rsid w:val="002D03D0"/>
    <w:rsid w:val="002D2DE7"/>
    <w:rsid w:val="002F08C8"/>
    <w:rsid w:val="002F4F23"/>
    <w:rsid w:val="002F7C9F"/>
    <w:rsid w:val="00300392"/>
    <w:rsid w:val="003023EA"/>
    <w:rsid w:val="00314B0F"/>
    <w:rsid w:val="00321565"/>
    <w:rsid w:val="0033292A"/>
    <w:rsid w:val="00332B90"/>
    <w:rsid w:val="00356603"/>
    <w:rsid w:val="00374DB9"/>
    <w:rsid w:val="00374E6B"/>
    <w:rsid w:val="0039397F"/>
    <w:rsid w:val="00395707"/>
    <w:rsid w:val="003A25E2"/>
    <w:rsid w:val="003A43D9"/>
    <w:rsid w:val="003A6FAB"/>
    <w:rsid w:val="003A7EF5"/>
    <w:rsid w:val="003B1FDF"/>
    <w:rsid w:val="003B29FE"/>
    <w:rsid w:val="003B6494"/>
    <w:rsid w:val="003C24EB"/>
    <w:rsid w:val="003C52DD"/>
    <w:rsid w:val="003C6F73"/>
    <w:rsid w:val="003D4CD4"/>
    <w:rsid w:val="00404D00"/>
    <w:rsid w:val="004057CA"/>
    <w:rsid w:val="004212C9"/>
    <w:rsid w:val="00421F78"/>
    <w:rsid w:val="004335E2"/>
    <w:rsid w:val="00456872"/>
    <w:rsid w:val="004645BD"/>
    <w:rsid w:val="0047080F"/>
    <w:rsid w:val="004853FF"/>
    <w:rsid w:val="00493A94"/>
    <w:rsid w:val="00494D56"/>
    <w:rsid w:val="004B2293"/>
    <w:rsid w:val="004C2C51"/>
    <w:rsid w:val="004C3574"/>
    <w:rsid w:val="004C41DB"/>
    <w:rsid w:val="004D37AF"/>
    <w:rsid w:val="004D6A1D"/>
    <w:rsid w:val="004D736D"/>
    <w:rsid w:val="004E5D9D"/>
    <w:rsid w:val="004E7228"/>
    <w:rsid w:val="00503E8D"/>
    <w:rsid w:val="005122B7"/>
    <w:rsid w:val="00520844"/>
    <w:rsid w:val="00525EAC"/>
    <w:rsid w:val="00540C54"/>
    <w:rsid w:val="00557C8C"/>
    <w:rsid w:val="00573AD9"/>
    <w:rsid w:val="00583EB8"/>
    <w:rsid w:val="00594187"/>
    <w:rsid w:val="005A142D"/>
    <w:rsid w:val="005A28D0"/>
    <w:rsid w:val="005A2DC6"/>
    <w:rsid w:val="005A2F3C"/>
    <w:rsid w:val="005A2F7B"/>
    <w:rsid w:val="005A3BE4"/>
    <w:rsid w:val="005C1165"/>
    <w:rsid w:val="005C4F22"/>
    <w:rsid w:val="005C62F6"/>
    <w:rsid w:val="005D0C00"/>
    <w:rsid w:val="005F18D2"/>
    <w:rsid w:val="005F2B0B"/>
    <w:rsid w:val="00600C54"/>
    <w:rsid w:val="0061130B"/>
    <w:rsid w:val="006174D8"/>
    <w:rsid w:val="00617704"/>
    <w:rsid w:val="00623C84"/>
    <w:rsid w:val="00626E86"/>
    <w:rsid w:val="00634A91"/>
    <w:rsid w:val="00643B5A"/>
    <w:rsid w:val="0064541F"/>
    <w:rsid w:val="006471EC"/>
    <w:rsid w:val="006555CE"/>
    <w:rsid w:val="00666E0C"/>
    <w:rsid w:val="00667160"/>
    <w:rsid w:val="00671410"/>
    <w:rsid w:val="00671485"/>
    <w:rsid w:val="00685D0A"/>
    <w:rsid w:val="00692ED7"/>
    <w:rsid w:val="006A07D9"/>
    <w:rsid w:val="006A225D"/>
    <w:rsid w:val="006A471F"/>
    <w:rsid w:val="006B494B"/>
    <w:rsid w:val="006E1738"/>
    <w:rsid w:val="006E6FB8"/>
    <w:rsid w:val="006F0285"/>
    <w:rsid w:val="006F03F9"/>
    <w:rsid w:val="006F0F0C"/>
    <w:rsid w:val="006F771A"/>
    <w:rsid w:val="007036E9"/>
    <w:rsid w:val="00713921"/>
    <w:rsid w:val="0072496C"/>
    <w:rsid w:val="00735443"/>
    <w:rsid w:val="0074032E"/>
    <w:rsid w:val="00747F11"/>
    <w:rsid w:val="0075002C"/>
    <w:rsid w:val="0075139F"/>
    <w:rsid w:val="00753299"/>
    <w:rsid w:val="00753D66"/>
    <w:rsid w:val="00755FDB"/>
    <w:rsid w:val="00764527"/>
    <w:rsid w:val="0077014F"/>
    <w:rsid w:val="00771525"/>
    <w:rsid w:val="00776F18"/>
    <w:rsid w:val="00781511"/>
    <w:rsid w:val="007A6702"/>
    <w:rsid w:val="007C0D4D"/>
    <w:rsid w:val="007C5D12"/>
    <w:rsid w:val="007D0944"/>
    <w:rsid w:val="007D63C3"/>
    <w:rsid w:val="007E2338"/>
    <w:rsid w:val="007F2455"/>
    <w:rsid w:val="007F287A"/>
    <w:rsid w:val="00805ABF"/>
    <w:rsid w:val="0081139B"/>
    <w:rsid w:val="0081461D"/>
    <w:rsid w:val="008172E6"/>
    <w:rsid w:val="0082268C"/>
    <w:rsid w:val="00826412"/>
    <w:rsid w:val="00840018"/>
    <w:rsid w:val="008672F2"/>
    <w:rsid w:val="00877866"/>
    <w:rsid w:val="00881A4A"/>
    <w:rsid w:val="00895471"/>
    <w:rsid w:val="00897C5F"/>
    <w:rsid w:val="008B37B5"/>
    <w:rsid w:val="008C677F"/>
    <w:rsid w:val="008F3F56"/>
    <w:rsid w:val="00901173"/>
    <w:rsid w:val="0091162C"/>
    <w:rsid w:val="0091187C"/>
    <w:rsid w:val="009154AE"/>
    <w:rsid w:val="00924F28"/>
    <w:rsid w:val="009266D4"/>
    <w:rsid w:val="00927993"/>
    <w:rsid w:val="009338E9"/>
    <w:rsid w:val="00944D01"/>
    <w:rsid w:val="0095406D"/>
    <w:rsid w:val="00956C7B"/>
    <w:rsid w:val="009575D8"/>
    <w:rsid w:val="0096471F"/>
    <w:rsid w:val="00966833"/>
    <w:rsid w:val="00970865"/>
    <w:rsid w:val="00986760"/>
    <w:rsid w:val="009919EC"/>
    <w:rsid w:val="009B4D48"/>
    <w:rsid w:val="009C0622"/>
    <w:rsid w:val="009D015F"/>
    <w:rsid w:val="009D3173"/>
    <w:rsid w:val="009D6AC3"/>
    <w:rsid w:val="009E3027"/>
    <w:rsid w:val="009F6590"/>
    <w:rsid w:val="00A01397"/>
    <w:rsid w:val="00A2051E"/>
    <w:rsid w:val="00A23FA1"/>
    <w:rsid w:val="00A34CAD"/>
    <w:rsid w:val="00A40731"/>
    <w:rsid w:val="00A529D1"/>
    <w:rsid w:val="00A5509B"/>
    <w:rsid w:val="00A6474A"/>
    <w:rsid w:val="00A750A5"/>
    <w:rsid w:val="00A75E14"/>
    <w:rsid w:val="00A81113"/>
    <w:rsid w:val="00A876B3"/>
    <w:rsid w:val="00A90DC3"/>
    <w:rsid w:val="00A93AF2"/>
    <w:rsid w:val="00AA498D"/>
    <w:rsid w:val="00AA6006"/>
    <w:rsid w:val="00AB01E8"/>
    <w:rsid w:val="00AB2688"/>
    <w:rsid w:val="00AC17DC"/>
    <w:rsid w:val="00AC4004"/>
    <w:rsid w:val="00AC5070"/>
    <w:rsid w:val="00AD1C2C"/>
    <w:rsid w:val="00AE2E9B"/>
    <w:rsid w:val="00AE4198"/>
    <w:rsid w:val="00AF36B3"/>
    <w:rsid w:val="00B06655"/>
    <w:rsid w:val="00B1271F"/>
    <w:rsid w:val="00B20B01"/>
    <w:rsid w:val="00B25CFA"/>
    <w:rsid w:val="00B37D6D"/>
    <w:rsid w:val="00B4011F"/>
    <w:rsid w:val="00B40467"/>
    <w:rsid w:val="00B43354"/>
    <w:rsid w:val="00B43FB8"/>
    <w:rsid w:val="00B44419"/>
    <w:rsid w:val="00B4750B"/>
    <w:rsid w:val="00B6503D"/>
    <w:rsid w:val="00B768D6"/>
    <w:rsid w:val="00BB3623"/>
    <w:rsid w:val="00BC7744"/>
    <w:rsid w:val="00BD6847"/>
    <w:rsid w:val="00BD6B18"/>
    <w:rsid w:val="00BD7849"/>
    <w:rsid w:val="00BE1073"/>
    <w:rsid w:val="00C01FDD"/>
    <w:rsid w:val="00C44E66"/>
    <w:rsid w:val="00C457D5"/>
    <w:rsid w:val="00C46095"/>
    <w:rsid w:val="00C54617"/>
    <w:rsid w:val="00C57411"/>
    <w:rsid w:val="00C574A4"/>
    <w:rsid w:val="00C71C71"/>
    <w:rsid w:val="00C80735"/>
    <w:rsid w:val="00C93BC1"/>
    <w:rsid w:val="00C96C30"/>
    <w:rsid w:val="00CC73E7"/>
    <w:rsid w:val="00CD3647"/>
    <w:rsid w:val="00CD6860"/>
    <w:rsid w:val="00CF1E5A"/>
    <w:rsid w:val="00D070C1"/>
    <w:rsid w:val="00D1000C"/>
    <w:rsid w:val="00D1072D"/>
    <w:rsid w:val="00D15927"/>
    <w:rsid w:val="00D26E22"/>
    <w:rsid w:val="00D3141A"/>
    <w:rsid w:val="00D32542"/>
    <w:rsid w:val="00D4099B"/>
    <w:rsid w:val="00D50373"/>
    <w:rsid w:val="00D60D28"/>
    <w:rsid w:val="00D63E8C"/>
    <w:rsid w:val="00D80148"/>
    <w:rsid w:val="00D908DC"/>
    <w:rsid w:val="00DA236C"/>
    <w:rsid w:val="00DB6E9F"/>
    <w:rsid w:val="00DC02BE"/>
    <w:rsid w:val="00DD5F2D"/>
    <w:rsid w:val="00DE0204"/>
    <w:rsid w:val="00DE2F79"/>
    <w:rsid w:val="00DE6599"/>
    <w:rsid w:val="00DF0ECF"/>
    <w:rsid w:val="00E15D5B"/>
    <w:rsid w:val="00E3633F"/>
    <w:rsid w:val="00E400DB"/>
    <w:rsid w:val="00E429F9"/>
    <w:rsid w:val="00E474A3"/>
    <w:rsid w:val="00E50EB7"/>
    <w:rsid w:val="00E525C1"/>
    <w:rsid w:val="00E63369"/>
    <w:rsid w:val="00E659F3"/>
    <w:rsid w:val="00E67D82"/>
    <w:rsid w:val="00E76DFC"/>
    <w:rsid w:val="00E87673"/>
    <w:rsid w:val="00E87797"/>
    <w:rsid w:val="00E909C2"/>
    <w:rsid w:val="00E96D34"/>
    <w:rsid w:val="00EA3E28"/>
    <w:rsid w:val="00EB147D"/>
    <w:rsid w:val="00EB68B1"/>
    <w:rsid w:val="00ED2FED"/>
    <w:rsid w:val="00ED47DA"/>
    <w:rsid w:val="00ED51B2"/>
    <w:rsid w:val="00EE0B3A"/>
    <w:rsid w:val="00EE55C3"/>
    <w:rsid w:val="00F00FB3"/>
    <w:rsid w:val="00F03819"/>
    <w:rsid w:val="00F32E83"/>
    <w:rsid w:val="00F37083"/>
    <w:rsid w:val="00F40C09"/>
    <w:rsid w:val="00F42F48"/>
    <w:rsid w:val="00F51C05"/>
    <w:rsid w:val="00F549A8"/>
    <w:rsid w:val="00F755A0"/>
    <w:rsid w:val="00F77BBE"/>
    <w:rsid w:val="00F8013C"/>
    <w:rsid w:val="00F836DE"/>
    <w:rsid w:val="00F83B60"/>
    <w:rsid w:val="00F90829"/>
    <w:rsid w:val="00F911B7"/>
    <w:rsid w:val="00F953A2"/>
    <w:rsid w:val="00F97241"/>
    <w:rsid w:val="00FA2C62"/>
    <w:rsid w:val="00FB5113"/>
    <w:rsid w:val="00FF409D"/>
    <w:rsid w:val="055E223F"/>
    <w:rsid w:val="0EFA9A7C"/>
    <w:rsid w:val="134EB397"/>
    <w:rsid w:val="1A4C695B"/>
    <w:rsid w:val="1AFEDA2C"/>
    <w:rsid w:val="1BE4C80B"/>
    <w:rsid w:val="21919346"/>
    <w:rsid w:val="274900FF"/>
    <w:rsid w:val="29F0FD82"/>
    <w:rsid w:val="2DE7258A"/>
    <w:rsid w:val="34BBC56C"/>
    <w:rsid w:val="34E74558"/>
    <w:rsid w:val="365795CD"/>
    <w:rsid w:val="3692AB2C"/>
    <w:rsid w:val="3C1958C3"/>
    <w:rsid w:val="402BA449"/>
    <w:rsid w:val="410B6363"/>
    <w:rsid w:val="414AEFC3"/>
    <w:rsid w:val="46EB3C7D"/>
    <w:rsid w:val="47190ECC"/>
    <w:rsid w:val="48FD4CEB"/>
    <w:rsid w:val="494866DB"/>
    <w:rsid w:val="4A991D4C"/>
    <w:rsid w:val="4C15B7D7"/>
    <w:rsid w:val="4C361C9D"/>
    <w:rsid w:val="519F3167"/>
    <w:rsid w:val="576BB7B1"/>
    <w:rsid w:val="592B2E0B"/>
    <w:rsid w:val="5A4AFBA7"/>
    <w:rsid w:val="5C05513A"/>
    <w:rsid w:val="5FC2EA46"/>
    <w:rsid w:val="605D4CCF"/>
    <w:rsid w:val="636EB8CD"/>
    <w:rsid w:val="6F4C4DEA"/>
    <w:rsid w:val="7314722A"/>
    <w:rsid w:val="7DE74F4F"/>
    <w:rsid w:val="7E59BA6D"/>
    <w:rsid w:val="7E71A262"/>
    <w:rsid w:val="7FE52C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594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CD4"/>
    <w:pPr>
      <w:pBdr>
        <w:bottom w:val="single" w:sz="4" w:space="1" w:color="auto"/>
      </w:pBd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90"/>
    <w:rPr>
      <w:rFonts w:ascii="Segoe UI" w:hAnsi="Segoe UI" w:cs="Segoe UI"/>
      <w:sz w:val="18"/>
      <w:szCs w:val="18"/>
    </w:rPr>
  </w:style>
  <w:style w:type="paragraph" w:styleId="ListParagraph">
    <w:name w:val="List Paragraph"/>
    <w:basedOn w:val="Normal"/>
    <w:link w:val="ListParagraphChar"/>
    <w:uiPriority w:val="34"/>
    <w:qFormat/>
    <w:rsid w:val="009F6590"/>
    <w:pPr>
      <w:ind w:left="720"/>
      <w:contextualSpacing/>
    </w:pPr>
  </w:style>
  <w:style w:type="paragraph" w:customStyle="1" w:styleId="TableHeaderRow">
    <w:name w:val="Table Header Row"/>
    <w:basedOn w:val="Normal"/>
    <w:qFormat/>
    <w:rsid w:val="00877866"/>
    <w:pPr>
      <w:suppressAutoHyphens/>
      <w:spacing w:before="60" w:after="60" w:line="260" w:lineRule="atLeast"/>
    </w:pPr>
    <w:rPr>
      <w:rFonts w:ascii="Calibri" w:hAnsi="Calibri"/>
      <w:b/>
      <w:color w:val="FFFFFF" w:themeColor="background1"/>
      <w:szCs w:val="21"/>
      <w:lang w:val="en-GB"/>
    </w:rPr>
  </w:style>
  <w:style w:type="table" w:customStyle="1" w:styleId="DFATTable1">
    <w:name w:val="DFAT Table 1"/>
    <w:basedOn w:val="TableNormal"/>
    <w:uiPriority w:val="99"/>
    <w:rsid w:val="00877866"/>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E15D5B"/>
    <w:rPr>
      <w:sz w:val="16"/>
      <w:szCs w:val="16"/>
    </w:rPr>
  </w:style>
  <w:style w:type="paragraph" w:styleId="CommentText">
    <w:name w:val="annotation text"/>
    <w:basedOn w:val="Normal"/>
    <w:link w:val="CommentTextChar"/>
    <w:uiPriority w:val="99"/>
    <w:unhideWhenUsed/>
    <w:rsid w:val="00E15D5B"/>
    <w:pPr>
      <w:spacing w:line="240" w:lineRule="auto"/>
    </w:pPr>
    <w:rPr>
      <w:sz w:val="20"/>
      <w:szCs w:val="20"/>
    </w:rPr>
  </w:style>
  <w:style w:type="character" w:customStyle="1" w:styleId="CommentTextChar">
    <w:name w:val="Comment Text Char"/>
    <w:basedOn w:val="DefaultParagraphFont"/>
    <w:link w:val="CommentText"/>
    <w:uiPriority w:val="99"/>
    <w:rsid w:val="00E15D5B"/>
    <w:rPr>
      <w:sz w:val="20"/>
      <w:szCs w:val="20"/>
    </w:rPr>
  </w:style>
  <w:style w:type="paragraph" w:styleId="CommentSubject">
    <w:name w:val="annotation subject"/>
    <w:basedOn w:val="CommentText"/>
    <w:next w:val="CommentText"/>
    <w:link w:val="CommentSubjectChar"/>
    <w:uiPriority w:val="99"/>
    <w:semiHidden/>
    <w:unhideWhenUsed/>
    <w:rsid w:val="00E15D5B"/>
    <w:rPr>
      <w:b/>
      <w:bCs/>
    </w:rPr>
  </w:style>
  <w:style w:type="character" w:customStyle="1" w:styleId="CommentSubjectChar">
    <w:name w:val="Comment Subject Char"/>
    <w:basedOn w:val="CommentTextChar"/>
    <w:link w:val="CommentSubject"/>
    <w:uiPriority w:val="99"/>
    <w:semiHidden/>
    <w:rsid w:val="00E15D5B"/>
    <w:rPr>
      <w:b/>
      <w:bCs/>
      <w:sz w:val="20"/>
      <w:szCs w:val="20"/>
    </w:rPr>
  </w:style>
  <w:style w:type="paragraph" w:styleId="Header">
    <w:name w:val="header"/>
    <w:basedOn w:val="Normal"/>
    <w:link w:val="HeaderChar"/>
    <w:uiPriority w:val="99"/>
    <w:unhideWhenUsed/>
    <w:rsid w:val="00231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099"/>
  </w:style>
  <w:style w:type="paragraph" w:styleId="Footer">
    <w:name w:val="footer"/>
    <w:basedOn w:val="Normal"/>
    <w:link w:val="FooterChar"/>
    <w:uiPriority w:val="99"/>
    <w:unhideWhenUsed/>
    <w:rsid w:val="00231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099"/>
  </w:style>
  <w:style w:type="character" w:customStyle="1" w:styleId="ListParagraphChar">
    <w:name w:val="List Paragraph Char"/>
    <w:basedOn w:val="DefaultParagraphFont"/>
    <w:link w:val="ListParagraph"/>
    <w:uiPriority w:val="34"/>
    <w:locked/>
    <w:rsid w:val="00223690"/>
  </w:style>
  <w:style w:type="paragraph" w:customStyle="1" w:styleId="Standard">
    <w:name w:val="Standard"/>
    <w:rsid w:val="00DE2F7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styleId="TableGrid">
    <w:name w:val="Table Grid"/>
    <w:basedOn w:val="TableNormal"/>
    <w:uiPriority w:val="39"/>
    <w:rsid w:val="00AE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5E14"/>
    <w:pPr>
      <w:spacing w:after="0" w:line="240" w:lineRule="auto"/>
    </w:pPr>
  </w:style>
  <w:style w:type="character" w:customStyle="1" w:styleId="Heading1Char">
    <w:name w:val="Heading 1 Char"/>
    <w:basedOn w:val="DefaultParagraphFont"/>
    <w:link w:val="Heading1"/>
    <w:uiPriority w:val="9"/>
    <w:rsid w:val="003D4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59566">
      <w:bodyDiv w:val="1"/>
      <w:marLeft w:val="0"/>
      <w:marRight w:val="0"/>
      <w:marTop w:val="0"/>
      <w:marBottom w:val="0"/>
      <w:divBdr>
        <w:top w:val="none" w:sz="0" w:space="0" w:color="auto"/>
        <w:left w:val="none" w:sz="0" w:space="0" w:color="auto"/>
        <w:bottom w:val="none" w:sz="0" w:space="0" w:color="auto"/>
        <w:right w:val="none" w:sz="0" w:space="0" w:color="auto"/>
      </w:divBdr>
    </w:div>
    <w:div w:id="1230926459">
      <w:bodyDiv w:val="1"/>
      <w:marLeft w:val="0"/>
      <w:marRight w:val="0"/>
      <w:marTop w:val="0"/>
      <w:marBottom w:val="0"/>
      <w:divBdr>
        <w:top w:val="none" w:sz="0" w:space="0" w:color="auto"/>
        <w:left w:val="none" w:sz="0" w:space="0" w:color="auto"/>
        <w:bottom w:val="none" w:sz="0" w:space="0" w:color="auto"/>
        <w:right w:val="none" w:sz="0" w:space="0" w:color="auto"/>
      </w:divBdr>
    </w:div>
    <w:div w:id="1434865728">
      <w:bodyDiv w:val="1"/>
      <w:marLeft w:val="0"/>
      <w:marRight w:val="0"/>
      <w:marTop w:val="0"/>
      <w:marBottom w:val="0"/>
      <w:divBdr>
        <w:top w:val="none" w:sz="0" w:space="0" w:color="auto"/>
        <w:left w:val="none" w:sz="0" w:space="0" w:color="auto"/>
        <w:bottom w:val="none" w:sz="0" w:space="0" w:color="auto"/>
        <w:right w:val="none" w:sz="0" w:space="0" w:color="auto"/>
      </w:divBdr>
    </w:div>
    <w:div w:id="1502308105">
      <w:bodyDiv w:val="1"/>
      <w:marLeft w:val="0"/>
      <w:marRight w:val="0"/>
      <w:marTop w:val="0"/>
      <w:marBottom w:val="0"/>
      <w:divBdr>
        <w:top w:val="none" w:sz="0" w:space="0" w:color="auto"/>
        <w:left w:val="none" w:sz="0" w:space="0" w:color="auto"/>
        <w:bottom w:val="none" w:sz="0" w:space="0" w:color="auto"/>
        <w:right w:val="none" w:sz="0" w:space="0" w:color="auto"/>
      </w:divBdr>
    </w:div>
    <w:div w:id="1538659987">
      <w:bodyDiv w:val="1"/>
      <w:marLeft w:val="0"/>
      <w:marRight w:val="0"/>
      <w:marTop w:val="0"/>
      <w:marBottom w:val="0"/>
      <w:divBdr>
        <w:top w:val="none" w:sz="0" w:space="0" w:color="auto"/>
        <w:left w:val="none" w:sz="0" w:space="0" w:color="auto"/>
        <w:bottom w:val="none" w:sz="0" w:space="0" w:color="auto"/>
        <w:right w:val="none" w:sz="0" w:space="0" w:color="auto"/>
      </w:divBdr>
    </w:div>
    <w:div w:id="1620526269">
      <w:bodyDiv w:val="1"/>
      <w:marLeft w:val="0"/>
      <w:marRight w:val="0"/>
      <w:marTop w:val="0"/>
      <w:marBottom w:val="0"/>
      <w:divBdr>
        <w:top w:val="none" w:sz="0" w:space="0" w:color="auto"/>
        <w:left w:val="none" w:sz="0" w:space="0" w:color="auto"/>
        <w:bottom w:val="none" w:sz="0" w:space="0" w:color="auto"/>
        <w:right w:val="none" w:sz="0" w:space="0" w:color="auto"/>
      </w:divBdr>
    </w:div>
    <w:div w:id="1744136305">
      <w:bodyDiv w:val="1"/>
      <w:marLeft w:val="0"/>
      <w:marRight w:val="0"/>
      <w:marTop w:val="0"/>
      <w:marBottom w:val="0"/>
      <w:divBdr>
        <w:top w:val="none" w:sz="0" w:space="0" w:color="auto"/>
        <w:left w:val="none" w:sz="0" w:space="0" w:color="auto"/>
        <w:bottom w:val="none" w:sz="0" w:space="0" w:color="auto"/>
        <w:right w:val="none" w:sz="0" w:space="0" w:color="auto"/>
      </w:divBdr>
    </w:div>
    <w:div w:id="177964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6445-DF28-4420-9A3A-F8E466FF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9498</Characters>
  <Application>Microsoft Office Word</Application>
  <DocSecurity>0</DocSecurity>
  <Lines>306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Labour Mobility Accommodation review - Management response</dc:title>
  <dc:subject/>
  <dc:creator/>
  <cp:keywords/>
  <dc:description/>
  <cp:lastModifiedBy/>
  <cp:revision>1</cp:revision>
  <dcterms:created xsi:type="dcterms:W3CDTF">2021-03-22T07:19:00Z</dcterms:created>
  <dcterms:modified xsi:type="dcterms:W3CDTF">2021-03-22T07:20:00Z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10c95941-e969-49f9-a195-125a36252bf1</vt:lpwstr>
  </property>
  <property fmtid="{D5CDD505-2E9C-101B-9397-08002B2CF9AE}" pid="3" name="SEC">
    <vt:lpwstr>OFFICIAL</vt:lpwstr>
  </property>
</Properties>
</file>