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8EA6" w14:textId="77777777" w:rsidR="008B0798" w:rsidRPr="00737C93" w:rsidRDefault="008B0798" w:rsidP="000E4B38">
      <w:pPr>
        <w:spacing w:after="0" w:line="240" w:lineRule="auto"/>
        <w:jc w:val="right"/>
        <w:rPr>
          <w:color w:val="FF0000"/>
          <w:sz w:val="20"/>
        </w:rPr>
      </w:pPr>
    </w:p>
    <w:p w14:paraId="30B34B33" w14:textId="77777777" w:rsidR="00E56A6F" w:rsidRPr="00737C93" w:rsidRDefault="00E56A6F" w:rsidP="00E56A6F">
      <w:pPr>
        <w:spacing w:before="60" w:after="60" w:line="240" w:lineRule="auto"/>
        <w:ind w:left="-567"/>
        <w:rPr>
          <w:rFonts w:ascii="Arial" w:hAnsi="Arial" w:cs="Arial"/>
          <w:b/>
          <w:color w:val="FFFFFF" w:themeColor="background1"/>
          <w:sz w:val="40"/>
          <w:szCs w:val="40"/>
        </w:rPr>
      </w:pPr>
    </w:p>
    <w:p w14:paraId="6958B5A6" w14:textId="77777777" w:rsidR="00E56A6F" w:rsidRPr="00737C93" w:rsidRDefault="00E56A6F" w:rsidP="00E56A6F">
      <w:pPr>
        <w:spacing w:before="60" w:after="60" w:line="240" w:lineRule="auto"/>
        <w:ind w:left="-567"/>
        <w:rPr>
          <w:rFonts w:ascii="Arial" w:hAnsi="Arial" w:cs="Arial"/>
          <w:b/>
          <w:color w:val="FFFFFF" w:themeColor="background1"/>
          <w:sz w:val="40"/>
          <w:szCs w:val="40"/>
        </w:rPr>
      </w:pPr>
    </w:p>
    <w:p w14:paraId="0B3D7E25" w14:textId="77777777" w:rsidR="00E56A6F" w:rsidRPr="00737C93" w:rsidRDefault="00E56A6F" w:rsidP="00E56A6F">
      <w:pPr>
        <w:spacing w:before="60" w:after="60" w:line="240" w:lineRule="auto"/>
        <w:ind w:left="-567"/>
        <w:rPr>
          <w:rFonts w:ascii="Arial" w:hAnsi="Arial" w:cs="Arial"/>
          <w:b/>
          <w:color w:val="FFFFFF" w:themeColor="background1"/>
          <w:sz w:val="40"/>
          <w:szCs w:val="40"/>
        </w:rPr>
      </w:pPr>
    </w:p>
    <w:p w14:paraId="511D06F1" w14:textId="77777777" w:rsidR="00495063" w:rsidRPr="00737C93" w:rsidRDefault="00495063" w:rsidP="00E56A6F">
      <w:pPr>
        <w:spacing w:before="60" w:after="60" w:line="240" w:lineRule="auto"/>
        <w:ind w:left="-567"/>
        <w:rPr>
          <w:rFonts w:ascii="Arial" w:hAnsi="Arial" w:cs="Arial"/>
          <w:b/>
          <w:color w:val="FFFFFF" w:themeColor="background1"/>
          <w:sz w:val="40"/>
          <w:szCs w:val="40"/>
        </w:rPr>
      </w:pPr>
    </w:p>
    <w:p w14:paraId="5601136F" w14:textId="344A53CE" w:rsidR="00E56A6F" w:rsidRPr="00A21281" w:rsidRDefault="00180B25" w:rsidP="00A21281">
      <w:pPr>
        <w:pStyle w:val="Heading1"/>
      </w:pPr>
      <w:r w:rsidRPr="00A21281">
        <w:t xml:space="preserve">Pacific Labour </w:t>
      </w:r>
      <w:r w:rsidR="003E45EC" w:rsidRPr="00A21281">
        <w:t>M</w:t>
      </w:r>
      <w:r w:rsidRPr="00A21281">
        <w:t xml:space="preserve">obility </w:t>
      </w:r>
      <w:r w:rsidR="003E45EC" w:rsidRPr="00A21281">
        <w:t>A</w:t>
      </w:r>
      <w:r w:rsidRPr="00A21281">
        <w:t xml:space="preserve">ccommodation </w:t>
      </w:r>
      <w:r w:rsidR="003E45EC" w:rsidRPr="00A21281">
        <w:t>R</w:t>
      </w:r>
      <w:r w:rsidRPr="00A21281">
        <w:t>eview</w:t>
      </w:r>
    </w:p>
    <w:p w14:paraId="025361AB" w14:textId="77777777" w:rsidR="00E56A6F" w:rsidRPr="00737C93" w:rsidRDefault="00E56A6F" w:rsidP="00E56A6F">
      <w:pPr>
        <w:spacing w:before="60" w:after="60" w:line="240" w:lineRule="auto"/>
        <w:ind w:left="-567"/>
        <w:rPr>
          <w:rFonts w:ascii="Arial" w:hAnsi="Arial" w:cs="Arial"/>
          <w:b/>
          <w:color w:val="FFFFFF" w:themeColor="background1"/>
          <w:sz w:val="40"/>
          <w:szCs w:val="40"/>
        </w:rPr>
      </w:pPr>
    </w:p>
    <w:p w14:paraId="53D69684" w14:textId="0F9C5DB3" w:rsidR="00017CC8" w:rsidRPr="00737C93" w:rsidRDefault="00BC5FCE" w:rsidP="00E56A6F">
      <w:pPr>
        <w:spacing w:before="60" w:after="60" w:line="240" w:lineRule="auto"/>
        <w:ind w:left="-567"/>
        <w:rPr>
          <w:rFonts w:ascii="Arial" w:hAnsi="Arial" w:cs="Arial"/>
          <w:b/>
          <w:color w:val="FFFFFF" w:themeColor="background1"/>
          <w:sz w:val="40"/>
          <w:szCs w:val="40"/>
        </w:rPr>
      </w:pPr>
      <w:r>
        <w:rPr>
          <w:rFonts w:ascii="Arial" w:hAnsi="Arial" w:cs="Arial"/>
          <w:b/>
          <w:color w:val="FFFFFF" w:themeColor="background1"/>
          <w:sz w:val="40"/>
          <w:szCs w:val="40"/>
        </w:rPr>
        <w:t xml:space="preserve">Key findings and recommendations </w:t>
      </w:r>
    </w:p>
    <w:p w14:paraId="6A59250A" w14:textId="0E49C1DB" w:rsidR="00E56A6F" w:rsidRPr="00737C93" w:rsidRDefault="005D3876" w:rsidP="00E56A6F">
      <w:pPr>
        <w:spacing w:before="60" w:after="60" w:line="240" w:lineRule="auto"/>
        <w:ind w:left="-567"/>
        <w:rPr>
          <w:rFonts w:ascii="Arial" w:hAnsi="Arial" w:cs="Arial"/>
          <w:b/>
          <w:color w:val="FFFFFF" w:themeColor="background1"/>
          <w:sz w:val="40"/>
          <w:szCs w:val="40"/>
        </w:rPr>
      </w:pPr>
      <w:r>
        <w:rPr>
          <w:rFonts w:ascii="Arial" w:hAnsi="Arial" w:cs="Arial"/>
          <w:b/>
          <w:color w:val="FFFFFF" w:themeColor="background1"/>
          <w:sz w:val="40"/>
          <w:szCs w:val="40"/>
        </w:rPr>
        <w:t>9</w:t>
      </w:r>
      <w:r w:rsidR="00BB0FA1">
        <w:rPr>
          <w:rFonts w:ascii="Arial" w:hAnsi="Arial" w:cs="Arial"/>
          <w:b/>
          <w:color w:val="FFFFFF" w:themeColor="background1"/>
          <w:sz w:val="40"/>
          <w:szCs w:val="40"/>
        </w:rPr>
        <w:t xml:space="preserve"> </w:t>
      </w:r>
      <w:r w:rsidR="00E2428E">
        <w:rPr>
          <w:rFonts w:ascii="Arial" w:hAnsi="Arial" w:cs="Arial"/>
          <w:b/>
          <w:color w:val="FFFFFF" w:themeColor="background1"/>
          <w:sz w:val="40"/>
          <w:szCs w:val="40"/>
        </w:rPr>
        <w:t xml:space="preserve">December </w:t>
      </w:r>
      <w:r w:rsidR="007D6786" w:rsidRPr="00737C93">
        <w:rPr>
          <w:rFonts w:ascii="Arial" w:hAnsi="Arial" w:cs="Arial"/>
          <w:b/>
          <w:color w:val="FFFFFF" w:themeColor="background1"/>
          <w:sz w:val="40"/>
          <w:szCs w:val="40"/>
        </w:rPr>
        <w:t>2020</w:t>
      </w:r>
    </w:p>
    <w:p w14:paraId="78EECE5D" w14:textId="77777777" w:rsidR="00E56A6F" w:rsidRPr="00737C93" w:rsidRDefault="00E56A6F" w:rsidP="00E56A6F"/>
    <w:p w14:paraId="7C6FCEE7" w14:textId="3617BF76" w:rsidR="00E56A6F" w:rsidRPr="00737C93" w:rsidRDefault="00E56A6F" w:rsidP="00E56A6F"/>
    <w:p w14:paraId="68615D57" w14:textId="77777777" w:rsidR="00E56A6F" w:rsidRPr="00737C93" w:rsidRDefault="00E56A6F" w:rsidP="00E56A6F">
      <w:pPr>
        <w:sectPr w:rsidR="00E56A6F" w:rsidRPr="00737C93" w:rsidSect="000E4B38">
          <w:headerReference w:type="default" r:id="rId7"/>
          <w:footerReference w:type="default" r:id="rId8"/>
          <w:pgSz w:w="16838" w:h="11906" w:orient="landscape"/>
          <w:pgMar w:top="22" w:right="1440" w:bottom="568" w:left="1440" w:header="0" w:footer="303" w:gutter="0"/>
          <w:cols w:space="708"/>
          <w:docGrid w:linePitch="360"/>
        </w:sectPr>
      </w:pPr>
    </w:p>
    <w:p w14:paraId="58C1A049" w14:textId="77777777" w:rsidR="008E71A3" w:rsidRDefault="008E71A3" w:rsidP="00414140">
      <w:pPr>
        <w:pStyle w:val="Heading2"/>
      </w:pPr>
      <w:bookmarkStart w:id="0" w:name="_Toc58245762"/>
      <w:r>
        <w:br w:type="page"/>
      </w:r>
    </w:p>
    <w:p w14:paraId="076C6F80" w14:textId="500B3373" w:rsidR="00C379E6" w:rsidRPr="008E160B" w:rsidRDefault="00003262" w:rsidP="00414140">
      <w:pPr>
        <w:pStyle w:val="Heading2"/>
      </w:pPr>
      <w:r w:rsidRPr="00737C93">
        <w:lastRenderedPageBreak/>
        <w:t>Background</w:t>
      </w:r>
      <w:bookmarkEnd w:id="0"/>
    </w:p>
    <w:p w14:paraId="65FE2DB5" w14:textId="1A514DB3" w:rsidR="00F02093" w:rsidRPr="00D152E1" w:rsidRDefault="00F02093" w:rsidP="009E2E2D">
      <w:pPr>
        <w:pStyle w:val="ListParagraph"/>
        <w:numPr>
          <w:ilvl w:val="0"/>
          <w:numId w:val="8"/>
        </w:numPr>
        <w:spacing w:before="120" w:after="120" w:line="240" w:lineRule="auto"/>
        <w:ind w:left="284" w:hanging="284"/>
        <w:contextualSpacing w:val="0"/>
        <w:rPr>
          <w:rFonts w:ascii="Arial" w:hAnsi="Arial" w:cs="Arial"/>
          <w:sz w:val="20"/>
          <w:szCs w:val="20"/>
        </w:rPr>
      </w:pPr>
      <w:r w:rsidRPr="008E160B">
        <w:rPr>
          <w:rFonts w:ascii="Arial" w:hAnsi="Arial" w:cs="Arial"/>
          <w:b/>
          <w:bCs/>
          <w:sz w:val="20"/>
          <w:szCs w:val="20"/>
        </w:rPr>
        <w:t>Context</w:t>
      </w:r>
      <w:r w:rsidRPr="00737C93">
        <w:rPr>
          <w:rFonts w:ascii="Arial" w:hAnsi="Arial" w:cs="Arial"/>
          <w:sz w:val="20"/>
          <w:szCs w:val="20"/>
        </w:rPr>
        <w:t xml:space="preserve"> </w:t>
      </w:r>
    </w:p>
    <w:p w14:paraId="315CBE3F" w14:textId="6B377E5E" w:rsidR="00D50A19" w:rsidRPr="008E160B" w:rsidRDefault="00D50A19" w:rsidP="0072312A">
      <w:pPr>
        <w:spacing w:before="120" w:after="120" w:line="240" w:lineRule="auto"/>
        <w:jc w:val="both"/>
        <w:rPr>
          <w:rFonts w:ascii="Arial" w:hAnsi="Arial" w:cs="Arial"/>
          <w:sz w:val="20"/>
          <w:szCs w:val="20"/>
          <w:u w:val="single"/>
        </w:rPr>
      </w:pPr>
      <w:r w:rsidRPr="008E160B">
        <w:rPr>
          <w:rFonts w:ascii="Arial" w:hAnsi="Arial" w:cs="Arial"/>
          <w:sz w:val="20"/>
          <w:szCs w:val="20"/>
          <w:u w:val="single"/>
        </w:rPr>
        <w:t>Pacific Labour Scheme (PLS)</w:t>
      </w:r>
    </w:p>
    <w:p w14:paraId="64C6F6C0" w14:textId="765EBC6A" w:rsidR="00180B25" w:rsidRPr="008E160B" w:rsidRDefault="00AD55E8" w:rsidP="0072312A">
      <w:pPr>
        <w:spacing w:before="120" w:after="120" w:line="240" w:lineRule="auto"/>
        <w:jc w:val="both"/>
        <w:rPr>
          <w:rFonts w:ascii="Arial" w:hAnsi="Arial" w:cs="Arial"/>
          <w:sz w:val="20"/>
          <w:szCs w:val="20"/>
        </w:rPr>
      </w:pPr>
      <w:r>
        <w:rPr>
          <w:rFonts w:ascii="Arial" w:hAnsi="Arial" w:cs="Arial"/>
          <w:sz w:val="20"/>
          <w:szCs w:val="20"/>
        </w:rPr>
        <w:t xml:space="preserve">The </w:t>
      </w:r>
      <w:r w:rsidR="00003262" w:rsidRPr="008E160B">
        <w:rPr>
          <w:rFonts w:ascii="Arial" w:hAnsi="Arial" w:cs="Arial"/>
          <w:sz w:val="20"/>
          <w:szCs w:val="20"/>
        </w:rPr>
        <w:t>PLS was established in 2018</w:t>
      </w:r>
      <w:r>
        <w:rPr>
          <w:rFonts w:ascii="Arial" w:hAnsi="Arial" w:cs="Arial"/>
          <w:sz w:val="20"/>
          <w:szCs w:val="20"/>
        </w:rPr>
        <w:t>. It</w:t>
      </w:r>
      <w:r w:rsidR="00003262" w:rsidRPr="008E160B">
        <w:rPr>
          <w:rFonts w:ascii="Arial" w:hAnsi="Arial" w:cs="Arial"/>
          <w:sz w:val="20"/>
          <w:szCs w:val="20"/>
        </w:rPr>
        <w:t xml:space="preserve"> is managed by the Pacific Labour Mobility Section, Office of the Pacific </w:t>
      </w:r>
      <w:r>
        <w:rPr>
          <w:rFonts w:ascii="Arial" w:hAnsi="Arial" w:cs="Arial"/>
          <w:sz w:val="20"/>
          <w:szCs w:val="20"/>
        </w:rPr>
        <w:t>with</w:t>
      </w:r>
      <w:r w:rsidR="00003262" w:rsidRPr="008E160B">
        <w:rPr>
          <w:rFonts w:ascii="Arial" w:hAnsi="Arial" w:cs="Arial"/>
          <w:sz w:val="20"/>
          <w:szCs w:val="20"/>
        </w:rPr>
        <w:t>in the Department Foreign Affairs and Trade</w:t>
      </w:r>
      <w:r w:rsidR="00B10B62" w:rsidRPr="008E160B">
        <w:rPr>
          <w:rFonts w:ascii="Arial" w:hAnsi="Arial" w:cs="Arial"/>
          <w:sz w:val="20"/>
          <w:szCs w:val="20"/>
        </w:rPr>
        <w:t xml:space="preserve"> (DFAT)</w:t>
      </w:r>
      <w:r w:rsidR="00003262" w:rsidRPr="008E160B">
        <w:rPr>
          <w:rFonts w:ascii="Arial" w:hAnsi="Arial" w:cs="Arial"/>
          <w:sz w:val="20"/>
          <w:szCs w:val="20"/>
        </w:rPr>
        <w:t xml:space="preserve">. </w:t>
      </w:r>
      <w:r w:rsidR="00B10B62" w:rsidRPr="008E160B">
        <w:rPr>
          <w:rFonts w:ascii="Arial" w:hAnsi="Arial" w:cs="Arial"/>
          <w:sz w:val="20"/>
          <w:szCs w:val="20"/>
        </w:rPr>
        <w:t>Palladium</w:t>
      </w:r>
      <w:r w:rsidR="00FA7501" w:rsidRPr="008E160B">
        <w:rPr>
          <w:rFonts w:ascii="Arial" w:hAnsi="Arial" w:cs="Arial"/>
          <w:sz w:val="20"/>
          <w:szCs w:val="20"/>
        </w:rPr>
        <w:t xml:space="preserve"> Group</w:t>
      </w:r>
      <w:r>
        <w:rPr>
          <w:rFonts w:ascii="Arial" w:hAnsi="Arial" w:cs="Arial"/>
          <w:sz w:val="20"/>
          <w:szCs w:val="20"/>
        </w:rPr>
        <w:t xml:space="preserve"> was contracted by DFAT</w:t>
      </w:r>
      <w:r w:rsidR="00B10B62" w:rsidRPr="008E160B">
        <w:rPr>
          <w:rFonts w:ascii="Arial" w:hAnsi="Arial" w:cs="Arial"/>
          <w:sz w:val="20"/>
          <w:szCs w:val="20"/>
        </w:rPr>
        <w:t xml:space="preserve"> to establish the Pacific Labour Facility </w:t>
      </w:r>
      <w:r w:rsidR="00D50A19" w:rsidRPr="008E160B">
        <w:rPr>
          <w:rFonts w:ascii="Arial" w:hAnsi="Arial" w:cs="Arial"/>
          <w:sz w:val="20"/>
          <w:szCs w:val="20"/>
        </w:rPr>
        <w:t xml:space="preserve">(PLF). </w:t>
      </w:r>
      <w:r>
        <w:rPr>
          <w:rFonts w:ascii="Arial" w:hAnsi="Arial" w:cs="Arial"/>
          <w:sz w:val="20"/>
          <w:szCs w:val="20"/>
        </w:rPr>
        <w:t xml:space="preserve">The </w:t>
      </w:r>
      <w:r w:rsidR="00D50A19" w:rsidRPr="008E160B">
        <w:rPr>
          <w:rFonts w:ascii="Arial" w:hAnsi="Arial" w:cs="Arial"/>
          <w:sz w:val="20"/>
          <w:szCs w:val="20"/>
        </w:rPr>
        <w:t>PLF connects Australian employers with Pacific workers</w:t>
      </w:r>
      <w:r>
        <w:rPr>
          <w:rFonts w:ascii="Arial" w:hAnsi="Arial" w:cs="Arial"/>
          <w:sz w:val="20"/>
          <w:szCs w:val="20"/>
        </w:rPr>
        <w:t>, supports</w:t>
      </w:r>
      <w:r w:rsidR="00D50A19" w:rsidRPr="008E160B">
        <w:rPr>
          <w:rFonts w:ascii="Arial" w:hAnsi="Arial" w:cs="Arial"/>
          <w:sz w:val="20"/>
          <w:szCs w:val="20"/>
        </w:rPr>
        <w:t xml:space="preserve"> Australian employers through</w:t>
      </w:r>
      <w:r>
        <w:rPr>
          <w:rFonts w:ascii="Arial" w:hAnsi="Arial" w:cs="Arial"/>
          <w:sz w:val="20"/>
          <w:szCs w:val="20"/>
        </w:rPr>
        <w:t>out</w:t>
      </w:r>
      <w:r w:rsidR="00D50A19" w:rsidRPr="008E160B">
        <w:rPr>
          <w:rFonts w:ascii="Arial" w:hAnsi="Arial" w:cs="Arial"/>
          <w:sz w:val="20"/>
          <w:szCs w:val="20"/>
        </w:rPr>
        <w:t xml:space="preserve"> </w:t>
      </w:r>
      <w:r w:rsidR="00CF2449" w:rsidRPr="008E160B">
        <w:rPr>
          <w:rFonts w:ascii="Arial" w:hAnsi="Arial" w:cs="Arial"/>
          <w:sz w:val="20"/>
          <w:szCs w:val="20"/>
        </w:rPr>
        <w:t xml:space="preserve">the </w:t>
      </w:r>
      <w:r w:rsidR="00D50A19" w:rsidRPr="008E160B">
        <w:rPr>
          <w:rFonts w:ascii="Arial" w:hAnsi="Arial" w:cs="Arial"/>
          <w:sz w:val="20"/>
          <w:szCs w:val="20"/>
        </w:rPr>
        <w:t xml:space="preserve">PLS cycle, </w:t>
      </w:r>
      <w:r>
        <w:rPr>
          <w:rFonts w:ascii="Arial" w:hAnsi="Arial" w:cs="Arial"/>
          <w:sz w:val="20"/>
          <w:szCs w:val="20"/>
        </w:rPr>
        <w:t>supports</w:t>
      </w:r>
      <w:r w:rsidR="00D50A19" w:rsidRPr="008E160B">
        <w:rPr>
          <w:rFonts w:ascii="Arial" w:hAnsi="Arial" w:cs="Arial"/>
          <w:sz w:val="20"/>
          <w:szCs w:val="20"/>
        </w:rPr>
        <w:t xml:space="preserve"> Pacific workers </w:t>
      </w:r>
      <w:r w:rsidR="00CF2449" w:rsidRPr="008E160B">
        <w:rPr>
          <w:rFonts w:ascii="Arial" w:hAnsi="Arial" w:cs="Arial"/>
          <w:sz w:val="20"/>
          <w:szCs w:val="20"/>
        </w:rPr>
        <w:t xml:space="preserve">during their time </w:t>
      </w:r>
      <w:r w:rsidR="00D50A19" w:rsidRPr="008E160B">
        <w:rPr>
          <w:rFonts w:ascii="Arial" w:hAnsi="Arial" w:cs="Arial"/>
          <w:sz w:val="20"/>
          <w:szCs w:val="20"/>
        </w:rPr>
        <w:t xml:space="preserve">in Australia and </w:t>
      </w:r>
      <w:r w:rsidR="00CF2449" w:rsidRPr="008E160B">
        <w:rPr>
          <w:rFonts w:ascii="Arial" w:hAnsi="Arial" w:cs="Arial"/>
          <w:sz w:val="20"/>
          <w:szCs w:val="20"/>
        </w:rPr>
        <w:t xml:space="preserve">upon </w:t>
      </w:r>
      <w:r w:rsidR="00D50A19" w:rsidRPr="008E160B">
        <w:rPr>
          <w:rFonts w:ascii="Arial" w:hAnsi="Arial" w:cs="Arial"/>
          <w:sz w:val="20"/>
          <w:szCs w:val="20"/>
        </w:rPr>
        <w:t>their return to Pacific communities</w:t>
      </w:r>
      <w:r>
        <w:rPr>
          <w:rFonts w:ascii="Arial" w:hAnsi="Arial" w:cs="Arial"/>
          <w:sz w:val="20"/>
          <w:szCs w:val="20"/>
        </w:rPr>
        <w:t xml:space="preserve">, as well as </w:t>
      </w:r>
      <w:r w:rsidR="00D50A19" w:rsidRPr="008E160B">
        <w:rPr>
          <w:rFonts w:ascii="Arial" w:hAnsi="Arial" w:cs="Arial"/>
          <w:sz w:val="20"/>
          <w:szCs w:val="20"/>
        </w:rPr>
        <w:t>monitoring impacts of Australia’s labour mobility arrangements. PLF</w:t>
      </w:r>
      <w:r w:rsidR="00026E0E" w:rsidRPr="008E160B">
        <w:rPr>
          <w:rFonts w:ascii="Arial" w:hAnsi="Arial" w:cs="Arial"/>
          <w:sz w:val="20"/>
          <w:szCs w:val="20"/>
        </w:rPr>
        <w:t xml:space="preserve">’s involvement in </w:t>
      </w:r>
      <w:r w:rsidR="00D92A8F">
        <w:rPr>
          <w:rFonts w:ascii="Arial" w:hAnsi="Arial" w:cs="Arial"/>
          <w:sz w:val="20"/>
          <w:szCs w:val="20"/>
        </w:rPr>
        <w:t xml:space="preserve">PLS </w:t>
      </w:r>
      <w:r w:rsidR="00026E0E" w:rsidRPr="008E160B">
        <w:rPr>
          <w:rFonts w:ascii="Arial" w:hAnsi="Arial" w:cs="Arial"/>
          <w:sz w:val="20"/>
          <w:szCs w:val="20"/>
        </w:rPr>
        <w:t xml:space="preserve">worker accommodation </w:t>
      </w:r>
      <w:r w:rsidR="00313623" w:rsidRPr="008E160B">
        <w:rPr>
          <w:rFonts w:ascii="Arial" w:hAnsi="Arial" w:cs="Arial"/>
          <w:sz w:val="20"/>
          <w:szCs w:val="20"/>
        </w:rPr>
        <w:t>includes</w:t>
      </w:r>
      <w:r w:rsidR="00D50A19" w:rsidRPr="008E160B">
        <w:rPr>
          <w:rFonts w:ascii="Arial" w:hAnsi="Arial" w:cs="Arial"/>
          <w:sz w:val="20"/>
          <w:szCs w:val="20"/>
        </w:rPr>
        <w:t xml:space="preserve">: </w:t>
      </w:r>
    </w:p>
    <w:p w14:paraId="0AFB34FF" w14:textId="77777777" w:rsidR="000F2914" w:rsidRDefault="004105D0"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attending the mobili</w:t>
      </w:r>
      <w:r w:rsidR="00FD152A" w:rsidRPr="008E160B">
        <w:rPr>
          <w:rFonts w:ascii="Arial" w:hAnsi="Arial" w:cs="Arial"/>
          <w:sz w:val="20"/>
          <w:szCs w:val="20"/>
        </w:rPr>
        <w:t>s</w:t>
      </w:r>
      <w:r w:rsidRPr="008E160B">
        <w:rPr>
          <w:rFonts w:ascii="Arial" w:hAnsi="Arial" w:cs="Arial"/>
          <w:sz w:val="20"/>
          <w:szCs w:val="20"/>
        </w:rPr>
        <w:t>ation of Pacific workers when they arrive in Australia and accompanying them to their accommodation</w:t>
      </w:r>
    </w:p>
    <w:p w14:paraId="29468C97" w14:textId="4706EE62" w:rsidR="004105D0" w:rsidRPr="008E160B" w:rsidRDefault="000F2914" w:rsidP="009E2E2D">
      <w:pPr>
        <w:pStyle w:val="ListParagraph"/>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approving PLS accommodation form as part of the recruitment plan process</w:t>
      </w:r>
      <w:r w:rsidR="006F3CDA">
        <w:rPr>
          <w:rFonts w:ascii="Arial" w:hAnsi="Arial" w:cs="Arial"/>
          <w:sz w:val="20"/>
          <w:szCs w:val="20"/>
        </w:rPr>
        <w:t xml:space="preserve"> or prior to the arrival of workers</w:t>
      </w:r>
    </w:p>
    <w:p w14:paraId="4380D2ED" w14:textId="6D7998F9" w:rsidR="004105D0" w:rsidRPr="008E160B" w:rsidRDefault="004105D0"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perform</w:t>
      </w:r>
      <w:r w:rsidR="00067250" w:rsidRPr="008E160B">
        <w:rPr>
          <w:rFonts w:ascii="Arial" w:hAnsi="Arial" w:cs="Arial"/>
          <w:sz w:val="20"/>
          <w:szCs w:val="20"/>
        </w:rPr>
        <w:t>ing</w:t>
      </w:r>
      <w:r w:rsidRPr="008E160B">
        <w:rPr>
          <w:rFonts w:ascii="Arial" w:hAnsi="Arial" w:cs="Arial"/>
          <w:sz w:val="20"/>
          <w:szCs w:val="20"/>
        </w:rPr>
        <w:t xml:space="preserve"> a visual inspection of accommodation during mobili</w:t>
      </w:r>
      <w:r w:rsidR="00FD152A" w:rsidRPr="008E160B">
        <w:rPr>
          <w:rFonts w:ascii="Arial" w:hAnsi="Arial" w:cs="Arial"/>
          <w:sz w:val="20"/>
          <w:szCs w:val="20"/>
        </w:rPr>
        <w:t>s</w:t>
      </w:r>
      <w:r w:rsidRPr="008E160B">
        <w:rPr>
          <w:rFonts w:ascii="Arial" w:hAnsi="Arial" w:cs="Arial"/>
          <w:sz w:val="20"/>
          <w:szCs w:val="20"/>
        </w:rPr>
        <w:t xml:space="preserve">ation to ensure accommodation </w:t>
      </w:r>
      <w:r w:rsidR="008479CB" w:rsidRPr="008E160B">
        <w:rPr>
          <w:rFonts w:ascii="Arial" w:hAnsi="Arial" w:cs="Arial"/>
          <w:sz w:val="20"/>
          <w:szCs w:val="20"/>
        </w:rPr>
        <w:t xml:space="preserve">standard and quality </w:t>
      </w:r>
      <w:r w:rsidRPr="008E160B">
        <w:rPr>
          <w:rFonts w:ascii="Arial" w:hAnsi="Arial" w:cs="Arial"/>
          <w:sz w:val="20"/>
          <w:szCs w:val="20"/>
        </w:rPr>
        <w:t>appear</w:t>
      </w:r>
      <w:r w:rsidR="008479CB" w:rsidRPr="008E160B">
        <w:rPr>
          <w:rFonts w:ascii="Arial" w:hAnsi="Arial" w:cs="Arial"/>
          <w:sz w:val="20"/>
          <w:szCs w:val="20"/>
        </w:rPr>
        <w:t xml:space="preserve"> </w:t>
      </w:r>
      <w:r w:rsidRPr="008E160B">
        <w:rPr>
          <w:rFonts w:ascii="Arial" w:hAnsi="Arial" w:cs="Arial"/>
          <w:sz w:val="20"/>
          <w:szCs w:val="20"/>
        </w:rPr>
        <w:t xml:space="preserve">reasonable </w:t>
      </w:r>
    </w:p>
    <w:p w14:paraId="697B0E23" w14:textId="55F211BB" w:rsidR="004105D0" w:rsidRPr="008E160B" w:rsidRDefault="004105D0"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undertak</w:t>
      </w:r>
      <w:r w:rsidR="00067250" w:rsidRPr="008E160B">
        <w:rPr>
          <w:rFonts w:ascii="Arial" w:hAnsi="Arial" w:cs="Arial"/>
          <w:sz w:val="20"/>
          <w:szCs w:val="20"/>
        </w:rPr>
        <w:t>ing</w:t>
      </w:r>
      <w:r w:rsidRPr="008E160B">
        <w:rPr>
          <w:rFonts w:ascii="Arial" w:hAnsi="Arial" w:cs="Arial"/>
          <w:sz w:val="20"/>
          <w:szCs w:val="20"/>
        </w:rPr>
        <w:t xml:space="preserve"> site visits</w:t>
      </w:r>
      <w:r w:rsidR="008479CB" w:rsidRPr="008E160B">
        <w:rPr>
          <w:rFonts w:ascii="Arial" w:hAnsi="Arial" w:cs="Arial"/>
          <w:sz w:val="20"/>
          <w:szCs w:val="20"/>
        </w:rPr>
        <w:t xml:space="preserve"> of workplaces and accommodation when issues arise</w:t>
      </w:r>
    </w:p>
    <w:p w14:paraId="6C5D6D75" w14:textId="248E367A" w:rsidR="008479CB" w:rsidRDefault="008479CB"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perform</w:t>
      </w:r>
      <w:r w:rsidR="00067250" w:rsidRPr="008E160B">
        <w:rPr>
          <w:rFonts w:ascii="Arial" w:hAnsi="Arial" w:cs="Arial"/>
          <w:sz w:val="20"/>
          <w:szCs w:val="20"/>
        </w:rPr>
        <w:t>ing</w:t>
      </w:r>
      <w:r w:rsidRPr="008E160B">
        <w:rPr>
          <w:rFonts w:ascii="Arial" w:hAnsi="Arial" w:cs="Arial"/>
          <w:sz w:val="20"/>
          <w:szCs w:val="20"/>
        </w:rPr>
        <w:t xml:space="preserve"> desktop audits </w:t>
      </w:r>
      <w:r w:rsidR="00B8491D" w:rsidRPr="008E160B">
        <w:rPr>
          <w:rFonts w:ascii="Arial" w:hAnsi="Arial" w:cs="Arial"/>
          <w:sz w:val="20"/>
          <w:szCs w:val="20"/>
        </w:rPr>
        <w:t xml:space="preserve">which include an audit </w:t>
      </w:r>
      <w:r w:rsidRPr="008E160B">
        <w:rPr>
          <w:rFonts w:ascii="Arial" w:hAnsi="Arial" w:cs="Arial"/>
          <w:sz w:val="20"/>
          <w:szCs w:val="20"/>
        </w:rPr>
        <w:t xml:space="preserve">of </w:t>
      </w:r>
      <w:r w:rsidR="00B8491D" w:rsidRPr="008E160B">
        <w:rPr>
          <w:rFonts w:ascii="Arial" w:hAnsi="Arial" w:cs="Arial"/>
          <w:sz w:val="20"/>
          <w:szCs w:val="20"/>
        </w:rPr>
        <w:t xml:space="preserve">worker payslips to ensure accurate </w:t>
      </w:r>
      <w:r w:rsidRPr="008E160B">
        <w:rPr>
          <w:rFonts w:ascii="Arial" w:hAnsi="Arial" w:cs="Arial"/>
          <w:sz w:val="20"/>
          <w:szCs w:val="20"/>
        </w:rPr>
        <w:t>deductions (</w:t>
      </w:r>
      <w:r w:rsidR="00F2659D" w:rsidRPr="008E160B">
        <w:rPr>
          <w:rFonts w:ascii="Arial" w:hAnsi="Arial" w:cs="Arial"/>
          <w:sz w:val="20"/>
          <w:szCs w:val="20"/>
        </w:rPr>
        <w:t xml:space="preserve">comparing with </w:t>
      </w:r>
      <w:r w:rsidRPr="008E160B">
        <w:rPr>
          <w:rFonts w:ascii="Arial" w:hAnsi="Arial" w:cs="Arial"/>
          <w:sz w:val="20"/>
          <w:szCs w:val="20"/>
        </w:rPr>
        <w:t>receipts for airfares, transport, accommodation charges)</w:t>
      </w:r>
      <w:r w:rsidR="00B8491D" w:rsidRPr="008E160B">
        <w:rPr>
          <w:rFonts w:ascii="Arial" w:hAnsi="Arial" w:cs="Arial"/>
          <w:sz w:val="20"/>
          <w:szCs w:val="20"/>
        </w:rPr>
        <w:t xml:space="preserve"> by the employer. </w:t>
      </w:r>
    </w:p>
    <w:p w14:paraId="07F0CD57" w14:textId="74EA7FDC" w:rsidR="00AD55E8" w:rsidRPr="00AD55E8" w:rsidRDefault="00AD55E8" w:rsidP="00AD55E8">
      <w:pPr>
        <w:spacing w:before="60" w:after="60" w:line="240" w:lineRule="auto"/>
        <w:ind w:left="60"/>
        <w:jc w:val="both"/>
        <w:rPr>
          <w:rFonts w:ascii="Arial" w:hAnsi="Arial" w:cs="Arial"/>
          <w:sz w:val="20"/>
          <w:szCs w:val="20"/>
        </w:rPr>
      </w:pPr>
      <w:r w:rsidRPr="008E160B">
        <w:rPr>
          <w:rFonts w:ascii="Arial" w:hAnsi="Arial" w:cs="Arial"/>
          <w:sz w:val="20"/>
          <w:szCs w:val="20"/>
        </w:rPr>
        <w:t>PLS workers can stay in Australia from 12 months to three years</w:t>
      </w:r>
      <w:r>
        <w:rPr>
          <w:rFonts w:ascii="Arial" w:hAnsi="Arial" w:cs="Arial"/>
          <w:sz w:val="20"/>
          <w:szCs w:val="20"/>
        </w:rPr>
        <w:t>. E</w:t>
      </w:r>
      <w:r w:rsidRPr="008E160B">
        <w:rPr>
          <w:rFonts w:ascii="Arial" w:hAnsi="Arial" w:cs="Arial"/>
          <w:sz w:val="20"/>
          <w:szCs w:val="20"/>
        </w:rPr>
        <w:t>mployers are obligated to provide accommodation for the first three months.</w:t>
      </w:r>
      <w:r>
        <w:rPr>
          <w:rFonts w:ascii="Arial" w:hAnsi="Arial" w:cs="Arial"/>
          <w:sz w:val="20"/>
          <w:szCs w:val="20"/>
        </w:rPr>
        <w:t xml:space="preserve"> </w:t>
      </w:r>
      <w:r w:rsidRPr="008E160B">
        <w:rPr>
          <w:rFonts w:ascii="Arial" w:hAnsi="Arial" w:cs="Arial"/>
          <w:sz w:val="20"/>
          <w:szCs w:val="20"/>
        </w:rPr>
        <w:t xml:space="preserve">Industries involved include non-seasonal agriculture, accommodation, </w:t>
      </w:r>
      <w:proofErr w:type="gramStart"/>
      <w:r w:rsidRPr="008E160B">
        <w:rPr>
          <w:rFonts w:ascii="Arial" w:hAnsi="Arial" w:cs="Arial"/>
          <w:sz w:val="20"/>
          <w:szCs w:val="20"/>
        </w:rPr>
        <w:t>tourism</w:t>
      </w:r>
      <w:proofErr w:type="gramEnd"/>
      <w:r w:rsidRPr="008E160B">
        <w:rPr>
          <w:rFonts w:ascii="Arial" w:hAnsi="Arial" w:cs="Arial"/>
          <w:sz w:val="20"/>
          <w:szCs w:val="20"/>
        </w:rPr>
        <w:t xml:space="preserve"> and social assistance</w:t>
      </w:r>
      <w:r w:rsidR="00D92A8F">
        <w:rPr>
          <w:rFonts w:ascii="Arial" w:hAnsi="Arial" w:cs="Arial"/>
          <w:sz w:val="20"/>
          <w:szCs w:val="20"/>
        </w:rPr>
        <w:t xml:space="preserve"> in rural and regional areas</w:t>
      </w:r>
      <w:r w:rsidRPr="008E160B">
        <w:rPr>
          <w:rFonts w:ascii="Arial" w:hAnsi="Arial" w:cs="Arial"/>
          <w:sz w:val="20"/>
          <w:szCs w:val="20"/>
        </w:rPr>
        <w:t>.</w:t>
      </w:r>
    </w:p>
    <w:p w14:paraId="7C1D9D4D" w14:textId="37EDDEFD" w:rsidR="00026E0E" w:rsidRPr="008E160B" w:rsidRDefault="00D50A19" w:rsidP="0072312A">
      <w:pPr>
        <w:spacing w:before="120" w:after="120" w:line="240" w:lineRule="auto"/>
        <w:jc w:val="both"/>
        <w:rPr>
          <w:rFonts w:ascii="Arial" w:hAnsi="Arial" w:cs="Arial"/>
          <w:sz w:val="20"/>
          <w:szCs w:val="20"/>
          <w:u w:val="single"/>
        </w:rPr>
      </w:pPr>
      <w:r w:rsidRPr="008E160B">
        <w:rPr>
          <w:rFonts w:ascii="Arial" w:hAnsi="Arial" w:cs="Arial"/>
          <w:sz w:val="20"/>
          <w:szCs w:val="20"/>
          <w:u w:val="single"/>
        </w:rPr>
        <w:t>S</w:t>
      </w:r>
      <w:r w:rsidR="00026E0E" w:rsidRPr="008E160B">
        <w:rPr>
          <w:rFonts w:ascii="Arial" w:hAnsi="Arial" w:cs="Arial"/>
          <w:sz w:val="20"/>
          <w:szCs w:val="20"/>
          <w:u w:val="single"/>
        </w:rPr>
        <w:t xml:space="preserve">easonal </w:t>
      </w:r>
      <w:r w:rsidRPr="008E160B">
        <w:rPr>
          <w:rFonts w:ascii="Arial" w:hAnsi="Arial" w:cs="Arial"/>
          <w:sz w:val="20"/>
          <w:szCs w:val="20"/>
          <w:u w:val="single"/>
        </w:rPr>
        <w:t>W</w:t>
      </w:r>
      <w:r w:rsidR="00026E0E" w:rsidRPr="008E160B">
        <w:rPr>
          <w:rFonts w:ascii="Arial" w:hAnsi="Arial" w:cs="Arial"/>
          <w:sz w:val="20"/>
          <w:szCs w:val="20"/>
          <w:u w:val="single"/>
        </w:rPr>
        <w:t>orker Program (SWP)</w:t>
      </w:r>
    </w:p>
    <w:p w14:paraId="2B453487" w14:textId="69B35320" w:rsidR="005B5009" w:rsidRPr="008E160B" w:rsidRDefault="00AD55E8" w:rsidP="0072312A">
      <w:pPr>
        <w:spacing w:before="120" w:after="120" w:line="240" w:lineRule="auto"/>
        <w:jc w:val="both"/>
        <w:rPr>
          <w:rFonts w:ascii="Arial" w:hAnsi="Arial" w:cs="Arial"/>
          <w:sz w:val="20"/>
          <w:szCs w:val="20"/>
        </w:rPr>
      </w:pPr>
      <w:r>
        <w:rPr>
          <w:rFonts w:ascii="Arial" w:hAnsi="Arial" w:cs="Arial"/>
          <w:sz w:val="20"/>
          <w:szCs w:val="20"/>
        </w:rPr>
        <w:t xml:space="preserve">The </w:t>
      </w:r>
      <w:r w:rsidR="00026E0E" w:rsidRPr="008E160B">
        <w:rPr>
          <w:rFonts w:ascii="Arial" w:hAnsi="Arial" w:cs="Arial"/>
          <w:sz w:val="20"/>
          <w:szCs w:val="20"/>
        </w:rPr>
        <w:t>SWP was established in 2012</w:t>
      </w:r>
      <w:r>
        <w:rPr>
          <w:rFonts w:ascii="Arial" w:hAnsi="Arial" w:cs="Arial"/>
          <w:sz w:val="20"/>
          <w:szCs w:val="20"/>
        </w:rPr>
        <w:t xml:space="preserve">. It </w:t>
      </w:r>
      <w:r w:rsidR="005B5009" w:rsidRPr="008E160B">
        <w:rPr>
          <w:rFonts w:ascii="Arial" w:hAnsi="Arial" w:cs="Arial"/>
          <w:sz w:val="20"/>
          <w:szCs w:val="20"/>
        </w:rPr>
        <w:t xml:space="preserve">is managed by the Seasonal </w:t>
      </w:r>
      <w:r w:rsidR="0009332F" w:rsidRPr="008E160B">
        <w:rPr>
          <w:rFonts w:ascii="Arial" w:hAnsi="Arial" w:cs="Arial"/>
          <w:sz w:val="20"/>
          <w:szCs w:val="20"/>
        </w:rPr>
        <w:t>W</w:t>
      </w:r>
      <w:r w:rsidR="005B5009" w:rsidRPr="008E160B">
        <w:rPr>
          <w:rFonts w:ascii="Arial" w:hAnsi="Arial" w:cs="Arial"/>
          <w:sz w:val="20"/>
          <w:szCs w:val="20"/>
        </w:rPr>
        <w:t>ork Programs Branch, Delivery and Employer Engagement Division within the Department of Education, Skills and Employment</w:t>
      </w:r>
      <w:r w:rsidR="0009332F" w:rsidRPr="008E160B">
        <w:rPr>
          <w:rFonts w:ascii="Arial" w:hAnsi="Arial" w:cs="Arial"/>
          <w:sz w:val="20"/>
          <w:szCs w:val="20"/>
        </w:rPr>
        <w:t xml:space="preserve"> (DESE)</w:t>
      </w:r>
      <w:r w:rsidR="005B5009" w:rsidRPr="008E160B">
        <w:rPr>
          <w:rFonts w:ascii="Arial" w:hAnsi="Arial" w:cs="Arial"/>
          <w:sz w:val="20"/>
          <w:szCs w:val="20"/>
        </w:rPr>
        <w:t>.</w:t>
      </w:r>
    </w:p>
    <w:p w14:paraId="3646A94B" w14:textId="29C74E21" w:rsidR="00180B25" w:rsidRPr="008E160B" w:rsidRDefault="005B5009" w:rsidP="0072312A">
      <w:pPr>
        <w:spacing w:before="120" w:after="120" w:line="240" w:lineRule="auto"/>
        <w:jc w:val="both"/>
        <w:rPr>
          <w:rFonts w:ascii="Arial" w:hAnsi="Arial" w:cs="Arial"/>
          <w:sz w:val="20"/>
          <w:szCs w:val="20"/>
        </w:rPr>
      </w:pPr>
      <w:r w:rsidRPr="008E160B">
        <w:rPr>
          <w:rFonts w:ascii="Arial" w:hAnsi="Arial" w:cs="Arial"/>
          <w:sz w:val="20"/>
          <w:szCs w:val="20"/>
        </w:rPr>
        <w:t>SWP workers can stay in Australia</w:t>
      </w:r>
      <w:r w:rsidR="007C35A5">
        <w:rPr>
          <w:rFonts w:ascii="Arial" w:hAnsi="Arial" w:cs="Arial"/>
          <w:sz w:val="20"/>
          <w:szCs w:val="20"/>
        </w:rPr>
        <w:t xml:space="preserve"> for</w:t>
      </w:r>
      <w:r w:rsidRPr="008E160B">
        <w:rPr>
          <w:rFonts w:ascii="Arial" w:hAnsi="Arial" w:cs="Arial"/>
          <w:sz w:val="20"/>
          <w:szCs w:val="20"/>
        </w:rPr>
        <w:t xml:space="preserve"> up to 9 months</w:t>
      </w:r>
      <w:r w:rsidR="00FD152A" w:rsidRPr="008E160B">
        <w:rPr>
          <w:rFonts w:ascii="Arial" w:hAnsi="Arial" w:cs="Arial"/>
          <w:sz w:val="20"/>
          <w:szCs w:val="20"/>
        </w:rPr>
        <w:t xml:space="preserve">. The majority of </w:t>
      </w:r>
      <w:r w:rsidR="00313623" w:rsidRPr="008E160B">
        <w:rPr>
          <w:rFonts w:ascii="Arial" w:hAnsi="Arial" w:cs="Arial"/>
          <w:sz w:val="20"/>
          <w:szCs w:val="20"/>
        </w:rPr>
        <w:t xml:space="preserve">SWP </w:t>
      </w:r>
      <w:r w:rsidR="00FD152A" w:rsidRPr="008E160B">
        <w:rPr>
          <w:rFonts w:ascii="Arial" w:hAnsi="Arial" w:cs="Arial"/>
          <w:sz w:val="20"/>
          <w:szCs w:val="20"/>
        </w:rPr>
        <w:t>workers are</w:t>
      </w:r>
      <w:r w:rsidRPr="008E160B">
        <w:rPr>
          <w:rFonts w:ascii="Arial" w:hAnsi="Arial" w:cs="Arial"/>
          <w:sz w:val="20"/>
          <w:szCs w:val="20"/>
        </w:rPr>
        <w:t xml:space="preserve"> employed by the </w:t>
      </w:r>
      <w:r w:rsidR="00067250" w:rsidRPr="008E160B">
        <w:rPr>
          <w:rFonts w:ascii="Arial" w:hAnsi="Arial" w:cs="Arial"/>
          <w:sz w:val="20"/>
          <w:szCs w:val="20"/>
        </w:rPr>
        <w:t xml:space="preserve">horticultural </w:t>
      </w:r>
      <w:r w:rsidR="00D92A8F">
        <w:rPr>
          <w:rFonts w:ascii="Arial" w:hAnsi="Arial" w:cs="Arial"/>
          <w:sz w:val="20"/>
          <w:szCs w:val="20"/>
        </w:rPr>
        <w:t xml:space="preserve">sector (nationally) </w:t>
      </w:r>
      <w:r w:rsidRPr="008E160B">
        <w:rPr>
          <w:rFonts w:ascii="Arial" w:hAnsi="Arial" w:cs="Arial"/>
          <w:sz w:val="20"/>
          <w:szCs w:val="20"/>
        </w:rPr>
        <w:t xml:space="preserve">and </w:t>
      </w:r>
      <w:r w:rsidR="00067250" w:rsidRPr="008E160B">
        <w:rPr>
          <w:rFonts w:ascii="Arial" w:hAnsi="Arial" w:cs="Arial"/>
          <w:sz w:val="20"/>
          <w:szCs w:val="20"/>
        </w:rPr>
        <w:t>a</w:t>
      </w:r>
      <w:r w:rsidRPr="008E160B">
        <w:rPr>
          <w:rFonts w:ascii="Arial" w:hAnsi="Arial" w:cs="Arial"/>
          <w:sz w:val="20"/>
          <w:szCs w:val="20"/>
        </w:rPr>
        <w:t>ccommodation sector</w:t>
      </w:r>
      <w:r w:rsidR="00D92A8F">
        <w:rPr>
          <w:rFonts w:ascii="Arial" w:hAnsi="Arial" w:cs="Arial"/>
          <w:sz w:val="20"/>
          <w:szCs w:val="20"/>
        </w:rPr>
        <w:t xml:space="preserve"> (in select locations)</w:t>
      </w:r>
      <w:r w:rsidRPr="008E160B">
        <w:rPr>
          <w:rFonts w:ascii="Arial" w:hAnsi="Arial" w:cs="Arial"/>
          <w:sz w:val="20"/>
          <w:szCs w:val="20"/>
        </w:rPr>
        <w:t xml:space="preserve">. </w:t>
      </w:r>
      <w:r w:rsidR="0009332F" w:rsidRPr="008E160B">
        <w:rPr>
          <w:rFonts w:ascii="Arial" w:hAnsi="Arial" w:cs="Arial"/>
          <w:sz w:val="20"/>
          <w:szCs w:val="20"/>
        </w:rPr>
        <w:t xml:space="preserve">DESE’s </w:t>
      </w:r>
      <w:r w:rsidR="007C35A5">
        <w:rPr>
          <w:rFonts w:ascii="Arial" w:hAnsi="Arial" w:cs="Arial"/>
          <w:sz w:val="20"/>
          <w:szCs w:val="20"/>
        </w:rPr>
        <w:t>responsibilities</w:t>
      </w:r>
      <w:r w:rsidR="007C35A5" w:rsidRPr="008E160B">
        <w:rPr>
          <w:rFonts w:ascii="Arial" w:hAnsi="Arial" w:cs="Arial"/>
          <w:sz w:val="20"/>
          <w:szCs w:val="20"/>
        </w:rPr>
        <w:t xml:space="preserve"> </w:t>
      </w:r>
      <w:r w:rsidR="0009332F" w:rsidRPr="008E160B">
        <w:rPr>
          <w:rFonts w:ascii="Arial" w:hAnsi="Arial" w:cs="Arial"/>
          <w:sz w:val="20"/>
          <w:szCs w:val="20"/>
        </w:rPr>
        <w:t xml:space="preserve">relating to worker accommodation include: </w:t>
      </w:r>
    </w:p>
    <w:p w14:paraId="7A773979" w14:textId="61FE5375" w:rsidR="001F6872" w:rsidRPr="008E160B" w:rsidRDefault="001F6872"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conducting risk assessments on accommodation and risk profiling of Approved Employers</w:t>
      </w:r>
      <w:r w:rsidR="003F787D" w:rsidRPr="008E160B">
        <w:rPr>
          <w:rFonts w:ascii="Arial" w:hAnsi="Arial" w:cs="Arial"/>
          <w:sz w:val="20"/>
          <w:szCs w:val="20"/>
        </w:rPr>
        <w:t xml:space="preserve"> (AE</w:t>
      </w:r>
      <w:r w:rsidR="00FD152A" w:rsidRPr="008E160B">
        <w:rPr>
          <w:rFonts w:ascii="Arial" w:hAnsi="Arial" w:cs="Arial"/>
          <w:sz w:val="20"/>
          <w:szCs w:val="20"/>
        </w:rPr>
        <w:t>s</w:t>
      </w:r>
      <w:r w:rsidR="003F787D" w:rsidRPr="008E160B">
        <w:rPr>
          <w:rFonts w:ascii="Arial" w:hAnsi="Arial" w:cs="Arial"/>
          <w:sz w:val="20"/>
          <w:szCs w:val="20"/>
        </w:rPr>
        <w:t>)</w:t>
      </w:r>
    </w:p>
    <w:p w14:paraId="75F71400" w14:textId="70E167FF" w:rsidR="0009332F" w:rsidRPr="008E160B" w:rsidRDefault="0009332F"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approving Accommodation Plans submitted by</w:t>
      </w:r>
      <w:r w:rsidR="00FD152A" w:rsidRPr="008E160B">
        <w:rPr>
          <w:rFonts w:ascii="Arial" w:hAnsi="Arial" w:cs="Arial"/>
          <w:sz w:val="20"/>
          <w:szCs w:val="20"/>
        </w:rPr>
        <w:t xml:space="preserve"> the</w:t>
      </w:r>
      <w:r w:rsidRPr="008E160B">
        <w:rPr>
          <w:rFonts w:ascii="Arial" w:hAnsi="Arial" w:cs="Arial"/>
          <w:sz w:val="20"/>
          <w:szCs w:val="20"/>
        </w:rPr>
        <w:t xml:space="preserve"> </w:t>
      </w:r>
      <w:r w:rsidR="003F787D" w:rsidRPr="008E160B">
        <w:rPr>
          <w:rFonts w:ascii="Arial" w:hAnsi="Arial" w:cs="Arial"/>
          <w:sz w:val="20"/>
          <w:szCs w:val="20"/>
        </w:rPr>
        <w:t>AE</w:t>
      </w:r>
    </w:p>
    <w:p w14:paraId="6CCD574E" w14:textId="3698AD8E" w:rsidR="00D92A8F" w:rsidRPr="008E160B" w:rsidRDefault="00D92A8F"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conducting</w:t>
      </w:r>
      <w:r>
        <w:rPr>
          <w:rFonts w:ascii="Arial" w:hAnsi="Arial" w:cs="Arial"/>
          <w:sz w:val="20"/>
          <w:szCs w:val="20"/>
        </w:rPr>
        <w:t xml:space="preserve"> announced and unannounced</w:t>
      </w:r>
      <w:r w:rsidRPr="008E160B">
        <w:rPr>
          <w:rFonts w:ascii="Arial" w:hAnsi="Arial" w:cs="Arial"/>
          <w:sz w:val="20"/>
          <w:szCs w:val="20"/>
        </w:rPr>
        <w:t xml:space="preserve"> monitoring visits</w:t>
      </w:r>
      <w:r w:rsidR="007C35A5">
        <w:rPr>
          <w:rFonts w:ascii="Arial" w:hAnsi="Arial" w:cs="Arial"/>
          <w:sz w:val="20"/>
          <w:szCs w:val="20"/>
        </w:rPr>
        <w:t>, which</w:t>
      </w:r>
      <w:r w:rsidRPr="008E160B">
        <w:rPr>
          <w:rFonts w:ascii="Arial" w:hAnsi="Arial" w:cs="Arial"/>
          <w:sz w:val="20"/>
          <w:szCs w:val="20"/>
        </w:rPr>
        <w:t xml:space="preserve"> </w:t>
      </w:r>
      <w:r>
        <w:rPr>
          <w:rFonts w:ascii="Arial" w:hAnsi="Arial" w:cs="Arial"/>
          <w:sz w:val="20"/>
          <w:szCs w:val="20"/>
        </w:rPr>
        <w:t>includ</w:t>
      </w:r>
      <w:r w:rsidR="007C35A5">
        <w:rPr>
          <w:rFonts w:ascii="Arial" w:hAnsi="Arial" w:cs="Arial"/>
          <w:sz w:val="20"/>
          <w:szCs w:val="20"/>
        </w:rPr>
        <w:t>es</w:t>
      </w:r>
      <w:r>
        <w:rPr>
          <w:rFonts w:ascii="Arial" w:hAnsi="Arial" w:cs="Arial"/>
          <w:sz w:val="20"/>
          <w:szCs w:val="20"/>
        </w:rPr>
        <w:t xml:space="preserve"> meeting with seasonal workers</w:t>
      </w:r>
      <w:r w:rsidR="007C35A5">
        <w:rPr>
          <w:rFonts w:ascii="Arial" w:hAnsi="Arial" w:cs="Arial"/>
          <w:sz w:val="20"/>
          <w:szCs w:val="20"/>
        </w:rPr>
        <w:t>,</w:t>
      </w:r>
      <w:r>
        <w:rPr>
          <w:rFonts w:ascii="Arial" w:hAnsi="Arial" w:cs="Arial"/>
          <w:sz w:val="20"/>
          <w:szCs w:val="20"/>
        </w:rPr>
        <w:t xml:space="preserve"> and inspecting accommodation (unless not reasonably possible) to confirm it aligns with the arrangements approved. </w:t>
      </w:r>
    </w:p>
    <w:p w14:paraId="282A4745" w14:textId="6EA812A9" w:rsidR="00D92A8F" w:rsidRDefault="001F6872" w:rsidP="009E2E2D">
      <w:pPr>
        <w:pStyle w:val="ListParagraph"/>
        <w:numPr>
          <w:ilvl w:val="0"/>
          <w:numId w:val="3"/>
        </w:numPr>
        <w:spacing w:before="60" w:after="60" w:line="240" w:lineRule="auto"/>
        <w:contextualSpacing w:val="0"/>
        <w:jc w:val="both"/>
        <w:rPr>
          <w:rFonts w:ascii="Arial" w:hAnsi="Arial" w:cs="Arial"/>
          <w:sz w:val="20"/>
          <w:szCs w:val="20"/>
        </w:rPr>
      </w:pPr>
      <w:r w:rsidRPr="008E160B">
        <w:rPr>
          <w:rFonts w:ascii="Arial" w:hAnsi="Arial" w:cs="Arial"/>
          <w:sz w:val="20"/>
          <w:szCs w:val="20"/>
        </w:rPr>
        <w:t>undertaking assurance activities by reviewing the reasonableness of accommodation related costs</w:t>
      </w:r>
      <w:r w:rsidR="007C35A5">
        <w:rPr>
          <w:rFonts w:ascii="Arial" w:hAnsi="Arial" w:cs="Arial"/>
          <w:sz w:val="20"/>
          <w:szCs w:val="20"/>
        </w:rPr>
        <w:t>.</w:t>
      </w:r>
    </w:p>
    <w:p w14:paraId="3B6E6BDA" w14:textId="0BCFCEF0" w:rsidR="001F6872" w:rsidRPr="00CD0A30" w:rsidRDefault="007C35A5" w:rsidP="009E2E2D">
      <w:pPr>
        <w:pStyle w:val="ListParagraph"/>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m</w:t>
      </w:r>
      <w:r w:rsidR="00D92A8F">
        <w:rPr>
          <w:rFonts w:ascii="Arial" w:hAnsi="Arial" w:cs="Arial"/>
          <w:sz w:val="20"/>
          <w:szCs w:val="20"/>
        </w:rPr>
        <w:t xml:space="preserve">onitoring visits and desktop assurance activities are undertaken routinely and in response to concerns received from </w:t>
      </w:r>
      <w:r>
        <w:rPr>
          <w:rFonts w:ascii="Arial" w:hAnsi="Arial" w:cs="Arial"/>
          <w:sz w:val="20"/>
          <w:szCs w:val="20"/>
        </w:rPr>
        <w:t xml:space="preserve">stakeholders, including </w:t>
      </w:r>
      <w:r w:rsidR="00D92A8F">
        <w:rPr>
          <w:rFonts w:ascii="Arial" w:hAnsi="Arial" w:cs="Arial"/>
          <w:sz w:val="20"/>
          <w:szCs w:val="20"/>
        </w:rPr>
        <w:t xml:space="preserve">workers, </w:t>
      </w:r>
      <w:proofErr w:type="gramStart"/>
      <w:r w:rsidR="00D92A8F">
        <w:rPr>
          <w:rFonts w:ascii="Arial" w:hAnsi="Arial" w:cs="Arial"/>
          <w:sz w:val="20"/>
          <w:szCs w:val="20"/>
        </w:rPr>
        <w:t>unions</w:t>
      </w:r>
      <w:proofErr w:type="gramEnd"/>
      <w:r w:rsidR="00D92A8F">
        <w:rPr>
          <w:rFonts w:ascii="Arial" w:hAnsi="Arial" w:cs="Arial"/>
          <w:sz w:val="20"/>
          <w:szCs w:val="20"/>
        </w:rPr>
        <w:t xml:space="preserve"> </w:t>
      </w:r>
      <w:r>
        <w:rPr>
          <w:rFonts w:ascii="Arial" w:hAnsi="Arial" w:cs="Arial"/>
          <w:sz w:val="20"/>
          <w:szCs w:val="20"/>
        </w:rPr>
        <w:t xml:space="preserve">and </w:t>
      </w:r>
      <w:r w:rsidR="00D92A8F">
        <w:rPr>
          <w:rFonts w:ascii="Arial" w:hAnsi="Arial" w:cs="Arial"/>
          <w:sz w:val="20"/>
          <w:szCs w:val="20"/>
        </w:rPr>
        <w:t>community members</w:t>
      </w:r>
      <w:r w:rsidR="00D92A8F" w:rsidRPr="008E160B">
        <w:rPr>
          <w:rFonts w:ascii="Arial" w:hAnsi="Arial" w:cs="Arial"/>
          <w:sz w:val="20"/>
          <w:szCs w:val="20"/>
        </w:rPr>
        <w:t xml:space="preserve">. </w:t>
      </w:r>
      <w:r w:rsidR="001F6872" w:rsidRPr="00CD0A30">
        <w:rPr>
          <w:rFonts w:ascii="Arial" w:hAnsi="Arial" w:cs="Arial"/>
          <w:sz w:val="20"/>
          <w:szCs w:val="20"/>
        </w:rPr>
        <w:t xml:space="preserve"> </w:t>
      </w:r>
    </w:p>
    <w:p w14:paraId="7C2DBB89" w14:textId="49CDDC1C" w:rsidR="003F787D" w:rsidRPr="008E160B" w:rsidRDefault="00313623" w:rsidP="0072312A">
      <w:pPr>
        <w:spacing w:before="120" w:after="120" w:line="240" w:lineRule="auto"/>
        <w:jc w:val="both"/>
        <w:rPr>
          <w:rFonts w:ascii="Arial" w:hAnsi="Arial" w:cs="Arial"/>
          <w:sz w:val="20"/>
          <w:szCs w:val="20"/>
          <w:u w:val="single"/>
        </w:rPr>
      </w:pPr>
      <w:r w:rsidRPr="008E160B">
        <w:rPr>
          <w:rFonts w:ascii="Arial" w:hAnsi="Arial" w:cs="Arial"/>
          <w:sz w:val="20"/>
          <w:szCs w:val="20"/>
          <w:u w:val="single"/>
        </w:rPr>
        <w:t xml:space="preserve">Accommodation </w:t>
      </w:r>
      <w:r w:rsidR="003F787D" w:rsidRPr="008E160B">
        <w:rPr>
          <w:rFonts w:ascii="Arial" w:hAnsi="Arial" w:cs="Arial"/>
          <w:sz w:val="20"/>
          <w:szCs w:val="20"/>
          <w:u w:val="single"/>
        </w:rPr>
        <w:t xml:space="preserve">expectations </w:t>
      </w:r>
    </w:p>
    <w:p w14:paraId="0CBCFE32" w14:textId="5835472D" w:rsidR="00196CB3" w:rsidRDefault="000150F9" w:rsidP="0072312A">
      <w:pPr>
        <w:spacing w:before="120" w:after="120" w:line="240" w:lineRule="auto"/>
        <w:jc w:val="both"/>
        <w:rPr>
          <w:rFonts w:ascii="Arial" w:hAnsi="Arial" w:cs="Arial"/>
          <w:sz w:val="20"/>
          <w:szCs w:val="20"/>
        </w:rPr>
      </w:pPr>
      <w:r w:rsidRPr="008E160B">
        <w:rPr>
          <w:rFonts w:ascii="Arial" w:hAnsi="Arial" w:cs="Arial"/>
          <w:sz w:val="20"/>
          <w:szCs w:val="20"/>
        </w:rPr>
        <w:t xml:space="preserve">Overcrowding and overcharging of accommodation costs for PLS and SWP workers </w:t>
      </w:r>
      <w:r w:rsidR="00FD152A" w:rsidRPr="008E160B">
        <w:rPr>
          <w:rFonts w:ascii="Arial" w:hAnsi="Arial" w:cs="Arial"/>
          <w:sz w:val="20"/>
          <w:szCs w:val="20"/>
        </w:rPr>
        <w:t>ha</w:t>
      </w:r>
      <w:r w:rsidR="00C13EB2">
        <w:rPr>
          <w:rFonts w:ascii="Arial" w:hAnsi="Arial" w:cs="Arial"/>
          <w:sz w:val="20"/>
          <w:szCs w:val="20"/>
        </w:rPr>
        <w:t>s</w:t>
      </w:r>
      <w:r w:rsidR="00FD152A" w:rsidRPr="008E160B">
        <w:rPr>
          <w:rFonts w:ascii="Arial" w:hAnsi="Arial" w:cs="Arial"/>
          <w:sz w:val="20"/>
          <w:szCs w:val="20"/>
        </w:rPr>
        <w:t xml:space="preserve"> been</w:t>
      </w:r>
      <w:r w:rsidRPr="008E160B">
        <w:rPr>
          <w:rFonts w:ascii="Arial" w:hAnsi="Arial" w:cs="Arial"/>
          <w:sz w:val="20"/>
          <w:szCs w:val="20"/>
        </w:rPr>
        <w:t xml:space="preserve"> </w:t>
      </w:r>
      <w:r w:rsidR="00DC7B9D">
        <w:rPr>
          <w:rFonts w:ascii="Arial" w:hAnsi="Arial" w:cs="Arial"/>
          <w:sz w:val="20"/>
          <w:szCs w:val="20"/>
        </w:rPr>
        <w:t xml:space="preserve">reported </w:t>
      </w:r>
      <w:r w:rsidR="00FD152A" w:rsidRPr="008E160B">
        <w:rPr>
          <w:rFonts w:ascii="Arial" w:hAnsi="Arial" w:cs="Arial"/>
          <w:sz w:val="20"/>
          <w:szCs w:val="20"/>
        </w:rPr>
        <w:t xml:space="preserve">by </w:t>
      </w:r>
      <w:r w:rsidRPr="008E160B">
        <w:rPr>
          <w:rFonts w:ascii="Arial" w:hAnsi="Arial" w:cs="Arial"/>
          <w:sz w:val="20"/>
          <w:szCs w:val="20"/>
        </w:rPr>
        <w:t xml:space="preserve">the </w:t>
      </w:r>
      <w:r w:rsidR="00491558" w:rsidRPr="008E160B">
        <w:rPr>
          <w:rFonts w:ascii="Arial" w:hAnsi="Arial" w:cs="Arial"/>
          <w:sz w:val="20"/>
          <w:szCs w:val="20"/>
        </w:rPr>
        <w:t>media.</w:t>
      </w:r>
      <w:r w:rsidRPr="008E160B">
        <w:rPr>
          <w:rFonts w:ascii="Arial" w:hAnsi="Arial" w:cs="Arial"/>
          <w:sz w:val="20"/>
          <w:szCs w:val="20"/>
        </w:rPr>
        <w:t xml:space="preserve"> </w:t>
      </w:r>
      <w:r w:rsidR="00313623" w:rsidRPr="008E160B">
        <w:rPr>
          <w:rFonts w:ascii="Arial" w:hAnsi="Arial" w:cs="Arial"/>
          <w:sz w:val="20"/>
          <w:szCs w:val="20"/>
        </w:rPr>
        <w:t>A</w:t>
      </w:r>
      <w:r w:rsidRPr="008E160B">
        <w:rPr>
          <w:rFonts w:ascii="Arial" w:hAnsi="Arial" w:cs="Arial"/>
          <w:sz w:val="20"/>
          <w:szCs w:val="20"/>
        </w:rPr>
        <w:t xml:space="preserve">ccommodation </w:t>
      </w:r>
      <w:r w:rsidR="00313623" w:rsidRPr="008E160B">
        <w:rPr>
          <w:rFonts w:ascii="Arial" w:hAnsi="Arial" w:cs="Arial"/>
          <w:sz w:val="20"/>
          <w:szCs w:val="20"/>
        </w:rPr>
        <w:t xml:space="preserve">arrangements </w:t>
      </w:r>
      <w:r w:rsidRPr="008E160B">
        <w:rPr>
          <w:rFonts w:ascii="Arial" w:hAnsi="Arial" w:cs="Arial"/>
          <w:sz w:val="20"/>
          <w:szCs w:val="20"/>
        </w:rPr>
        <w:t>involving PLS and SWP worker</w:t>
      </w:r>
      <w:r w:rsidR="009F5811" w:rsidRPr="008E160B">
        <w:rPr>
          <w:rFonts w:ascii="Arial" w:hAnsi="Arial" w:cs="Arial"/>
          <w:sz w:val="20"/>
          <w:szCs w:val="20"/>
        </w:rPr>
        <w:t xml:space="preserve">s </w:t>
      </w:r>
      <w:r w:rsidR="00313623" w:rsidRPr="008E160B">
        <w:rPr>
          <w:rFonts w:ascii="Arial" w:hAnsi="Arial" w:cs="Arial"/>
          <w:sz w:val="20"/>
          <w:szCs w:val="20"/>
        </w:rPr>
        <w:t xml:space="preserve">are complex </w:t>
      </w:r>
      <w:r w:rsidR="009F5811" w:rsidRPr="008E160B">
        <w:rPr>
          <w:rFonts w:ascii="Arial" w:hAnsi="Arial" w:cs="Arial"/>
          <w:sz w:val="20"/>
          <w:szCs w:val="20"/>
        </w:rPr>
        <w:t xml:space="preserve">and it is crucial to </w:t>
      </w:r>
      <w:r w:rsidRPr="008E160B">
        <w:rPr>
          <w:rFonts w:ascii="Arial" w:hAnsi="Arial" w:cs="Arial"/>
          <w:sz w:val="20"/>
          <w:szCs w:val="20"/>
        </w:rPr>
        <w:t xml:space="preserve">consider the perspectives and expectations of key stakeholders to understand the </w:t>
      </w:r>
      <w:r w:rsidR="00CE5F35" w:rsidRPr="008E160B">
        <w:rPr>
          <w:rFonts w:ascii="Arial" w:hAnsi="Arial" w:cs="Arial"/>
          <w:sz w:val="20"/>
          <w:szCs w:val="20"/>
        </w:rPr>
        <w:t>behaviours</w:t>
      </w:r>
      <w:r w:rsidRPr="008E160B">
        <w:rPr>
          <w:rFonts w:ascii="Arial" w:hAnsi="Arial" w:cs="Arial"/>
          <w:sz w:val="20"/>
          <w:szCs w:val="20"/>
        </w:rPr>
        <w:t xml:space="preserve"> affecting </w:t>
      </w:r>
      <w:r w:rsidR="00313623" w:rsidRPr="008E160B">
        <w:rPr>
          <w:rFonts w:ascii="Arial" w:hAnsi="Arial" w:cs="Arial"/>
          <w:sz w:val="20"/>
          <w:szCs w:val="20"/>
        </w:rPr>
        <w:t xml:space="preserve">potential </w:t>
      </w:r>
      <w:r w:rsidRPr="008E160B">
        <w:rPr>
          <w:rFonts w:ascii="Arial" w:hAnsi="Arial" w:cs="Arial"/>
          <w:sz w:val="20"/>
          <w:szCs w:val="20"/>
        </w:rPr>
        <w:t xml:space="preserve">accommodation issues. </w:t>
      </w:r>
      <w:r w:rsidR="00CE5F35">
        <w:rPr>
          <w:rFonts w:ascii="Arial" w:hAnsi="Arial" w:cs="Arial"/>
          <w:sz w:val="20"/>
          <w:szCs w:val="20"/>
        </w:rPr>
        <w:t xml:space="preserve">To better understand </w:t>
      </w:r>
      <w:r w:rsidR="00313623" w:rsidRPr="008E160B">
        <w:rPr>
          <w:rFonts w:ascii="Arial" w:hAnsi="Arial" w:cs="Arial"/>
          <w:sz w:val="20"/>
          <w:szCs w:val="20"/>
        </w:rPr>
        <w:t xml:space="preserve">differing </w:t>
      </w:r>
      <w:r w:rsidR="00786B3B" w:rsidRPr="008E160B">
        <w:rPr>
          <w:rFonts w:ascii="Arial" w:hAnsi="Arial" w:cs="Arial"/>
          <w:sz w:val="20"/>
          <w:szCs w:val="20"/>
        </w:rPr>
        <w:t>expectations of PLS</w:t>
      </w:r>
      <w:r w:rsidR="0072312A" w:rsidRPr="008E160B">
        <w:rPr>
          <w:rFonts w:ascii="Arial" w:hAnsi="Arial" w:cs="Arial"/>
          <w:sz w:val="20"/>
          <w:szCs w:val="20"/>
        </w:rPr>
        <w:t>/</w:t>
      </w:r>
      <w:r w:rsidR="00786B3B" w:rsidRPr="008E160B">
        <w:rPr>
          <w:rFonts w:ascii="Arial" w:hAnsi="Arial" w:cs="Arial"/>
          <w:sz w:val="20"/>
          <w:szCs w:val="20"/>
        </w:rPr>
        <w:t>SWP workers, AEs</w:t>
      </w:r>
      <w:r w:rsidR="00313623" w:rsidRPr="008E160B">
        <w:rPr>
          <w:rFonts w:ascii="Arial" w:hAnsi="Arial" w:cs="Arial"/>
          <w:sz w:val="20"/>
          <w:szCs w:val="20"/>
        </w:rPr>
        <w:t xml:space="preserve">, </w:t>
      </w:r>
      <w:r w:rsidR="00786B3B" w:rsidRPr="008E160B">
        <w:rPr>
          <w:rFonts w:ascii="Arial" w:hAnsi="Arial" w:cs="Arial"/>
          <w:sz w:val="20"/>
          <w:szCs w:val="20"/>
        </w:rPr>
        <w:t xml:space="preserve">the Australian </w:t>
      </w:r>
      <w:proofErr w:type="gramStart"/>
      <w:r w:rsidR="00786B3B" w:rsidRPr="008E160B">
        <w:rPr>
          <w:rFonts w:ascii="Arial" w:hAnsi="Arial" w:cs="Arial"/>
          <w:sz w:val="20"/>
          <w:szCs w:val="20"/>
        </w:rPr>
        <w:t>Government</w:t>
      </w:r>
      <w:proofErr w:type="gramEnd"/>
      <w:r w:rsidR="00313623" w:rsidRPr="008E160B">
        <w:rPr>
          <w:rFonts w:ascii="Arial" w:hAnsi="Arial" w:cs="Arial"/>
          <w:sz w:val="20"/>
          <w:szCs w:val="20"/>
        </w:rPr>
        <w:t xml:space="preserve"> and the general public are summari</w:t>
      </w:r>
      <w:r w:rsidR="00C13EB2">
        <w:rPr>
          <w:rFonts w:ascii="Arial" w:hAnsi="Arial" w:cs="Arial"/>
          <w:sz w:val="20"/>
          <w:szCs w:val="20"/>
        </w:rPr>
        <w:t>s</w:t>
      </w:r>
      <w:r w:rsidR="00313623" w:rsidRPr="008E160B">
        <w:rPr>
          <w:rFonts w:ascii="Arial" w:hAnsi="Arial" w:cs="Arial"/>
          <w:sz w:val="20"/>
          <w:szCs w:val="20"/>
        </w:rPr>
        <w:t>ed below in Table 1:</w:t>
      </w:r>
    </w:p>
    <w:p w14:paraId="100ABA67" w14:textId="77777777" w:rsidR="00196CB3" w:rsidRDefault="00196CB3">
      <w:pPr>
        <w:rPr>
          <w:rFonts w:ascii="Arial" w:hAnsi="Arial" w:cs="Arial"/>
          <w:sz w:val="20"/>
          <w:szCs w:val="20"/>
        </w:rPr>
      </w:pPr>
      <w:r>
        <w:rPr>
          <w:rFonts w:ascii="Arial" w:hAnsi="Arial" w:cs="Arial"/>
          <w:sz w:val="20"/>
          <w:szCs w:val="20"/>
        </w:rPr>
        <w:br w:type="page"/>
      </w:r>
    </w:p>
    <w:p w14:paraId="0823C78F" w14:textId="6F16289F" w:rsidR="003F787D" w:rsidRPr="008E160B" w:rsidRDefault="009F5811" w:rsidP="0072312A">
      <w:pPr>
        <w:spacing w:before="120" w:after="60" w:line="254" w:lineRule="auto"/>
        <w:rPr>
          <w:rFonts w:ascii="Arial" w:hAnsi="Arial" w:cs="Arial"/>
          <w:b/>
          <w:sz w:val="18"/>
          <w:szCs w:val="16"/>
        </w:rPr>
      </w:pPr>
      <w:r w:rsidRPr="00737C93">
        <w:rPr>
          <w:rFonts w:ascii="Arial" w:hAnsi="Arial" w:cs="Arial"/>
          <w:b/>
          <w:sz w:val="18"/>
          <w:szCs w:val="16"/>
        </w:rPr>
        <w:lastRenderedPageBreak/>
        <w:t>Table 1</w:t>
      </w:r>
      <w:r w:rsidR="00786B3B" w:rsidRPr="00D152E1">
        <w:rPr>
          <w:rFonts w:ascii="Arial" w:hAnsi="Arial" w:cs="Arial"/>
          <w:b/>
          <w:sz w:val="18"/>
          <w:szCs w:val="16"/>
        </w:rPr>
        <w:t>:</w:t>
      </w:r>
      <w:r w:rsidRPr="008E160B">
        <w:rPr>
          <w:rFonts w:ascii="Arial" w:hAnsi="Arial" w:cs="Arial"/>
          <w:b/>
          <w:sz w:val="18"/>
          <w:szCs w:val="16"/>
        </w:rPr>
        <w:t xml:space="preserve"> </w:t>
      </w:r>
      <w:r w:rsidR="00786B3B" w:rsidRPr="008E160B">
        <w:rPr>
          <w:rFonts w:ascii="Arial" w:hAnsi="Arial" w:cs="Arial"/>
          <w:b/>
          <w:sz w:val="18"/>
          <w:szCs w:val="16"/>
        </w:rPr>
        <w:t>C</w:t>
      </w:r>
      <w:r w:rsidRPr="008E160B">
        <w:rPr>
          <w:rFonts w:ascii="Arial" w:hAnsi="Arial" w:cs="Arial"/>
          <w:b/>
          <w:sz w:val="18"/>
          <w:szCs w:val="16"/>
        </w:rPr>
        <w:t>ontext around the expectations of PLS</w:t>
      </w:r>
      <w:r w:rsidR="0072312A" w:rsidRPr="008E160B">
        <w:rPr>
          <w:rFonts w:ascii="Arial" w:hAnsi="Arial" w:cs="Arial"/>
          <w:b/>
          <w:sz w:val="18"/>
          <w:szCs w:val="16"/>
        </w:rPr>
        <w:t>/</w:t>
      </w:r>
      <w:r w:rsidRPr="008E160B">
        <w:rPr>
          <w:rFonts w:ascii="Arial" w:hAnsi="Arial" w:cs="Arial"/>
          <w:b/>
          <w:sz w:val="18"/>
          <w:szCs w:val="16"/>
        </w:rPr>
        <w:t xml:space="preserve">SWP workers, </w:t>
      </w:r>
      <w:proofErr w:type="gramStart"/>
      <w:r w:rsidRPr="008E160B">
        <w:rPr>
          <w:rFonts w:ascii="Arial" w:hAnsi="Arial" w:cs="Arial"/>
          <w:b/>
          <w:sz w:val="18"/>
          <w:szCs w:val="16"/>
        </w:rPr>
        <w:t>AEs</w:t>
      </w:r>
      <w:proofErr w:type="gramEnd"/>
      <w:r w:rsidRPr="008E160B">
        <w:rPr>
          <w:rFonts w:ascii="Arial" w:hAnsi="Arial" w:cs="Arial"/>
          <w:b/>
          <w:sz w:val="18"/>
          <w:szCs w:val="16"/>
        </w:rPr>
        <w:t xml:space="preserve"> and the Australian Government</w:t>
      </w:r>
    </w:p>
    <w:tbl>
      <w:tblPr>
        <w:tblStyle w:val="GridTable5Dark-Accent5"/>
        <w:tblW w:w="14191" w:type="dxa"/>
        <w:tblLook w:val="04A0" w:firstRow="1" w:lastRow="0" w:firstColumn="1" w:lastColumn="0" w:noHBand="0" w:noVBand="1"/>
      </w:tblPr>
      <w:tblGrid>
        <w:gridCol w:w="2263"/>
        <w:gridCol w:w="3402"/>
        <w:gridCol w:w="2919"/>
        <w:gridCol w:w="2962"/>
        <w:gridCol w:w="2645"/>
      </w:tblGrid>
      <w:tr w:rsidR="003F787D" w:rsidRPr="008E160B" w14:paraId="7F045B1F" w14:textId="5020744C" w:rsidTr="004141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002060"/>
          </w:tcPr>
          <w:p w14:paraId="5ED5C5C6" w14:textId="7C996336" w:rsidR="003F787D" w:rsidRPr="008E160B" w:rsidRDefault="003F787D" w:rsidP="0072312A">
            <w:pPr>
              <w:spacing w:before="60" w:after="60"/>
              <w:rPr>
                <w:rFonts w:ascii="Arial" w:hAnsi="Arial" w:cs="Arial"/>
                <w:sz w:val="18"/>
                <w:szCs w:val="18"/>
              </w:rPr>
            </w:pPr>
            <w:r w:rsidRPr="008E160B">
              <w:rPr>
                <w:rFonts w:ascii="Arial" w:hAnsi="Arial" w:cs="Arial"/>
                <w:sz w:val="18"/>
                <w:szCs w:val="18"/>
              </w:rPr>
              <w:t>Issue</w:t>
            </w:r>
          </w:p>
        </w:tc>
        <w:tc>
          <w:tcPr>
            <w:tcW w:w="3402" w:type="dxa"/>
            <w:shd w:val="clear" w:color="auto" w:fill="002060"/>
          </w:tcPr>
          <w:p w14:paraId="4A1118DE" w14:textId="0F310E88" w:rsidR="003F787D" w:rsidRPr="008E160B" w:rsidRDefault="003F787D" w:rsidP="0072312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Workers </w:t>
            </w:r>
          </w:p>
        </w:tc>
        <w:tc>
          <w:tcPr>
            <w:tcW w:w="2919" w:type="dxa"/>
            <w:shd w:val="clear" w:color="auto" w:fill="002060"/>
          </w:tcPr>
          <w:p w14:paraId="0CF3D19F" w14:textId="5463209A" w:rsidR="003F787D" w:rsidRPr="008E160B" w:rsidRDefault="000D7F69" w:rsidP="0072312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AE</w:t>
            </w:r>
            <w:r w:rsidR="00786B3B" w:rsidRPr="008E160B">
              <w:rPr>
                <w:rFonts w:ascii="Arial" w:hAnsi="Arial" w:cs="Arial"/>
                <w:sz w:val="18"/>
                <w:szCs w:val="18"/>
              </w:rPr>
              <w:t>s</w:t>
            </w:r>
          </w:p>
        </w:tc>
        <w:tc>
          <w:tcPr>
            <w:tcW w:w="2962" w:type="dxa"/>
            <w:shd w:val="clear" w:color="auto" w:fill="002060"/>
          </w:tcPr>
          <w:p w14:paraId="00BD737E" w14:textId="7FF0310F" w:rsidR="003F787D" w:rsidRPr="008E160B" w:rsidRDefault="003F787D" w:rsidP="0072312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Australian Government </w:t>
            </w:r>
          </w:p>
        </w:tc>
        <w:tc>
          <w:tcPr>
            <w:tcW w:w="2645" w:type="dxa"/>
            <w:shd w:val="clear" w:color="auto" w:fill="002060"/>
          </w:tcPr>
          <w:p w14:paraId="081A59A9" w14:textId="00F949C9" w:rsidR="003F787D" w:rsidRPr="008E160B" w:rsidRDefault="003F787D" w:rsidP="0072312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General Public </w:t>
            </w:r>
          </w:p>
        </w:tc>
      </w:tr>
      <w:tr w:rsidR="003F787D" w:rsidRPr="008E160B" w14:paraId="5CDB0016" w14:textId="75EE57E5" w:rsidTr="003C7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6528B6DC" w14:textId="04AAA12A" w:rsidR="003F787D" w:rsidRPr="008E160B" w:rsidRDefault="003F787D" w:rsidP="0072312A">
            <w:pPr>
              <w:spacing w:before="60" w:after="60"/>
              <w:rPr>
                <w:rFonts w:ascii="Arial" w:hAnsi="Arial" w:cs="Arial"/>
                <w:color w:val="auto"/>
                <w:sz w:val="18"/>
                <w:szCs w:val="18"/>
              </w:rPr>
            </w:pPr>
            <w:r w:rsidRPr="008E160B">
              <w:rPr>
                <w:rFonts w:ascii="Arial" w:hAnsi="Arial" w:cs="Arial"/>
                <w:color w:val="auto"/>
                <w:sz w:val="18"/>
                <w:szCs w:val="18"/>
              </w:rPr>
              <w:t xml:space="preserve">Accommodation cost </w:t>
            </w:r>
          </w:p>
        </w:tc>
        <w:tc>
          <w:tcPr>
            <w:tcW w:w="3402" w:type="dxa"/>
            <w:shd w:val="clear" w:color="auto" w:fill="auto"/>
          </w:tcPr>
          <w:p w14:paraId="65FC1260" w14:textId="3F56F2AA" w:rsidR="003F787D" w:rsidRPr="008E160B" w:rsidRDefault="003F787D" w:rsidP="007231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160B">
              <w:rPr>
                <w:rFonts w:ascii="Arial" w:hAnsi="Arial" w:cs="Arial"/>
                <w:sz w:val="18"/>
                <w:szCs w:val="18"/>
              </w:rPr>
              <w:t>Cheap</w:t>
            </w:r>
            <w:r w:rsidR="009F5811" w:rsidRPr="008E160B">
              <w:rPr>
                <w:rFonts w:ascii="Arial" w:hAnsi="Arial" w:cs="Arial"/>
                <w:sz w:val="18"/>
                <w:szCs w:val="18"/>
              </w:rPr>
              <w:t xml:space="preserve"> accommodation to enable more money</w:t>
            </w:r>
            <w:r w:rsidR="00C13EB2">
              <w:rPr>
                <w:rFonts w:ascii="Arial" w:hAnsi="Arial" w:cs="Arial"/>
                <w:sz w:val="18"/>
                <w:szCs w:val="18"/>
              </w:rPr>
              <w:t xml:space="preserve"> to be sent</w:t>
            </w:r>
            <w:r w:rsidR="009F5811" w:rsidRPr="008E160B">
              <w:rPr>
                <w:rFonts w:ascii="Arial" w:hAnsi="Arial" w:cs="Arial"/>
                <w:sz w:val="18"/>
                <w:szCs w:val="18"/>
              </w:rPr>
              <w:t xml:space="preserve"> home. </w:t>
            </w:r>
          </w:p>
        </w:tc>
        <w:tc>
          <w:tcPr>
            <w:tcW w:w="2919" w:type="dxa"/>
            <w:shd w:val="clear" w:color="auto" w:fill="auto"/>
          </w:tcPr>
          <w:p w14:paraId="1259E1C4" w14:textId="10A3BC94" w:rsidR="003F787D" w:rsidRPr="008E160B" w:rsidRDefault="003F787D" w:rsidP="007231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160B">
              <w:rPr>
                <w:rFonts w:ascii="Arial" w:hAnsi="Arial" w:cs="Arial"/>
                <w:sz w:val="18"/>
                <w:szCs w:val="18"/>
              </w:rPr>
              <w:t>Risk premium &amp; equity</w:t>
            </w:r>
            <w:r w:rsidR="009F5811" w:rsidRPr="008E160B">
              <w:rPr>
                <w:rFonts w:ascii="Arial" w:hAnsi="Arial" w:cs="Arial"/>
                <w:sz w:val="18"/>
                <w:szCs w:val="18"/>
              </w:rPr>
              <w:t xml:space="preserve"> of rates charged to workers</w:t>
            </w:r>
          </w:p>
        </w:tc>
        <w:tc>
          <w:tcPr>
            <w:tcW w:w="2962" w:type="dxa"/>
            <w:shd w:val="clear" w:color="auto" w:fill="auto"/>
          </w:tcPr>
          <w:p w14:paraId="1D36DD78" w14:textId="62800C57" w:rsidR="003F787D" w:rsidRPr="008E160B" w:rsidRDefault="003E2782" w:rsidP="007231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Accommodation costs are fair, </w:t>
            </w:r>
            <w:proofErr w:type="gramStart"/>
            <w:r>
              <w:rPr>
                <w:rFonts w:ascii="Arial" w:hAnsi="Arial" w:cs="Arial"/>
                <w:sz w:val="18"/>
                <w:szCs w:val="18"/>
              </w:rPr>
              <w:t>low</w:t>
            </w:r>
            <w:proofErr w:type="gramEnd"/>
            <w:r>
              <w:rPr>
                <w:rFonts w:ascii="Arial" w:hAnsi="Arial" w:cs="Arial"/>
                <w:sz w:val="18"/>
                <w:szCs w:val="18"/>
              </w:rPr>
              <w:t xml:space="preserve"> and reasonable</w:t>
            </w:r>
            <w:r w:rsidRPr="008E160B">
              <w:rPr>
                <w:rFonts w:ascii="Arial" w:hAnsi="Arial" w:cs="Arial"/>
                <w:sz w:val="18"/>
                <w:szCs w:val="18"/>
              </w:rPr>
              <w:t xml:space="preserve">  </w:t>
            </w:r>
          </w:p>
        </w:tc>
        <w:tc>
          <w:tcPr>
            <w:tcW w:w="2645" w:type="dxa"/>
            <w:shd w:val="clear" w:color="auto" w:fill="auto"/>
          </w:tcPr>
          <w:p w14:paraId="53AEF289" w14:textId="7B5B1A44" w:rsidR="009F5811" w:rsidRPr="008E160B" w:rsidRDefault="003F787D" w:rsidP="007231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160B">
              <w:rPr>
                <w:rFonts w:ascii="Arial" w:hAnsi="Arial" w:cs="Arial"/>
                <w:sz w:val="18"/>
                <w:szCs w:val="18"/>
              </w:rPr>
              <w:t>Perception</w:t>
            </w:r>
            <w:r w:rsidR="009F5811" w:rsidRPr="008E160B">
              <w:rPr>
                <w:rFonts w:ascii="Arial" w:hAnsi="Arial" w:cs="Arial"/>
                <w:sz w:val="18"/>
                <w:szCs w:val="18"/>
              </w:rPr>
              <w:t xml:space="preserve"> of fairness</w:t>
            </w:r>
          </w:p>
        </w:tc>
      </w:tr>
      <w:tr w:rsidR="003F787D" w:rsidRPr="008E160B" w14:paraId="133DAC88" w14:textId="799B65D5" w:rsidTr="003C7AA6">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589F2E5F" w14:textId="0C46B27C" w:rsidR="003F787D" w:rsidRPr="008E160B" w:rsidRDefault="000150F9" w:rsidP="0072312A">
            <w:pPr>
              <w:spacing w:before="60" w:after="60"/>
              <w:rPr>
                <w:rFonts w:ascii="Arial" w:hAnsi="Arial" w:cs="Arial"/>
                <w:color w:val="auto"/>
                <w:sz w:val="18"/>
                <w:szCs w:val="18"/>
              </w:rPr>
            </w:pPr>
            <w:r w:rsidRPr="008E160B">
              <w:rPr>
                <w:rFonts w:ascii="Arial" w:hAnsi="Arial" w:cs="Arial"/>
                <w:color w:val="auto"/>
                <w:sz w:val="18"/>
                <w:szCs w:val="18"/>
              </w:rPr>
              <w:t>Occupancy</w:t>
            </w:r>
            <w:r w:rsidR="009F5811" w:rsidRPr="008E160B">
              <w:rPr>
                <w:rFonts w:ascii="Arial" w:hAnsi="Arial" w:cs="Arial"/>
                <w:color w:val="auto"/>
                <w:sz w:val="18"/>
                <w:szCs w:val="18"/>
              </w:rPr>
              <w:t xml:space="preserve"> </w:t>
            </w:r>
            <w:r w:rsidR="00313623" w:rsidRPr="008E160B">
              <w:rPr>
                <w:rFonts w:ascii="Arial" w:hAnsi="Arial" w:cs="Arial"/>
                <w:color w:val="auto"/>
                <w:sz w:val="18"/>
                <w:szCs w:val="18"/>
              </w:rPr>
              <w:t>and</w:t>
            </w:r>
            <w:r w:rsidR="009F5811" w:rsidRPr="008E160B">
              <w:rPr>
                <w:rFonts w:ascii="Arial" w:hAnsi="Arial" w:cs="Arial"/>
                <w:color w:val="auto"/>
                <w:sz w:val="18"/>
                <w:szCs w:val="18"/>
              </w:rPr>
              <w:t xml:space="preserve"> standard of accommodation </w:t>
            </w:r>
            <w:r w:rsidRPr="008E160B">
              <w:rPr>
                <w:rFonts w:ascii="Arial" w:hAnsi="Arial" w:cs="Arial"/>
                <w:color w:val="auto"/>
                <w:sz w:val="18"/>
                <w:szCs w:val="18"/>
              </w:rPr>
              <w:t xml:space="preserve"> </w:t>
            </w:r>
          </w:p>
        </w:tc>
        <w:tc>
          <w:tcPr>
            <w:tcW w:w="3402" w:type="dxa"/>
            <w:shd w:val="clear" w:color="auto" w:fill="auto"/>
          </w:tcPr>
          <w:p w14:paraId="6DC2DF4E" w14:textId="085E5BB3" w:rsidR="003F787D" w:rsidRPr="008E160B" w:rsidRDefault="000150F9" w:rsidP="007231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Motivated </w:t>
            </w:r>
            <w:r w:rsidR="009F5811" w:rsidRPr="008E160B">
              <w:rPr>
                <w:rFonts w:ascii="Arial" w:hAnsi="Arial" w:cs="Arial"/>
                <w:sz w:val="18"/>
                <w:szCs w:val="18"/>
              </w:rPr>
              <w:t>to share</w:t>
            </w:r>
            <w:r w:rsidRPr="008E160B">
              <w:rPr>
                <w:rFonts w:ascii="Arial" w:hAnsi="Arial" w:cs="Arial"/>
                <w:sz w:val="18"/>
                <w:szCs w:val="18"/>
              </w:rPr>
              <w:t xml:space="preserve"> cost or driven by the collectivistic culture</w:t>
            </w:r>
          </w:p>
        </w:tc>
        <w:tc>
          <w:tcPr>
            <w:tcW w:w="2919" w:type="dxa"/>
            <w:shd w:val="clear" w:color="auto" w:fill="auto"/>
          </w:tcPr>
          <w:p w14:paraId="67FDA9A5" w14:textId="31B4CFC8" w:rsidR="003F787D" w:rsidRPr="008E160B" w:rsidRDefault="000150F9" w:rsidP="007231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Challenges in sourcing suitable accommodation </w:t>
            </w:r>
            <w:r w:rsidR="009F5811" w:rsidRPr="008E160B">
              <w:rPr>
                <w:rFonts w:ascii="Arial" w:hAnsi="Arial" w:cs="Arial"/>
                <w:sz w:val="18"/>
                <w:szCs w:val="18"/>
              </w:rPr>
              <w:t>(demand vs supply)</w:t>
            </w:r>
          </w:p>
        </w:tc>
        <w:tc>
          <w:tcPr>
            <w:tcW w:w="2962" w:type="dxa"/>
            <w:shd w:val="clear" w:color="auto" w:fill="auto"/>
          </w:tcPr>
          <w:p w14:paraId="096217F4" w14:textId="6657614B" w:rsidR="003F787D" w:rsidRPr="008E160B" w:rsidRDefault="000150F9" w:rsidP="007231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Worker welfare</w:t>
            </w:r>
            <w:r w:rsidR="009F5811" w:rsidRPr="008E160B">
              <w:rPr>
                <w:rFonts w:ascii="Arial" w:hAnsi="Arial" w:cs="Arial"/>
                <w:sz w:val="18"/>
                <w:szCs w:val="18"/>
              </w:rPr>
              <w:t xml:space="preserve"> &amp;</w:t>
            </w:r>
            <w:r w:rsidR="00067250" w:rsidRPr="008E160B">
              <w:rPr>
                <w:rFonts w:ascii="Arial" w:hAnsi="Arial" w:cs="Arial"/>
                <w:sz w:val="18"/>
                <w:szCs w:val="18"/>
              </w:rPr>
              <w:t xml:space="preserve"> departmental</w:t>
            </w:r>
            <w:r w:rsidR="009F5811" w:rsidRPr="008E160B">
              <w:rPr>
                <w:rFonts w:ascii="Arial" w:hAnsi="Arial" w:cs="Arial"/>
                <w:sz w:val="18"/>
                <w:szCs w:val="18"/>
              </w:rPr>
              <w:t xml:space="preserve"> reputation</w:t>
            </w:r>
          </w:p>
        </w:tc>
        <w:tc>
          <w:tcPr>
            <w:tcW w:w="2645" w:type="dxa"/>
            <w:shd w:val="clear" w:color="auto" w:fill="auto"/>
          </w:tcPr>
          <w:p w14:paraId="599E8414" w14:textId="2E028CE0" w:rsidR="003F787D" w:rsidRPr="008E160B" w:rsidRDefault="009F5811" w:rsidP="007231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160B">
              <w:rPr>
                <w:rFonts w:ascii="Arial" w:hAnsi="Arial" w:cs="Arial"/>
                <w:sz w:val="18"/>
                <w:szCs w:val="18"/>
              </w:rPr>
              <w:t xml:space="preserve">Social impact on the community </w:t>
            </w:r>
          </w:p>
        </w:tc>
      </w:tr>
    </w:tbl>
    <w:p w14:paraId="357C8A02" w14:textId="01806884" w:rsidR="00F02093" w:rsidRPr="008E160B" w:rsidRDefault="00F02093" w:rsidP="009E2E2D">
      <w:pPr>
        <w:pStyle w:val="ListParagraph"/>
        <w:numPr>
          <w:ilvl w:val="0"/>
          <w:numId w:val="8"/>
        </w:numPr>
        <w:tabs>
          <w:tab w:val="left" w:pos="426"/>
        </w:tabs>
        <w:spacing w:before="200" w:after="120" w:line="240" w:lineRule="auto"/>
        <w:ind w:left="426" w:hanging="426"/>
        <w:rPr>
          <w:rFonts w:ascii="Arial" w:hAnsi="Arial" w:cs="Arial"/>
          <w:b/>
          <w:bCs/>
          <w:sz w:val="20"/>
          <w:szCs w:val="20"/>
        </w:rPr>
      </w:pPr>
      <w:r w:rsidRPr="008E160B">
        <w:rPr>
          <w:rFonts w:ascii="Arial" w:hAnsi="Arial" w:cs="Arial"/>
          <w:b/>
          <w:bCs/>
          <w:sz w:val="20"/>
          <w:szCs w:val="20"/>
        </w:rPr>
        <w:t xml:space="preserve">Objective </w:t>
      </w:r>
    </w:p>
    <w:p w14:paraId="05C73E87" w14:textId="0EF86331" w:rsidR="00EA221C" w:rsidRPr="008E160B" w:rsidRDefault="00EA221C" w:rsidP="00786B3B">
      <w:pPr>
        <w:spacing w:before="120" w:after="120" w:line="240" w:lineRule="auto"/>
        <w:jc w:val="both"/>
        <w:rPr>
          <w:rFonts w:ascii="Arial" w:hAnsi="Arial" w:cs="Arial"/>
          <w:sz w:val="20"/>
          <w:szCs w:val="20"/>
        </w:rPr>
      </w:pPr>
      <w:r w:rsidRPr="00737C93">
        <w:rPr>
          <w:rFonts w:ascii="Arial" w:hAnsi="Arial" w:cs="Arial"/>
          <w:sz w:val="20"/>
          <w:szCs w:val="20"/>
        </w:rPr>
        <w:t xml:space="preserve">The objective </w:t>
      </w:r>
      <w:r w:rsidR="00313623" w:rsidRPr="00D152E1">
        <w:rPr>
          <w:rFonts w:ascii="Arial" w:hAnsi="Arial" w:cs="Arial"/>
          <w:sz w:val="20"/>
          <w:szCs w:val="20"/>
        </w:rPr>
        <w:t xml:space="preserve">of the review </w:t>
      </w:r>
      <w:r w:rsidRPr="008E160B">
        <w:rPr>
          <w:rFonts w:ascii="Arial" w:hAnsi="Arial" w:cs="Arial"/>
          <w:sz w:val="20"/>
          <w:szCs w:val="20"/>
        </w:rPr>
        <w:t xml:space="preserve">was to </w:t>
      </w:r>
      <w:r w:rsidR="008074D3" w:rsidRPr="008E160B">
        <w:rPr>
          <w:rFonts w:ascii="Arial" w:hAnsi="Arial" w:cs="Arial"/>
          <w:sz w:val="20"/>
          <w:szCs w:val="20"/>
        </w:rPr>
        <w:t xml:space="preserve">examine </w:t>
      </w:r>
      <w:r w:rsidR="00497B90" w:rsidRPr="008E160B">
        <w:rPr>
          <w:rFonts w:ascii="Arial" w:hAnsi="Arial" w:cs="Arial"/>
          <w:sz w:val="20"/>
          <w:szCs w:val="20"/>
        </w:rPr>
        <w:t>the cost of accommodation for PLS/SWP workers and consider if changes are warranted to DFAT and DESE policies to improve the value and suitability of accommodation provided under the two schemes.  The review also considered whether changes to accommodation assurance processes are required.</w:t>
      </w:r>
    </w:p>
    <w:p w14:paraId="006457DF" w14:textId="6D5CB472" w:rsidR="006D4556" w:rsidRDefault="006D4556" w:rsidP="009E2E2D">
      <w:pPr>
        <w:pStyle w:val="ListParagraph"/>
        <w:numPr>
          <w:ilvl w:val="0"/>
          <w:numId w:val="8"/>
        </w:numPr>
        <w:tabs>
          <w:tab w:val="left" w:pos="426"/>
        </w:tabs>
        <w:spacing w:before="120" w:after="120" w:line="240" w:lineRule="auto"/>
        <w:ind w:left="425" w:hanging="425"/>
        <w:rPr>
          <w:rFonts w:ascii="Arial" w:hAnsi="Arial" w:cs="Arial"/>
          <w:b/>
          <w:bCs/>
          <w:sz w:val="20"/>
          <w:szCs w:val="20"/>
        </w:rPr>
      </w:pPr>
      <w:r w:rsidRPr="008E160B">
        <w:rPr>
          <w:rFonts w:ascii="Arial" w:hAnsi="Arial" w:cs="Arial"/>
          <w:b/>
          <w:bCs/>
          <w:sz w:val="20"/>
          <w:szCs w:val="20"/>
        </w:rPr>
        <w:t>Scope</w:t>
      </w:r>
    </w:p>
    <w:p w14:paraId="18965D49" w14:textId="77777777" w:rsidR="00A21281" w:rsidRPr="008E160B" w:rsidRDefault="00A21281" w:rsidP="00A21281">
      <w:pPr>
        <w:numPr>
          <w:ilvl w:val="0"/>
          <w:numId w:val="2"/>
        </w:numPr>
        <w:spacing w:before="120" w:after="120" w:line="276" w:lineRule="auto"/>
        <w:ind w:left="714" w:hanging="357"/>
        <w:jc w:val="both"/>
        <w:rPr>
          <w:rFonts w:ascii="Arial" w:hAnsi="Arial" w:cs="Arial"/>
          <w:sz w:val="20"/>
          <w:szCs w:val="20"/>
        </w:rPr>
      </w:pPr>
      <w:r w:rsidRPr="00737C93">
        <w:rPr>
          <w:rFonts w:ascii="Arial" w:hAnsi="Arial" w:cs="Arial"/>
          <w:sz w:val="20"/>
          <w:szCs w:val="20"/>
        </w:rPr>
        <w:t>Reviewed</w:t>
      </w:r>
      <w:r w:rsidRPr="008E160B">
        <w:rPr>
          <w:rFonts w:ascii="Arial" w:hAnsi="Arial" w:cs="Arial"/>
          <w:sz w:val="20"/>
          <w:szCs w:val="20"/>
        </w:rPr>
        <w:t xml:space="preserve"> PLS/SWP accommodation costs and deductions, including rental costs, inclusions, occupancy levels and accommodation types </w:t>
      </w:r>
    </w:p>
    <w:p w14:paraId="5B8572EA" w14:textId="77777777" w:rsidR="00A21281" w:rsidRPr="008E160B" w:rsidRDefault="00A21281" w:rsidP="00A21281">
      <w:pPr>
        <w:numPr>
          <w:ilvl w:val="0"/>
          <w:numId w:val="2"/>
        </w:numPr>
        <w:spacing w:before="120" w:after="120" w:line="276" w:lineRule="auto"/>
        <w:ind w:left="714" w:hanging="357"/>
        <w:jc w:val="both"/>
        <w:rPr>
          <w:rFonts w:ascii="Arial" w:hAnsi="Arial" w:cs="Arial"/>
          <w:sz w:val="20"/>
          <w:szCs w:val="20"/>
        </w:rPr>
      </w:pPr>
      <w:r w:rsidRPr="008E160B">
        <w:rPr>
          <w:rFonts w:ascii="Arial" w:hAnsi="Arial" w:cs="Arial"/>
          <w:sz w:val="20"/>
          <w:szCs w:val="20"/>
        </w:rPr>
        <w:t>Conducted comparative assessments of PLS/SWP accommodation costs against average rental prices in relevant regions considering like-for-like properties, hostels, caravan parks and on-farm accommodation arrangements</w:t>
      </w:r>
    </w:p>
    <w:p w14:paraId="29965A18" w14:textId="77777777" w:rsidR="00A21281" w:rsidRPr="008E160B" w:rsidRDefault="00A21281" w:rsidP="00A21281">
      <w:pPr>
        <w:numPr>
          <w:ilvl w:val="0"/>
          <w:numId w:val="2"/>
        </w:numPr>
        <w:spacing w:before="120" w:after="120" w:line="276" w:lineRule="auto"/>
        <w:ind w:left="714" w:hanging="357"/>
        <w:jc w:val="both"/>
        <w:rPr>
          <w:rFonts w:ascii="Arial" w:hAnsi="Arial" w:cs="Arial"/>
          <w:sz w:val="20"/>
          <w:szCs w:val="20"/>
        </w:rPr>
      </w:pPr>
      <w:r w:rsidRPr="008E160B">
        <w:rPr>
          <w:rFonts w:ascii="Arial" w:hAnsi="Arial" w:cs="Arial"/>
          <w:sz w:val="20"/>
          <w:szCs w:val="20"/>
        </w:rPr>
        <w:t xml:space="preserve">Compared accommodation approaches across different sectors (predominantly horticultural), employers, </w:t>
      </w:r>
      <w:proofErr w:type="gramStart"/>
      <w:r w:rsidRPr="008E160B">
        <w:rPr>
          <w:rFonts w:ascii="Arial" w:hAnsi="Arial" w:cs="Arial"/>
          <w:sz w:val="20"/>
          <w:szCs w:val="20"/>
        </w:rPr>
        <w:t>regions</w:t>
      </w:r>
      <w:proofErr w:type="gramEnd"/>
      <w:r w:rsidRPr="008E160B">
        <w:rPr>
          <w:rFonts w:ascii="Arial" w:hAnsi="Arial" w:cs="Arial"/>
          <w:sz w:val="20"/>
          <w:szCs w:val="20"/>
        </w:rPr>
        <w:t xml:space="preserve"> and schemes</w:t>
      </w:r>
    </w:p>
    <w:p w14:paraId="080B1174" w14:textId="77777777" w:rsidR="00A21281" w:rsidRPr="008E160B" w:rsidRDefault="00A21281" w:rsidP="00A21281">
      <w:pPr>
        <w:numPr>
          <w:ilvl w:val="0"/>
          <w:numId w:val="2"/>
        </w:numPr>
        <w:spacing w:before="120" w:after="120" w:line="276" w:lineRule="auto"/>
        <w:ind w:left="714" w:hanging="357"/>
        <w:jc w:val="both"/>
        <w:rPr>
          <w:rFonts w:ascii="Arial" w:hAnsi="Arial" w:cs="Arial"/>
          <w:sz w:val="20"/>
          <w:szCs w:val="20"/>
        </w:rPr>
      </w:pPr>
      <w:r w:rsidRPr="008E160B">
        <w:rPr>
          <w:rFonts w:ascii="Arial" w:hAnsi="Arial" w:cs="Arial"/>
          <w:sz w:val="20"/>
          <w:szCs w:val="20"/>
        </w:rPr>
        <w:t>Compared accommodation options for other temporary visa holders using available data</w:t>
      </w:r>
    </w:p>
    <w:p w14:paraId="2BA9549A" w14:textId="77777777" w:rsidR="00A21281" w:rsidRPr="008E160B" w:rsidRDefault="00A21281" w:rsidP="00A21281">
      <w:pPr>
        <w:numPr>
          <w:ilvl w:val="0"/>
          <w:numId w:val="2"/>
        </w:numPr>
        <w:spacing w:before="120" w:after="120" w:line="276" w:lineRule="auto"/>
        <w:ind w:left="714" w:hanging="357"/>
        <w:jc w:val="both"/>
        <w:rPr>
          <w:rFonts w:ascii="Arial" w:hAnsi="Arial" w:cs="Arial"/>
          <w:sz w:val="20"/>
          <w:szCs w:val="20"/>
        </w:rPr>
      </w:pPr>
      <w:r w:rsidRPr="008E160B">
        <w:rPr>
          <w:rFonts w:ascii="Arial" w:hAnsi="Arial" w:cs="Arial"/>
          <w:sz w:val="20"/>
          <w:szCs w:val="20"/>
        </w:rPr>
        <w:t>Reviewed PLS/SWP accommodation settings and guidelines, including the approach to monitor minimum requirements, and assurance processes</w:t>
      </w:r>
    </w:p>
    <w:p w14:paraId="573147A5" w14:textId="518D0170" w:rsidR="00A21281" w:rsidRPr="00A21281" w:rsidRDefault="00A21281" w:rsidP="00A21281">
      <w:pPr>
        <w:pStyle w:val="ListParagraph"/>
        <w:numPr>
          <w:ilvl w:val="0"/>
          <w:numId w:val="2"/>
        </w:numPr>
        <w:tabs>
          <w:tab w:val="left" w:pos="426"/>
        </w:tabs>
        <w:spacing w:before="120" w:after="120" w:line="240" w:lineRule="auto"/>
        <w:rPr>
          <w:rFonts w:ascii="Arial" w:hAnsi="Arial" w:cs="Arial"/>
          <w:b/>
          <w:bCs/>
          <w:sz w:val="20"/>
          <w:szCs w:val="20"/>
        </w:rPr>
      </w:pPr>
      <w:r w:rsidRPr="008E160B">
        <w:rPr>
          <w:rFonts w:ascii="Arial" w:hAnsi="Arial" w:cs="Arial"/>
          <w:sz w:val="20"/>
          <w:szCs w:val="20"/>
        </w:rPr>
        <w:t>Drafted recommendations to improve policy settings, governance processes and guidelines have been identified where required.</w:t>
      </w:r>
    </w:p>
    <w:p w14:paraId="297D0838" w14:textId="77777777" w:rsidR="00A21281" w:rsidRDefault="00A21281" w:rsidP="00A21281">
      <w:pPr>
        <w:pStyle w:val="ListParagraph"/>
        <w:tabs>
          <w:tab w:val="left" w:pos="426"/>
        </w:tabs>
        <w:spacing w:before="120" w:after="120" w:line="240" w:lineRule="auto"/>
        <w:rPr>
          <w:rFonts w:ascii="Arial" w:hAnsi="Arial" w:cs="Arial"/>
          <w:b/>
          <w:bCs/>
          <w:sz w:val="20"/>
          <w:szCs w:val="20"/>
        </w:rPr>
      </w:pPr>
    </w:p>
    <w:p w14:paraId="4E866830" w14:textId="364880E0" w:rsidR="006D4556" w:rsidRDefault="006D4556" w:rsidP="009E2E2D">
      <w:pPr>
        <w:pStyle w:val="ListParagraph"/>
        <w:numPr>
          <w:ilvl w:val="0"/>
          <w:numId w:val="8"/>
        </w:numPr>
        <w:tabs>
          <w:tab w:val="left" w:pos="426"/>
        </w:tabs>
        <w:spacing w:before="120" w:after="120" w:line="240" w:lineRule="auto"/>
        <w:ind w:left="425" w:hanging="425"/>
        <w:contextualSpacing w:val="0"/>
        <w:rPr>
          <w:rFonts w:ascii="Arial" w:hAnsi="Arial" w:cs="Arial"/>
          <w:b/>
          <w:bCs/>
          <w:sz w:val="20"/>
          <w:szCs w:val="20"/>
        </w:rPr>
      </w:pPr>
      <w:r w:rsidRPr="008E160B">
        <w:rPr>
          <w:rFonts w:ascii="Arial" w:hAnsi="Arial" w:cs="Arial"/>
          <w:b/>
          <w:bCs/>
          <w:sz w:val="20"/>
          <w:szCs w:val="20"/>
        </w:rPr>
        <w:t xml:space="preserve">Statement of </w:t>
      </w:r>
      <w:r w:rsidR="00313623" w:rsidRPr="008E160B">
        <w:rPr>
          <w:rFonts w:ascii="Arial" w:hAnsi="Arial" w:cs="Arial"/>
          <w:b/>
          <w:bCs/>
          <w:sz w:val="20"/>
          <w:szCs w:val="20"/>
        </w:rPr>
        <w:t>l</w:t>
      </w:r>
      <w:r w:rsidRPr="008E160B">
        <w:rPr>
          <w:rFonts w:ascii="Arial" w:hAnsi="Arial" w:cs="Arial"/>
          <w:b/>
          <w:bCs/>
          <w:sz w:val="20"/>
          <w:szCs w:val="20"/>
        </w:rPr>
        <w:t>imitations</w:t>
      </w:r>
    </w:p>
    <w:p w14:paraId="03E192ED" w14:textId="77777777" w:rsidR="00A21281" w:rsidRPr="008E160B" w:rsidRDefault="00A21281" w:rsidP="00A21281">
      <w:pPr>
        <w:pStyle w:val="ListParagraph"/>
        <w:numPr>
          <w:ilvl w:val="0"/>
          <w:numId w:val="1"/>
        </w:numPr>
        <w:spacing w:before="120" w:after="120" w:line="276" w:lineRule="auto"/>
        <w:ind w:left="508" w:hanging="357"/>
        <w:contextualSpacing w:val="0"/>
        <w:jc w:val="both"/>
        <w:rPr>
          <w:rFonts w:ascii="Arial" w:hAnsi="Arial" w:cs="Arial"/>
          <w:sz w:val="20"/>
          <w:szCs w:val="20"/>
        </w:rPr>
      </w:pPr>
      <w:r w:rsidRPr="008E160B">
        <w:rPr>
          <w:rFonts w:ascii="Arial" w:hAnsi="Arial" w:cs="Arial"/>
          <w:sz w:val="20"/>
          <w:szCs w:val="20"/>
        </w:rPr>
        <w:t xml:space="preserve">Reliance on PLS accommodation data supplied by the PLF (dated 24 August 2020), which has been partly sourced from employer and workers surveys. </w:t>
      </w:r>
      <w:proofErr w:type="spellStart"/>
      <w:r w:rsidRPr="008E160B">
        <w:rPr>
          <w:rFonts w:ascii="Arial" w:hAnsi="Arial" w:cs="Arial"/>
          <w:sz w:val="20"/>
          <w:szCs w:val="20"/>
        </w:rPr>
        <w:t>BellchambersBarrett</w:t>
      </w:r>
      <w:proofErr w:type="spellEnd"/>
      <w:r w:rsidRPr="008E160B">
        <w:rPr>
          <w:rFonts w:ascii="Arial" w:hAnsi="Arial" w:cs="Arial"/>
          <w:sz w:val="20"/>
          <w:szCs w:val="20"/>
        </w:rPr>
        <w:t xml:space="preserve"> did not validate source documentation, audit the accommodation data provided or reconcile information back to survey results.</w:t>
      </w:r>
    </w:p>
    <w:p w14:paraId="7FCE2FA9" w14:textId="77777777" w:rsidR="00A21281" w:rsidRPr="008B4361" w:rsidRDefault="00A21281" w:rsidP="00A21281">
      <w:pPr>
        <w:pStyle w:val="ListParagraph"/>
        <w:numPr>
          <w:ilvl w:val="0"/>
          <w:numId w:val="1"/>
        </w:numPr>
        <w:spacing w:before="120" w:after="120" w:line="276" w:lineRule="auto"/>
        <w:ind w:left="508" w:hanging="357"/>
        <w:contextualSpacing w:val="0"/>
        <w:jc w:val="both"/>
        <w:rPr>
          <w:rFonts w:ascii="Arial" w:hAnsi="Arial" w:cs="Arial"/>
          <w:sz w:val="20"/>
          <w:szCs w:val="20"/>
        </w:rPr>
      </w:pPr>
      <w:r w:rsidRPr="008B4361">
        <w:rPr>
          <w:rFonts w:ascii="Arial" w:hAnsi="Arial" w:cs="Arial"/>
          <w:sz w:val="20"/>
          <w:szCs w:val="20"/>
        </w:rPr>
        <w:t>Research</w:t>
      </w:r>
      <w:r w:rsidRPr="00E95A08">
        <w:rPr>
          <w:rFonts w:ascii="Arial" w:hAnsi="Arial" w:cs="Arial"/>
          <w:sz w:val="20"/>
          <w:szCs w:val="20"/>
        </w:rPr>
        <w:t xml:space="preserve"> on original market price did not include additional costs such as Wi-Fi, </w:t>
      </w:r>
      <w:proofErr w:type="gramStart"/>
      <w:r w:rsidRPr="00E95A08">
        <w:rPr>
          <w:rFonts w:ascii="Arial" w:hAnsi="Arial" w:cs="Arial"/>
          <w:sz w:val="20"/>
          <w:szCs w:val="20"/>
        </w:rPr>
        <w:t>cleaning</w:t>
      </w:r>
      <w:proofErr w:type="gramEnd"/>
      <w:r w:rsidRPr="00E95A08">
        <w:rPr>
          <w:rFonts w:ascii="Arial" w:hAnsi="Arial" w:cs="Arial"/>
          <w:sz w:val="20"/>
          <w:szCs w:val="20"/>
        </w:rPr>
        <w:t xml:space="preserve"> and utilities.  These items may be inclusions with SWP and PLS accommodation. </w:t>
      </w:r>
    </w:p>
    <w:p w14:paraId="240774FC" w14:textId="77777777" w:rsidR="00A21281" w:rsidRDefault="00A21281" w:rsidP="00A21281">
      <w:pPr>
        <w:pStyle w:val="ListParagraph"/>
        <w:numPr>
          <w:ilvl w:val="0"/>
          <w:numId w:val="1"/>
        </w:numPr>
        <w:spacing w:before="120" w:after="120" w:line="276" w:lineRule="auto"/>
        <w:ind w:left="508" w:hanging="357"/>
        <w:contextualSpacing w:val="0"/>
        <w:jc w:val="both"/>
        <w:rPr>
          <w:rFonts w:ascii="Arial" w:hAnsi="Arial" w:cs="Arial"/>
          <w:sz w:val="20"/>
          <w:szCs w:val="20"/>
        </w:rPr>
      </w:pPr>
      <w:r w:rsidRPr="008E160B">
        <w:rPr>
          <w:rFonts w:ascii="Arial" w:hAnsi="Arial" w:cs="Arial"/>
          <w:sz w:val="20"/>
          <w:szCs w:val="20"/>
        </w:rPr>
        <w:t xml:space="preserve">Reliance on average cost of utilities, Wi-Fi and furniture used in PLS accommodation data. These costs were provided by an </w:t>
      </w:r>
      <w:r>
        <w:rPr>
          <w:rFonts w:ascii="Arial" w:hAnsi="Arial" w:cs="Arial"/>
          <w:sz w:val="20"/>
          <w:szCs w:val="20"/>
        </w:rPr>
        <w:t xml:space="preserve">AE. </w:t>
      </w:r>
    </w:p>
    <w:p w14:paraId="4D1FB47F" w14:textId="77777777" w:rsidR="00A21281" w:rsidRPr="008B4361" w:rsidRDefault="00A21281" w:rsidP="00A21281">
      <w:pPr>
        <w:pStyle w:val="ListParagraph"/>
        <w:numPr>
          <w:ilvl w:val="0"/>
          <w:numId w:val="1"/>
        </w:numPr>
        <w:spacing w:before="120" w:after="120" w:line="276" w:lineRule="auto"/>
        <w:ind w:left="508" w:hanging="357"/>
        <w:contextualSpacing w:val="0"/>
        <w:jc w:val="both"/>
        <w:rPr>
          <w:rFonts w:ascii="Arial" w:hAnsi="Arial" w:cs="Arial"/>
          <w:sz w:val="20"/>
          <w:szCs w:val="20"/>
        </w:rPr>
      </w:pPr>
      <w:r w:rsidRPr="008B4361">
        <w:rPr>
          <w:rFonts w:ascii="Arial" w:hAnsi="Arial" w:cs="Arial"/>
          <w:sz w:val="20"/>
          <w:szCs w:val="20"/>
        </w:rPr>
        <w:t>Reliance on SWP accommodation data provided by DESE, sourced from SWP Accommodation Plans recorded in SWP Online. Limitations of the SWP accommodation data were as follows:</w:t>
      </w:r>
    </w:p>
    <w:p w14:paraId="545C5AE1" w14:textId="77777777" w:rsidR="00A21281" w:rsidRPr="008E160B" w:rsidRDefault="00A21281" w:rsidP="00A21281">
      <w:pPr>
        <w:pStyle w:val="ListParagraph"/>
        <w:numPr>
          <w:ilvl w:val="1"/>
          <w:numId w:val="6"/>
        </w:numPr>
        <w:spacing w:before="60" w:after="60"/>
        <w:ind w:left="1231" w:hanging="425"/>
        <w:contextualSpacing w:val="0"/>
        <w:rPr>
          <w:rFonts w:ascii="Arial" w:hAnsi="Arial" w:cs="Arial"/>
          <w:sz w:val="20"/>
          <w:szCs w:val="20"/>
        </w:rPr>
      </w:pPr>
      <w:r w:rsidRPr="008E160B">
        <w:rPr>
          <w:rFonts w:ascii="Arial" w:hAnsi="Arial" w:cs="Arial"/>
          <w:sz w:val="20"/>
          <w:szCs w:val="20"/>
        </w:rPr>
        <w:t>Accommodation information is not disaggregated by sector/industry</w:t>
      </w:r>
      <w:r>
        <w:rPr>
          <w:rFonts w:ascii="Arial" w:hAnsi="Arial" w:cs="Arial"/>
          <w:sz w:val="20"/>
          <w:szCs w:val="20"/>
        </w:rPr>
        <w:t>.</w:t>
      </w:r>
    </w:p>
    <w:p w14:paraId="76175568" w14:textId="77777777" w:rsidR="00A21281" w:rsidRPr="008E160B" w:rsidRDefault="00A21281" w:rsidP="00A21281">
      <w:pPr>
        <w:pStyle w:val="ListParagraph"/>
        <w:numPr>
          <w:ilvl w:val="1"/>
          <w:numId w:val="6"/>
        </w:numPr>
        <w:spacing w:before="60" w:after="60"/>
        <w:ind w:left="1231" w:hanging="425"/>
        <w:contextualSpacing w:val="0"/>
        <w:rPr>
          <w:rFonts w:ascii="Arial" w:hAnsi="Arial" w:cs="Arial"/>
          <w:sz w:val="20"/>
          <w:szCs w:val="20"/>
        </w:rPr>
      </w:pPr>
      <w:r w:rsidRPr="008E160B">
        <w:rPr>
          <w:rFonts w:ascii="Arial" w:hAnsi="Arial" w:cs="Arial"/>
          <w:sz w:val="20"/>
          <w:szCs w:val="20"/>
        </w:rPr>
        <w:t xml:space="preserve">Maximum occupancy for each property is provided, however </w:t>
      </w:r>
      <w:r>
        <w:rPr>
          <w:rFonts w:ascii="Arial" w:hAnsi="Arial" w:cs="Arial"/>
          <w:sz w:val="20"/>
          <w:szCs w:val="20"/>
        </w:rPr>
        <w:t xml:space="preserve">there is </w:t>
      </w:r>
      <w:r w:rsidRPr="008E160B">
        <w:rPr>
          <w:rFonts w:ascii="Arial" w:hAnsi="Arial" w:cs="Arial"/>
          <w:sz w:val="20"/>
          <w:szCs w:val="20"/>
        </w:rPr>
        <w:t>no data for actual occupancy</w:t>
      </w:r>
      <w:r>
        <w:rPr>
          <w:rFonts w:ascii="Arial" w:hAnsi="Arial" w:cs="Arial"/>
          <w:sz w:val="20"/>
          <w:szCs w:val="20"/>
        </w:rPr>
        <w:t>.</w:t>
      </w:r>
    </w:p>
    <w:p w14:paraId="552FFC99" w14:textId="77777777" w:rsidR="00683ACF" w:rsidRPr="008E160B" w:rsidRDefault="00683ACF">
      <w:pPr>
        <w:rPr>
          <w:rFonts w:ascii="Arial" w:eastAsiaTheme="majorEastAsia" w:hAnsi="Arial" w:cs="Arial"/>
          <w:b/>
          <w:sz w:val="28"/>
          <w:szCs w:val="20"/>
          <w:u w:val="single"/>
        </w:rPr>
      </w:pPr>
      <w:r w:rsidRPr="008E160B">
        <w:rPr>
          <w:rFonts w:ascii="Arial" w:hAnsi="Arial" w:cs="Arial"/>
          <w:b/>
          <w:sz w:val="28"/>
          <w:szCs w:val="20"/>
          <w:u w:val="single"/>
        </w:rPr>
        <w:br w:type="page"/>
      </w:r>
    </w:p>
    <w:p w14:paraId="377BA2C1" w14:textId="2EA93C51" w:rsidR="00190113" w:rsidRDefault="00190113" w:rsidP="00414140">
      <w:pPr>
        <w:pStyle w:val="Heading2"/>
      </w:pPr>
      <w:bookmarkStart w:id="1" w:name="_Toc58245763"/>
      <w:r w:rsidRPr="008E160B">
        <w:lastRenderedPageBreak/>
        <w:t>Conclusion</w:t>
      </w:r>
      <w:bookmarkEnd w:id="1"/>
      <w:r w:rsidRPr="008E160B">
        <w:t xml:space="preserve"> </w:t>
      </w:r>
    </w:p>
    <w:p w14:paraId="7E2D66AB" w14:textId="77777777" w:rsidR="00A21281" w:rsidRDefault="00A21281" w:rsidP="00A21281">
      <w:pPr>
        <w:spacing w:before="120" w:after="120"/>
        <w:jc w:val="both"/>
        <w:rPr>
          <w:rFonts w:ascii="Arial" w:hAnsi="Arial" w:cs="Arial"/>
          <w:sz w:val="20"/>
          <w:szCs w:val="20"/>
        </w:rPr>
      </w:pPr>
      <w:r w:rsidRPr="008E160B">
        <w:rPr>
          <w:rFonts w:ascii="Arial" w:hAnsi="Arial" w:cs="Arial"/>
          <w:sz w:val="20"/>
          <w:szCs w:val="20"/>
        </w:rPr>
        <w:t xml:space="preserve">From our analysis </w:t>
      </w:r>
      <w:r w:rsidRPr="000041E4">
        <w:rPr>
          <w:rFonts w:ascii="Arial" w:hAnsi="Arial" w:cs="Arial"/>
          <w:sz w:val="20"/>
          <w:szCs w:val="20"/>
        </w:rPr>
        <w:t xml:space="preserve">and assessments, there are known instances of overcrowding and potential instances of overcharging.  A representative </w:t>
      </w:r>
      <w:r w:rsidRPr="00403AA4">
        <w:rPr>
          <w:rFonts w:ascii="Arial" w:hAnsi="Arial" w:cs="Arial"/>
          <w:sz w:val="20"/>
          <w:szCs w:val="20"/>
        </w:rPr>
        <w:t>sample of ten properties w</w:t>
      </w:r>
      <w:r w:rsidRPr="008E71A3">
        <w:rPr>
          <w:rFonts w:ascii="Arial" w:hAnsi="Arial" w:cs="Arial"/>
          <w:sz w:val="20"/>
          <w:szCs w:val="20"/>
        </w:rPr>
        <w:t xml:space="preserve">as selected in areas with a higher concentration of workers and diverse accommodation types.  </w:t>
      </w:r>
    </w:p>
    <w:p w14:paraId="2EC8ADBA" w14:textId="77777777" w:rsidR="00A21281" w:rsidRDefault="00A21281" w:rsidP="00A21281">
      <w:pPr>
        <w:spacing w:before="120" w:after="120"/>
        <w:jc w:val="both"/>
        <w:rPr>
          <w:rFonts w:ascii="Arial" w:hAnsi="Arial" w:cs="Arial"/>
          <w:sz w:val="20"/>
          <w:szCs w:val="20"/>
        </w:rPr>
      </w:pPr>
      <w:r w:rsidRPr="00542D7C">
        <w:rPr>
          <w:rFonts w:ascii="Arial" w:hAnsi="Arial" w:cs="Arial"/>
          <w:sz w:val="20"/>
          <w:szCs w:val="20"/>
        </w:rPr>
        <w:t xml:space="preserve">There </w:t>
      </w:r>
      <w:r>
        <w:rPr>
          <w:rFonts w:ascii="Arial" w:hAnsi="Arial" w:cs="Arial"/>
          <w:sz w:val="20"/>
          <w:szCs w:val="20"/>
        </w:rPr>
        <w:t>were</w:t>
      </w:r>
      <w:r w:rsidRPr="00542D7C">
        <w:rPr>
          <w:rFonts w:ascii="Arial" w:hAnsi="Arial" w:cs="Arial"/>
          <w:sz w:val="20"/>
          <w:szCs w:val="20"/>
        </w:rPr>
        <w:t xml:space="preserve"> ten properties </w:t>
      </w:r>
      <w:r>
        <w:rPr>
          <w:rFonts w:ascii="Arial" w:hAnsi="Arial" w:cs="Arial"/>
          <w:sz w:val="20"/>
          <w:szCs w:val="20"/>
        </w:rPr>
        <w:t xml:space="preserve">identified </w:t>
      </w:r>
      <w:r w:rsidRPr="00542D7C">
        <w:rPr>
          <w:rFonts w:ascii="Arial" w:hAnsi="Arial" w:cs="Arial"/>
          <w:sz w:val="20"/>
          <w:szCs w:val="20"/>
        </w:rPr>
        <w:t xml:space="preserve">where accommodation for PLS and SWP workers </w:t>
      </w:r>
      <w:r>
        <w:rPr>
          <w:rFonts w:ascii="Arial" w:hAnsi="Arial" w:cs="Arial"/>
          <w:sz w:val="20"/>
          <w:szCs w:val="20"/>
        </w:rPr>
        <w:t>had been</w:t>
      </w:r>
      <w:r w:rsidRPr="00542D7C">
        <w:rPr>
          <w:rFonts w:ascii="Arial" w:hAnsi="Arial" w:cs="Arial"/>
          <w:sz w:val="20"/>
          <w:szCs w:val="20"/>
        </w:rPr>
        <w:t xml:space="preserve"> approved for the same </w:t>
      </w:r>
      <w:r>
        <w:rPr>
          <w:rFonts w:ascii="Arial" w:hAnsi="Arial" w:cs="Arial"/>
          <w:sz w:val="20"/>
          <w:szCs w:val="20"/>
        </w:rPr>
        <w:t>address</w:t>
      </w:r>
      <w:r w:rsidRPr="00542D7C">
        <w:rPr>
          <w:rFonts w:ascii="Arial" w:hAnsi="Arial" w:cs="Arial"/>
          <w:sz w:val="20"/>
          <w:szCs w:val="20"/>
        </w:rPr>
        <w:t>.</w:t>
      </w:r>
      <w:r w:rsidRPr="00CE2CE5">
        <w:rPr>
          <w:rFonts w:ascii="Arial" w:hAnsi="Arial" w:cs="Arial"/>
          <w:sz w:val="20"/>
          <w:szCs w:val="20"/>
        </w:rPr>
        <w:t xml:space="preserve"> </w:t>
      </w:r>
      <w:r>
        <w:rPr>
          <w:rFonts w:ascii="Arial" w:hAnsi="Arial" w:cs="Arial"/>
          <w:sz w:val="20"/>
          <w:szCs w:val="20"/>
        </w:rPr>
        <w:t xml:space="preserve"> </w:t>
      </w:r>
      <w:r w:rsidRPr="00CE2CE5">
        <w:rPr>
          <w:rFonts w:ascii="Arial" w:hAnsi="Arial" w:cs="Arial"/>
          <w:sz w:val="20"/>
          <w:szCs w:val="20"/>
        </w:rPr>
        <w:t xml:space="preserve">AEs report actual occupancy rates for the PLS. Maximum occupancy is reported </w:t>
      </w:r>
      <w:r>
        <w:rPr>
          <w:rFonts w:ascii="Arial" w:hAnsi="Arial" w:cs="Arial"/>
          <w:sz w:val="20"/>
          <w:szCs w:val="20"/>
        </w:rPr>
        <w:t>for</w:t>
      </w:r>
      <w:r w:rsidRPr="00CE2CE5">
        <w:rPr>
          <w:rFonts w:ascii="Arial" w:hAnsi="Arial" w:cs="Arial"/>
          <w:sz w:val="20"/>
          <w:szCs w:val="20"/>
        </w:rPr>
        <w:t xml:space="preserve"> SWP, however</w:t>
      </w:r>
      <w:r>
        <w:rPr>
          <w:rFonts w:ascii="Arial" w:hAnsi="Arial" w:cs="Arial"/>
          <w:sz w:val="20"/>
          <w:szCs w:val="20"/>
        </w:rPr>
        <w:t>,</w:t>
      </w:r>
      <w:r w:rsidRPr="00CE2CE5">
        <w:rPr>
          <w:rFonts w:ascii="Arial" w:hAnsi="Arial" w:cs="Arial"/>
          <w:sz w:val="20"/>
          <w:szCs w:val="20"/>
        </w:rPr>
        <w:t xml:space="preserve"> actual occupancy </w:t>
      </w:r>
      <w:r>
        <w:rPr>
          <w:rFonts w:ascii="Arial" w:hAnsi="Arial" w:cs="Arial"/>
          <w:sz w:val="20"/>
          <w:szCs w:val="20"/>
        </w:rPr>
        <w:t xml:space="preserve">is not </w:t>
      </w:r>
      <w:r w:rsidRPr="00CE2CE5">
        <w:rPr>
          <w:rFonts w:ascii="Arial" w:hAnsi="Arial" w:cs="Arial"/>
          <w:sz w:val="20"/>
          <w:szCs w:val="20"/>
        </w:rPr>
        <w:t xml:space="preserve">reported. </w:t>
      </w:r>
      <w:r>
        <w:rPr>
          <w:rFonts w:ascii="Arial" w:hAnsi="Arial" w:cs="Arial"/>
          <w:sz w:val="20"/>
          <w:szCs w:val="20"/>
        </w:rPr>
        <w:t>I</w:t>
      </w:r>
      <w:r w:rsidRPr="00CE2CE5">
        <w:rPr>
          <w:rFonts w:ascii="Arial" w:hAnsi="Arial" w:cs="Arial"/>
          <w:sz w:val="20"/>
          <w:szCs w:val="20"/>
        </w:rPr>
        <w:t xml:space="preserve">nstances </w:t>
      </w:r>
      <w:r>
        <w:rPr>
          <w:rFonts w:ascii="Arial" w:hAnsi="Arial" w:cs="Arial"/>
          <w:sz w:val="20"/>
          <w:szCs w:val="20"/>
        </w:rPr>
        <w:t xml:space="preserve">were identified where properties with the same address were </w:t>
      </w:r>
      <w:r w:rsidRPr="00CE2CE5">
        <w:rPr>
          <w:rFonts w:ascii="Arial" w:hAnsi="Arial" w:cs="Arial"/>
          <w:sz w:val="20"/>
          <w:szCs w:val="20"/>
        </w:rPr>
        <w:t xml:space="preserve">reported in accommodation data for both PLS and SWP. </w:t>
      </w:r>
      <w:r>
        <w:rPr>
          <w:rFonts w:ascii="Arial" w:hAnsi="Arial" w:cs="Arial"/>
          <w:sz w:val="20"/>
          <w:szCs w:val="20"/>
        </w:rPr>
        <w:t>D</w:t>
      </w:r>
      <w:r w:rsidRPr="00CE2CE5">
        <w:rPr>
          <w:rFonts w:ascii="Arial" w:hAnsi="Arial" w:cs="Arial"/>
          <w:sz w:val="20"/>
          <w:szCs w:val="20"/>
        </w:rPr>
        <w:t>iffer</w:t>
      </w:r>
      <w:r>
        <w:rPr>
          <w:rFonts w:ascii="Arial" w:hAnsi="Arial" w:cs="Arial"/>
          <w:sz w:val="20"/>
          <w:szCs w:val="20"/>
        </w:rPr>
        <w:t>ing</w:t>
      </w:r>
      <w:r w:rsidRPr="00CE2CE5">
        <w:rPr>
          <w:rFonts w:ascii="Arial" w:hAnsi="Arial" w:cs="Arial"/>
          <w:sz w:val="20"/>
          <w:szCs w:val="20"/>
        </w:rPr>
        <w:t xml:space="preserve"> </w:t>
      </w:r>
      <w:r>
        <w:rPr>
          <w:rFonts w:ascii="Arial" w:hAnsi="Arial" w:cs="Arial"/>
          <w:sz w:val="20"/>
          <w:szCs w:val="20"/>
        </w:rPr>
        <w:t xml:space="preserve">information, </w:t>
      </w:r>
      <w:r w:rsidRPr="00CE2CE5">
        <w:rPr>
          <w:rFonts w:ascii="Arial" w:hAnsi="Arial" w:cs="Arial"/>
          <w:sz w:val="20"/>
          <w:szCs w:val="20"/>
        </w:rPr>
        <w:t>report</w:t>
      </w:r>
      <w:r>
        <w:rPr>
          <w:rFonts w:ascii="Arial" w:hAnsi="Arial" w:cs="Arial"/>
          <w:sz w:val="20"/>
          <w:szCs w:val="20"/>
        </w:rPr>
        <w:t>ing structures</w:t>
      </w:r>
      <w:r w:rsidRPr="00CE2CE5">
        <w:rPr>
          <w:rFonts w:ascii="Arial" w:hAnsi="Arial" w:cs="Arial"/>
          <w:sz w:val="20"/>
          <w:szCs w:val="20"/>
        </w:rPr>
        <w:t xml:space="preserve"> and </w:t>
      </w:r>
      <w:r>
        <w:rPr>
          <w:rFonts w:ascii="Arial" w:hAnsi="Arial" w:cs="Arial"/>
          <w:sz w:val="20"/>
          <w:szCs w:val="20"/>
        </w:rPr>
        <w:t xml:space="preserve">the </w:t>
      </w:r>
      <w:r w:rsidRPr="00CE2CE5">
        <w:rPr>
          <w:rFonts w:ascii="Arial" w:hAnsi="Arial" w:cs="Arial"/>
          <w:sz w:val="20"/>
          <w:szCs w:val="20"/>
        </w:rPr>
        <w:t xml:space="preserve">lack of actual occupancy information for SWP workers </w:t>
      </w:r>
      <w:r>
        <w:rPr>
          <w:rFonts w:ascii="Arial" w:hAnsi="Arial" w:cs="Arial"/>
          <w:sz w:val="20"/>
          <w:szCs w:val="20"/>
        </w:rPr>
        <w:t xml:space="preserve">that were </w:t>
      </w:r>
      <w:r w:rsidRPr="00CE2CE5">
        <w:rPr>
          <w:rFonts w:ascii="Arial" w:hAnsi="Arial" w:cs="Arial"/>
          <w:sz w:val="20"/>
          <w:szCs w:val="20"/>
        </w:rPr>
        <w:t xml:space="preserve">listed at the same location as PLS workers </w:t>
      </w:r>
      <w:r>
        <w:rPr>
          <w:rFonts w:ascii="Arial" w:hAnsi="Arial" w:cs="Arial"/>
          <w:sz w:val="20"/>
          <w:szCs w:val="20"/>
        </w:rPr>
        <w:t>indicate potential</w:t>
      </w:r>
      <w:r w:rsidRPr="00CE2CE5">
        <w:rPr>
          <w:rFonts w:ascii="Arial" w:hAnsi="Arial" w:cs="Arial"/>
          <w:sz w:val="20"/>
          <w:szCs w:val="20"/>
        </w:rPr>
        <w:t xml:space="preserve"> overcrowding and overcharging </w:t>
      </w:r>
      <w:r>
        <w:rPr>
          <w:rFonts w:ascii="Arial" w:hAnsi="Arial" w:cs="Arial"/>
          <w:sz w:val="20"/>
          <w:szCs w:val="20"/>
        </w:rPr>
        <w:t>situations that were</w:t>
      </w:r>
      <w:r w:rsidRPr="00CE2CE5">
        <w:rPr>
          <w:rFonts w:ascii="Arial" w:hAnsi="Arial" w:cs="Arial"/>
          <w:sz w:val="20"/>
          <w:szCs w:val="20"/>
        </w:rPr>
        <w:t xml:space="preserve"> undetected.</w:t>
      </w:r>
    </w:p>
    <w:p w14:paraId="63BD78EF" w14:textId="77777777" w:rsidR="00A21281" w:rsidRPr="008E160B" w:rsidRDefault="00A21281" w:rsidP="00A21281">
      <w:pPr>
        <w:spacing w:before="120" w:after="120"/>
        <w:jc w:val="both"/>
        <w:rPr>
          <w:rFonts w:ascii="Arial" w:hAnsi="Arial" w:cs="Arial"/>
          <w:sz w:val="20"/>
          <w:szCs w:val="20"/>
        </w:rPr>
      </w:pPr>
      <w:r w:rsidRPr="008E160B">
        <w:rPr>
          <w:rFonts w:ascii="Arial" w:hAnsi="Arial" w:cs="Arial"/>
          <w:sz w:val="20"/>
          <w:szCs w:val="20"/>
        </w:rPr>
        <w:t xml:space="preserve">The PLS Policy Handbook (dated November 2019) was drafted to provide guiding policy and instructions to PLS employers, workers, DFAT, the PLF (including subcontractors) and relevant Pacific Island Governments. </w:t>
      </w:r>
      <w:r>
        <w:rPr>
          <w:rFonts w:ascii="Arial" w:hAnsi="Arial" w:cs="Arial"/>
          <w:sz w:val="20"/>
          <w:szCs w:val="20"/>
        </w:rPr>
        <w:t>T</w:t>
      </w:r>
      <w:r w:rsidRPr="008E160B">
        <w:rPr>
          <w:rFonts w:ascii="Arial" w:hAnsi="Arial" w:cs="Arial"/>
          <w:sz w:val="20"/>
          <w:szCs w:val="20"/>
        </w:rPr>
        <w:t xml:space="preserve">he PLS Policy Handbook </w:t>
      </w:r>
      <w:r>
        <w:rPr>
          <w:rFonts w:ascii="Arial" w:hAnsi="Arial" w:cs="Arial"/>
          <w:sz w:val="20"/>
          <w:szCs w:val="20"/>
        </w:rPr>
        <w:t xml:space="preserve">aims </w:t>
      </w:r>
      <w:r w:rsidRPr="008E160B">
        <w:rPr>
          <w:rFonts w:ascii="Arial" w:hAnsi="Arial" w:cs="Arial"/>
          <w:sz w:val="20"/>
          <w:szCs w:val="20"/>
        </w:rPr>
        <w:t>to provide basic information on the PLS for all stakeholders</w:t>
      </w:r>
      <w:r>
        <w:rPr>
          <w:rFonts w:ascii="Arial" w:hAnsi="Arial" w:cs="Arial"/>
          <w:sz w:val="20"/>
          <w:szCs w:val="20"/>
        </w:rPr>
        <w:t xml:space="preserve"> and</w:t>
      </w:r>
      <w:r w:rsidRPr="008E160B">
        <w:rPr>
          <w:rFonts w:ascii="Arial" w:hAnsi="Arial" w:cs="Arial"/>
          <w:sz w:val="20"/>
          <w:szCs w:val="20"/>
        </w:rPr>
        <w:t xml:space="preserve"> has limited guidance on the minimum standards of accommodation</w:t>
      </w:r>
      <w:r>
        <w:rPr>
          <w:rFonts w:ascii="Arial" w:hAnsi="Arial" w:cs="Arial"/>
          <w:sz w:val="20"/>
          <w:szCs w:val="20"/>
        </w:rPr>
        <w:t>.</w:t>
      </w:r>
      <w:r w:rsidRPr="008E160B">
        <w:rPr>
          <w:rFonts w:ascii="Arial" w:hAnsi="Arial" w:cs="Arial"/>
          <w:sz w:val="20"/>
          <w:szCs w:val="20"/>
        </w:rPr>
        <w:t xml:space="preserve"> </w:t>
      </w:r>
      <w:r>
        <w:t xml:space="preserve"> </w:t>
      </w:r>
      <w:r w:rsidRPr="00E959FC">
        <w:rPr>
          <w:rFonts w:ascii="Arial" w:hAnsi="Arial" w:cs="Arial"/>
          <w:sz w:val="20"/>
          <w:szCs w:val="20"/>
        </w:rPr>
        <w:t xml:space="preserve">In September 2020, the PLS was in the process of drafting specific AE guidelines, which will provide more comprehensive information on accommodation standards. These AE guidelines are yet to </w:t>
      </w:r>
      <w:r>
        <w:rPr>
          <w:rFonts w:ascii="Arial" w:hAnsi="Arial" w:cs="Arial"/>
          <w:sz w:val="20"/>
          <w:szCs w:val="20"/>
        </w:rPr>
        <w:t>be</w:t>
      </w:r>
      <w:r w:rsidRPr="00E959FC">
        <w:rPr>
          <w:rFonts w:ascii="Arial" w:hAnsi="Arial" w:cs="Arial"/>
          <w:sz w:val="20"/>
          <w:szCs w:val="20"/>
        </w:rPr>
        <w:t xml:space="preserve"> finalised at the time of this report</w:t>
      </w:r>
      <w:r>
        <w:rPr>
          <w:rFonts w:ascii="Arial" w:hAnsi="Arial" w:cs="Arial"/>
          <w:sz w:val="20"/>
          <w:szCs w:val="20"/>
        </w:rPr>
        <w:t>.</w:t>
      </w:r>
    </w:p>
    <w:p w14:paraId="76D543C9" w14:textId="77777777" w:rsidR="00A21281" w:rsidRPr="008E160B" w:rsidRDefault="00A21281" w:rsidP="00A21281">
      <w:pPr>
        <w:spacing w:before="120" w:after="120"/>
        <w:jc w:val="both"/>
        <w:rPr>
          <w:rFonts w:ascii="Arial" w:hAnsi="Arial" w:cs="Arial"/>
          <w:sz w:val="20"/>
          <w:szCs w:val="20"/>
        </w:rPr>
      </w:pPr>
      <w:r w:rsidRPr="00BD6F74">
        <w:rPr>
          <w:rFonts w:ascii="Arial" w:hAnsi="Arial" w:cs="Arial"/>
          <w:sz w:val="20"/>
          <w:szCs w:val="20"/>
        </w:rPr>
        <w:t xml:space="preserve">There is scope to improve governance processes, particularly in relation to Executive Level reporting. </w:t>
      </w:r>
      <w:r w:rsidRPr="00542D7C">
        <w:rPr>
          <w:rFonts w:ascii="Arial" w:hAnsi="Arial" w:cs="Arial"/>
          <w:sz w:val="20"/>
          <w:szCs w:val="20"/>
        </w:rPr>
        <w:t xml:space="preserve">Senior Executives in either department do not receive reports specifically focusing on PLS or SWP accommodation assurance activities, which would include accommodation issues. </w:t>
      </w:r>
      <w:r w:rsidRPr="00BD6F74">
        <w:rPr>
          <w:rFonts w:ascii="Arial" w:hAnsi="Arial" w:cs="Arial"/>
          <w:sz w:val="20"/>
          <w:szCs w:val="20"/>
        </w:rPr>
        <w:t>It is noted that issues such as AE red</w:t>
      </w:r>
      <w:r>
        <w:rPr>
          <w:rFonts w:ascii="Arial" w:hAnsi="Arial" w:cs="Arial"/>
          <w:sz w:val="20"/>
          <w:szCs w:val="20"/>
        </w:rPr>
        <w:t xml:space="preserve"> </w:t>
      </w:r>
      <w:r w:rsidRPr="00BD6F74">
        <w:rPr>
          <w:rFonts w:ascii="Arial" w:hAnsi="Arial" w:cs="Arial"/>
          <w:sz w:val="20"/>
          <w:szCs w:val="20"/>
        </w:rPr>
        <w:t>tape and</w:t>
      </w:r>
      <w:r>
        <w:rPr>
          <w:rFonts w:ascii="Arial" w:hAnsi="Arial" w:cs="Arial"/>
          <w:sz w:val="20"/>
          <w:szCs w:val="20"/>
        </w:rPr>
        <w:t xml:space="preserve"> those relating to</w:t>
      </w:r>
      <w:r w:rsidRPr="00BD6F74">
        <w:rPr>
          <w:rFonts w:ascii="Arial" w:hAnsi="Arial" w:cs="Arial"/>
          <w:sz w:val="20"/>
          <w:szCs w:val="20"/>
        </w:rPr>
        <w:t xml:space="preserve"> worker welfare are reported to governance committees. The lack of Executive Level reporting may be attributed to accommodation data quality issues which impacts their capacity to make informed evidence-based decisions and improve accommodations outcomes.</w:t>
      </w:r>
    </w:p>
    <w:p w14:paraId="6E96637D" w14:textId="77777777" w:rsidR="00A21281" w:rsidRPr="008E160B" w:rsidRDefault="00A21281" w:rsidP="00A21281">
      <w:pPr>
        <w:spacing w:before="120" w:after="120"/>
        <w:jc w:val="both"/>
        <w:rPr>
          <w:rFonts w:ascii="Arial" w:hAnsi="Arial" w:cs="Arial"/>
          <w:sz w:val="20"/>
          <w:szCs w:val="20"/>
        </w:rPr>
      </w:pPr>
      <w:r>
        <w:rPr>
          <w:rFonts w:ascii="Arial" w:hAnsi="Arial" w:cs="Arial"/>
          <w:sz w:val="20"/>
          <w:szCs w:val="20"/>
        </w:rPr>
        <w:t xml:space="preserve">The </w:t>
      </w:r>
      <w:r w:rsidRPr="008E160B">
        <w:rPr>
          <w:rFonts w:ascii="Arial" w:hAnsi="Arial" w:cs="Arial"/>
          <w:sz w:val="20"/>
          <w:szCs w:val="20"/>
        </w:rPr>
        <w:t xml:space="preserve">PLS does not have an accommodation assurance framework to </w:t>
      </w:r>
      <w:r w:rsidRPr="00303921">
        <w:rPr>
          <w:rFonts w:ascii="Arial" w:hAnsi="Arial" w:cs="Arial"/>
          <w:sz w:val="20"/>
          <w:szCs w:val="20"/>
        </w:rPr>
        <w:t xml:space="preserve">manage risks associated with the scheme’s intended outcomes. </w:t>
      </w:r>
      <w:r>
        <w:rPr>
          <w:rFonts w:ascii="Arial" w:hAnsi="Arial" w:cs="Arial"/>
          <w:sz w:val="20"/>
          <w:szCs w:val="20"/>
        </w:rPr>
        <w:t>While c</w:t>
      </w:r>
      <w:r w:rsidRPr="00303921">
        <w:rPr>
          <w:rFonts w:ascii="Arial" w:hAnsi="Arial" w:cs="Arial"/>
          <w:sz w:val="20"/>
          <w:szCs w:val="20"/>
        </w:rPr>
        <w:t xml:space="preserve">ompliance activities including desktop audits and welfare visits are conducted by the PLF, </w:t>
      </w:r>
      <w:r>
        <w:rPr>
          <w:rFonts w:ascii="Arial" w:hAnsi="Arial" w:cs="Arial"/>
          <w:sz w:val="20"/>
          <w:szCs w:val="20"/>
        </w:rPr>
        <w:t>these compliance activities</w:t>
      </w:r>
      <w:r w:rsidRPr="00303921">
        <w:rPr>
          <w:rFonts w:ascii="Arial" w:hAnsi="Arial" w:cs="Arial"/>
          <w:sz w:val="20"/>
          <w:szCs w:val="20"/>
        </w:rPr>
        <w:t xml:space="preserve"> are not risk-based</w:t>
      </w:r>
      <w:r w:rsidRPr="008E160B">
        <w:rPr>
          <w:rFonts w:ascii="Arial" w:hAnsi="Arial" w:cs="Arial"/>
          <w:sz w:val="20"/>
          <w:szCs w:val="20"/>
        </w:rPr>
        <w:t xml:space="preserve">. </w:t>
      </w:r>
    </w:p>
    <w:p w14:paraId="1A739ACA" w14:textId="77777777" w:rsidR="00A21281" w:rsidRPr="008E160B" w:rsidRDefault="00A21281" w:rsidP="00A21281">
      <w:pPr>
        <w:spacing w:before="120" w:after="120"/>
        <w:jc w:val="both"/>
        <w:rPr>
          <w:rFonts w:ascii="Arial" w:hAnsi="Arial" w:cs="Arial"/>
          <w:sz w:val="20"/>
          <w:szCs w:val="20"/>
        </w:rPr>
      </w:pPr>
      <w:r>
        <w:rPr>
          <w:rFonts w:ascii="Arial" w:hAnsi="Arial" w:cs="Arial"/>
          <w:sz w:val="20"/>
          <w:szCs w:val="20"/>
        </w:rPr>
        <w:t>The</w:t>
      </w:r>
      <w:r w:rsidRPr="008E160B">
        <w:rPr>
          <w:rFonts w:ascii="Arial" w:hAnsi="Arial" w:cs="Arial"/>
          <w:sz w:val="20"/>
          <w:szCs w:val="20"/>
        </w:rPr>
        <w:t xml:space="preserve"> review identified </w:t>
      </w:r>
      <w:r>
        <w:rPr>
          <w:rFonts w:ascii="Arial" w:hAnsi="Arial" w:cs="Arial"/>
          <w:sz w:val="20"/>
          <w:szCs w:val="20"/>
        </w:rPr>
        <w:t>five</w:t>
      </w:r>
      <w:r w:rsidRPr="008E160B">
        <w:rPr>
          <w:rFonts w:ascii="Arial" w:hAnsi="Arial" w:cs="Arial"/>
          <w:sz w:val="20"/>
          <w:szCs w:val="20"/>
        </w:rPr>
        <w:t xml:space="preserve"> recommendations to improve PLS and SWP accommodation outcomes</w:t>
      </w:r>
      <w:r>
        <w:rPr>
          <w:rFonts w:ascii="Arial" w:hAnsi="Arial" w:cs="Arial"/>
          <w:sz w:val="20"/>
          <w:szCs w:val="20"/>
        </w:rPr>
        <w:t>, as follows:</w:t>
      </w:r>
    </w:p>
    <w:p w14:paraId="6005EBE8" w14:textId="77777777" w:rsidR="00A21281" w:rsidRPr="008E160B" w:rsidRDefault="00A21281" w:rsidP="00A21281">
      <w:pPr>
        <w:pStyle w:val="ListParagraph"/>
        <w:numPr>
          <w:ilvl w:val="0"/>
          <w:numId w:val="9"/>
        </w:numPr>
        <w:spacing w:before="60" w:after="60"/>
        <w:contextualSpacing w:val="0"/>
        <w:jc w:val="both"/>
        <w:rPr>
          <w:rFonts w:ascii="Arial" w:hAnsi="Arial" w:cs="Arial"/>
          <w:sz w:val="20"/>
          <w:szCs w:val="20"/>
        </w:rPr>
      </w:pPr>
      <w:r w:rsidRPr="008E160B">
        <w:rPr>
          <w:rFonts w:ascii="Arial" w:hAnsi="Arial" w:cs="Arial"/>
          <w:sz w:val="20"/>
          <w:szCs w:val="20"/>
        </w:rPr>
        <w:t xml:space="preserve">Further investigation and information sharing on overcrowded accommodation and potential overcharging of accommodation costs </w:t>
      </w:r>
    </w:p>
    <w:p w14:paraId="5E3809C8" w14:textId="77777777" w:rsidR="00A21281" w:rsidRPr="008E160B" w:rsidRDefault="00A21281" w:rsidP="00A21281">
      <w:pPr>
        <w:pStyle w:val="ListParagraph"/>
        <w:numPr>
          <w:ilvl w:val="0"/>
          <w:numId w:val="9"/>
        </w:numPr>
        <w:spacing w:before="60" w:after="60"/>
        <w:contextualSpacing w:val="0"/>
        <w:jc w:val="both"/>
        <w:rPr>
          <w:rFonts w:ascii="Arial" w:hAnsi="Arial" w:cs="Arial"/>
          <w:sz w:val="20"/>
          <w:szCs w:val="20"/>
        </w:rPr>
      </w:pPr>
      <w:r w:rsidRPr="008E160B">
        <w:rPr>
          <w:rFonts w:ascii="Arial" w:hAnsi="Arial" w:cs="Arial"/>
          <w:sz w:val="20"/>
          <w:szCs w:val="20"/>
        </w:rPr>
        <w:t>Strengthening PLS accommodation polices</w:t>
      </w:r>
      <w:r>
        <w:rPr>
          <w:rFonts w:ascii="Arial" w:hAnsi="Arial" w:cs="Arial"/>
          <w:sz w:val="20"/>
          <w:szCs w:val="20"/>
        </w:rPr>
        <w:t>, noting the ongoing drafting of the AE guidelines to clearly articulate accommodation standards</w:t>
      </w:r>
    </w:p>
    <w:p w14:paraId="26DC2A14" w14:textId="77777777" w:rsidR="00A21281" w:rsidRPr="008E160B" w:rsidRDefault="00A21281" w:rsidP="00A21281">
      <w:pPr>
        <w:pStyle w:val="ListParagraph"/>
        <w:numPr>
          <w:ilvl w:val="0"/>
          <w:numId w:val="9"/>
        </w:numPr>
        <w:spacing w:before="60" w:after="60"/>
        <w:contextualSpacing w:val="0"/>
        <w:jc w:val="both"/>
        <w:rPr>
          <w:rFonts w:ascii="Arial" w:hAnsi="Arial" w:cs="Arial"/>
          <w:sz w:val="20"/>
          <w:szCs w:val="20"/>
        </w:rPr>
      </w:pPr>
      <w:r w:rsidRPr="008E160B">
        <w:rPr>
          <w:rFonts w:ascii="Arial" w:hAnsi="Arial" w:cs="Arial"/>
          <w:sz w:val="20"/>
          <w:szCs w:val="20"/>
        </w:rPr>
        <w:t>Establishment of a robust PLS assurance framework</w:t>
      </w:r>
    </w:p>
    <w:p w14:paraId="674714BC" w14:textId="77777777" w:rsidR="00A21281" w:rsidRPr="008E160B" w:rsidRDefault="00A21281" w:rsidP="00A21281">
      <w:pPr>
        <w:pStyle w:val="ListParagraph"/>
        <w:numPr>
          <w:ilvl w:val="0"/>
          <w:numId w:val="9"/>
        </w:numPr>
        <w:spacing w:before="60" w:after="60"/>
        <w:contextualSpacing w:val="0"/>
        <w:jc w:val="both"/>
        <w:rPr>
          <w:rFonts w:ascii="Arial" w:hAnsi="Arial" w:cs="Arial"/>
          <w:sz w:val="20"/>
          <w:szCs w:val="20"/>
        </w:rPr>
      </w:pPr>
      <w:r w:rsidRPr="008E160B">
        <w:rPr>
          <w:rFonts w:ascii="Arial" w:hAnsi="Arial" w:cs="Arial"/>
          <w:sz w:val="20"/>
          <w:szCs w:val="20"/>
        </w:rPr>
        <w:t xml:space="preserve">Enhancing </w:t>
      </w:r>
      <w:r>
        <w:rPr>
          <w:rFonts w:ascii="Arial" w:hAnsi="Arial" w:cs="Arial"/>
          <w:sz w:val="20"/>
          <w:szCs w:val="20"/>
        </w:rPr>
        <w:t>accommodation-related Executive Level</w:t>
      </w:r>
      <w:r w:rsidRPr="008E160B">
        <w:rPr>
          <w:rFonts w:ascii="Arial" w:hAnsi="Arial" w:cs="Arial"/>
          <w:sz w:val="20"/>
          <w:szCs w:val="20"/>
        </w:rPr>
        <w:t xml:space="preserve"> reporting for both the PLS and SWP</w:t>
      </w:r>
      <w:r>
        <w:rPr>
          <w:rFonts w:ascii="Arial" w:hAnsi="Arial" w:cs="Arial"/>
          <w:sz w:val="20"/>
          <w:szCs w:val="20"/>
        </w:rPr>
        <w:t xml:space="preserve"> </w:t>
      </w:r>
    </w:p>
    <w:p w14:paraId="2D7BB722" w14:textId="2CF3577A" w:rsidR="00A21281" w:rsidRPr="00A21281" w:rsidRDefault="00A21281" w:rsidP="00A21281">
      <w:r>
        <w:rPr>
          <w:rFonts w:ascii="Arial" w:hAnsi="Arial" w:cs="Arial"/>
          <w:sz w:val="20"/>
          <w:szCs w:val="20"/>
        </w:rPr>
        <w:t xml:space="preserve">Supporting </w:t>
      </w:r>
      <w:r w:rsidRPr="008E160B">
        <w:rPr>
          <w:rFonts w:ascii="Arial" w:hAnsi="Arial" w:cs="Arial"/>
          <w:sz w:val="20"/>
          <w:szCs w:val="20"/>
        </w:rPr>
        <w:t>PLS worker</w:t>
      </w:r>
      <w:r>
        <w:rPr>
          <w:rFonts w:ascii="Arial" w:hAnsi="Arial" w:cs="Arial"/>
          <w:sz w:val="20"/>
          <w:szCs w:val="20"/>
        </w:rPr>
        <w:t>s</w:t>
      </w:r>
      <w:r w:rsidRPr="008E160B">
        <w:rPr>
          <w:rFonts w:ascii="Arial" w:hAnsi="Arial" w:cs="Arial"/>
          <w:sz w:val="20"/>
          <w:szCs w:val="20"/>
        </w:rPr>
        <w:t xml:space="preserve"> to </w:t>
      </w:r>
      <w:r>
        <w:rPr>
          <w:rFonts w:ascii="Arial" w:hAnsi="Arial" w:cs="Arial"/>
          <w:sz w:val="20"/>
          <w:szCs w:val="20"/>
        </w:rPr>
        <w:t>consider</w:t>
      </w:r>
      <w:r w:rsidRPr="008E160B" w:rsidDel="004A1A84">
        <w:rPr>
          <w:rFonts w:ascii="Arial" w:hAnsi="Arial" w:cs="Arial"/>
          <w:sz w:val="20"/>
          <w:szCs w:val="20"/>
        </w:rPr>
        <w:t xml:space="preserve"> </w:t>
      </w:r>
      <w:r w:rsidRPr="008E160B">
        <w:rPr>
          <w:rFonts w:ascii="Arial" w:hAnsi="Arial" w:cs="Arial"/>
          <w:sz w:val="20"/>
          <w:szCs w:val="20"/>
        </w:rPr>
        <w:t>privately organised accommodation.</w:t>
      </w:r>
    </w:p>
    <w:p w14:paraId="718E1886" w14:textId="47A8011C" w:rsidR="005F7190" w:rsidRPr="008E160B" w:rsidRDefault="005F7190" w:rsidP="00CB0129">
      <w:pPr>
        <w:spacing w:after="0"/>
        <w:rPr>
          <w:rFonts w:ascii="Arial" w:hAnsi="Arial" w:cs="Arial"/>
          <w:sz w:val="20"/>
          <w:szCs w:val="20"/>
        </w:rPr>
      </w:pPr>
      <w:r w:rsidRPr="008E160B">
        <w:rPr>
          <w:rFonts w:ascii="Arial" w:hAnsi="Arial" w:cs="Arial"/>
          <w:b/>
          <w:sz w:val="28"/>
          <w:szCs w:val="24"/>
          <w:u w:val="single"/>
        </w:rPr>
        <w:br w:type="page"/>
      </w:r>
    </w:p>
    <w:p w14:paraId="185B77C2" w14:textId="76663AB8" w:rsidR="002643FE" w:rsidRPr="008E160B" w:rsidRDefault="002643FE" w:rsidP="00A21281">
      <w:pPr>
        <w:pStyle w:val="Heading1"/>
      </w:pPr>
      <w:bookmarkStart w:id="2" w:name="_Toc58245764"/>
      <w:r w:rsidRPr="008E160B">
        <w:lastRenderedPageBreak/>
        <w:t xml:space="preserve">Identified areas of </w:t>
      </w:r>
      <w:r w:rsidRPr="00A21281">
        <w:t>improvement</w:t>
      </w:r>
      <w:r w:rsidRPr="008E160B">
        <w:t xml:space="preserve"> and recommendations</w:t>
      </w:r>
      <w:bookmarkEnd w:id="2"/>
      <w:r w:rsidRPr="008E160B">
        <w:t xml:space="preserve"> </w:t>
      </w:r>
    </w:p>
    <w:p w14:paraId="080E1496" w14:textId="56AEA8A2" w:rsidR="002643FE" w:rsidRPr="008E160B" w:rsidRDefault="002643FE" w:rsidP="002643FE">
      <w:pPr>
        <w:spacing w:before="120" w:after="120" w:line="276" w:lineRule="auto"/>
        <w:jc w:val="both"/>
        <w:rPr>
          <w:rFonts w:ascii="Arial" w:hAnsi="Arial" w:cs="Arial"/>
          <w:sz w:val="20"/>
          <w:szCs w:val="20"/>
        </w:rPr>
      </w:pPr>
      <w:proofErr w:type="spellStart"/>
      <w:r w:rsidRPr="008E160B">
        <w:rPr>
          <w:rFonts w:ascii="Arial" w:hAnsi="Arial" w:cs="Arial"/>
          <w:sz w:val="20"/>
          <w:szCs w:val="20"/>
        </w:rPr>
        <w:t>BellchambersBarrett</w:t>
      </w:r>
      <w:proofErr w:type="spellEnd"/>
      <w:r w:rsidRPr="008E160B">
        <w:rPr>
          <w:rFonts w:ascii="Arial" w:hAnsi="Arial" w:cs="Arial"/>
          <w:sz w:val="20"/>
          <w:szCs w:val="20"/>
        </w:rPr>
        <w:t xml:space="preserve"> identified areas of improvement and formulated recommendations to improve policy settings, governance processes and guidelines. Table </w:t>
      </w:r>
      <w:r w:rsidR="00BE3D18">
        <w:rPr>
          <w:rFonts w:ascii="Arial" w:hAnsi="Arial" w:cs="Arial"/>
          <w:sz w:val="20"/>
          <w:szCs w:val="20"/>
        </w:rPr>
        <w:t>2</w:t>
      </w:r>
      <w:r w:rsidRPr="008E160B">
        <w:rPr>
          <w:rFonts w:ascii="Arial" w:hAnsi="Arial" w:cs="Arial"/>
          <w:sz w:val="20"/>
          <w:szCs w:val="20"/>
        </w:rPr>
        <w:t xml:space="preserve"> below provides identified areas of improvement and corresponding recommendations. </w:t>
      </w:r>
    </w:p>
    <w:p w14:paraId="1F38806E" w14:textId="5293CB39" w:rsidR="002643FE" w:rsidRPr="008E160B" w:rsidRDefault="002643FE" w:rsidP="002643FE">
      <w:pPr>
        <w:spacing w:before="120" w:after="120" w:line="240" w:lineRule="auto"/>
        <w:rPr>
          <w:rFonts w:ascii="Arial" w:hAnsi="Arial" w:cs="Arial"/>
          <w:b/>
          <w:bCs/>
          <w:sz w:val="18"/>
          <w:szCs w:val="18"/>
        </w:rPr>
      </w:pPr>
      <w:r w:rsidRPr="008E160B">
        <w:rPr>
          <w:rFonts w:ascii="Arial" w:hAnsi="Arial" w:cs="Arial"/>
          <w:b/>
          <w:bCs/>
          <w:sz w:val="18"/>
          <w:szCs w:val="18"/>
        </w:rPr>
        <w:t xml:space="preserve">Table </w:t>
      </w:r>
      <w:r w:rsidR="00BE3D18">
        <w:rPr>
          <w:rFonts w:ascii="Arial" w:hAnsi="Arial" w:cs="Arial"/>
          <w:b/>
          <w:bCs/>
          <w:sz w:val="18"/>
          <w:szCs w:val="18"/>
        </w:rPr>
        <w:t>2</w:t>
      </w:r>
      <w:r w:rsidRPr="008E160B">
        <w:rPr>
          <w:rFonts w:ascii="Arial" w:hAnsi="Arial" w:cs="Arial"/>
          <w:b/>
          <w:bCs/>
          <w:sz w:val="18"/>
          <w:szCs w:val="18"/>
        </w:rPr>
        <w:t>: Identified areas of improvement and corresponding recommendations</w:t>
      </w:r>
    </w:p>
    <w:tbl>
      <w:tblPr>
        <w:tblStyle w:val="TableGrid"/>
        <w:tblW w:w="5000" w:type="pct"/>
        <w:tblLook w:val="04A0" w:firstRow="1" w:lastRow="0" w:firstColumn="1" w:lastColumn="0" w:noHBand="0" w:noVBand="1"/>
      </w:tblPr>
      <w:tblGrid>
        <w:gridCol w:w="506"/>
        <w:gridCol w:w="6153"/>
        <w:gridCol w:w="7289"/>
      </w:tblGrid>
      <w:tr w:rsidR="00BC5FCE" w:rsidRPr="008E160B" w14:paraId="3BF8088B" w14:textId="77777777" w:rsidTr="000041E4">
        <w:trPr>
          <w:trHeight w:val="504"/>
          <w:tblHeader/>
        </w:trPr>
        <w:tc>
          <w:tcPr>
            <w:tcW w:w="175" w:type="pct"/>
            <w:shd w:val="clear" w:color="auto" w:fill="002060"/>
          </w:tcPr>
          <w:p w14:paraId="55A3CFCE" w14:textId="38EA58A3" w:rsidR="00BC5FCE" w:rsidRPr="008E160B" w:rsidRDefault="00414140" w:rsidP="00096025">
            <w:pPr>
              <w:pStyle w:val="ListParagraph"/>
              <w:spacing w:before="60" w:after="60"/>
              <w:ind w:left="0"/>
              <w:contextualSpacing w:val="0"/>
              <w:rPr>
                <w:rFonts w:ascii="Arial" w:hAnsi="Arial" w:cs="Arial"/>
                <w:b/>
                <w:bCs/>
                <w:sz w:val="18"/>
                <w:szCs w:val="18"/>
              </w:rPr>
            </w:pPr>
            <w:r>
              <w:rPr>
                <w:rFonts w:ascii="Arial" w:hAnsi="Arial" w:cs="Arial"/>
                <w:b/>
                <w:bCs/>
                <w:sz w:val="18"/>
                <w:szCs w:val="18"/>
              </w:rPr>
              <w:t>No.</w:t>
            </w:r>
          </w:p>
        </w:tc>
        <w:tc>
          <w:tcPr>
            <w:tcW w:w="2209" w:type="pct"/>
            <w:shd w:val="clear" w:color="auto" w:fill="002060"/>
          </w:tcPr>
          <w:p w14:paraId="0867F57F" w14:textId="77777777"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Area of improvement </w:t>
            </w:r>
          </w:p>
        </w:tc>
        <w:tc>
          <w:tcPr>
            <w:tcW w:w="2616" w:type="pct"/>
            <w:shd w:val="clear" w:color="auto" w:fill="002060"/>
          </w:tcPr>
          <w:p w14:paraId="1741AC95" w14:textId="77777777"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Recommendations </w:t>
            </w:r>
          </w:p>
        </w:tc>
      </w:tr>
      <w:tr w:rsidR="00414140" w:rsidRPr="008E160B" w14:paraId="5FC47702" w14:textId="77777777" w:rsidTr="00535F6A">
        <w:trPr>
          <w:trHeight w:val="5568"/>
        </w:trPr>
        <w:tc>
          <w:tcPr>
            <w:tcW w:w="175" w:type="pct"/>
            <w:shd w:val="clear" w:color="auto" w:fill="A8D08D" w:themeFill="accent6" w:themeFillTint="99"/>
          </w:tcPr>
          <w:p w14:paraId="356C8747" w14:textId="77777777" w:rsidR="00414140" w:rsidRPr="008E160B" w:rsidRDefault="00414140"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1</w:t>
            </w:r>
          </w:p>
        </w:tc>
        <w:tc>
          <w:tcPr>
            <w:tcW w:w="2209" w:type="pct"/>
          </w:tcPr>
          <w:p w14:paraId="1F8E6CE9" w14:textId="77777777" w:rsidR="00414140" w:rsidRPr="008E160B" w:rsidRDefault="00414140" w:rsidP="00096025">
            <w:pPr>
              <w:pStyle w:val="ListParagraph"/>
              <w:spacing w:before="60" w:after="60"/>
              <w:ind w:left="0"/>
              <w:contextualSpacing w:val="0"/>
              <w:rPr>
                <w:rFonts w:ascii="Arial" w:hAnsi="Arial" w:cs="Arial"/>
                <w:b/>
                <w:bCs/>
                <w:sz w:val="18"/>
                <w:szCs w:val="18"/>
              </w:rPr>
            </w:pPr>
            <w:bookmarkStart w:id="3" w:name="_Hlk51259145"/>
            <w:r w:rsidRPr="008E160B">
              <w:rPr>
                <w:rFonts w:ascii="Arial" w:hAnsi="Arial" w:cs="Arial"/>
                <w:b/>
                <w:bCs/>
                <w:sz w:val="18"/>
                <w:szCs w:val="18"/>
              </w:rPr>
              <w:t xml:space="preserve">Overcrowding and potential overcharging </w:t>
            </w:r>
          </w:p>
          <w:bookmarkEnd w:id="3"/>
          <w:p w14:paraId="10B66287" w14:textId="51F3E2BC" w:rsidR="00414140" w:rsidRPr="008E160B" w:rsidRDefault="00414140" w:rsidP="00CA3613">
            <w:pPr>
              <w:pStyle w:val="ListParagraph"/>
              <w:spacing w:before="80" w:after="80"/>
              <w:ind w:left="0"/>
              <w:contextualSpacing w:val="0"/>
              <w:rPr>
                <w:rFonts w:ascii="Arial" w:hAnsi="Arial" w:cs="Arial"/>
                <w:sz w:val="18"/>
                <w:szCs w:val="18"/>
              </w:rPr>
            </w:pPr>
            <w:r w:rsidRPr="00D85F2B">
              <w:rPr>
                <w:rFonts w:ascii="Arial" w:hAnsi="Arial" w:cs="Arial"/>
                <w:sz w:val="18"/>
                <w:szCs w:val="18"/>
              </w:rPr>
              <w:t>.</w:t>
            </w:r>
          </w:p>
        </w:tc>
        <w:tc>
          <w:tcPr>
            <w:tcW w:w="2616" w:type="pct"/>
          </w:tcPr>
          <w:p w14:paraId="3FEE8BBE" w14:textId="77777777" w:rsidR="00414140" w:rsidRPr="008E160B" w:rsidRDefault="00414140"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Recommendation 1.1 </w:t>
            </w:r>
          </w:p>
          <w:p w14:paraId="3D73C26D" w14:textId="7E28493E" w:rsidR="00414140" w:rsidRPr="008E160B" w:rsidRDefault="00414140"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 xml:space="preserve">We recommend </w:t>
            </w:r>
            <w:r>
              <w:rPr>
                <w:rFonts w:ascii="Arial" w:hAnsi="Arial" w:cs="Arial"/>
                <w:sz w:val="18"/>
                <w:szCs w:val="18"/>
              </w:rPr>
              <w:t xml:space="preserve">the </w:t>
            </w:r>
            <w:r w:rsidRPr="008E160B">
              <w:rPr>
                <w:rFonts w:ascii="Arial" w:hAnsi="Arial" w:cs="Arial"/>
                <w:sz w:val="18"/>
                <w:szCs w:val="18"/>
              </w:rPr>
              <w:t>PL</w:t>
            </w:r>
            <w:r>
              <w:rPr>
                <w:rFonts w:ascii="Arial" w:hAnsi="Arial" w:cs="Arial"/>
                <w:sz w:val="18"/>
                <w:szCs w:val="18"/>
              </w:rPr>
              <w:t>F to:</w:t>
            </w:r>
            <w:r w:rsidRPr="008E160B">
              <w:rPr>
                <w:rFonts w:ascii="Arial" w:hAnsi="Arial" w:cs="Arial"/>
                <w:sz w:val="18"/>
                <w:szCs w:val="18"/>
              </w:rPr>
              <w:t xml:space="preserve"> </w:t>
            </w:r>
          </w:p>
          <w:p w14:paraId="1CF6B79A" w14:textId="279A8424" w:rsidR="00414140" w:rsidRPr="008E160B" w:rsidRDefault="00414140"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C</w:t>
            </w:r>
            <w:r w:rsidRPr="008E160B">
              <w:rPr>
                <w:rFonts w:ascii="Arial" w:hAnsi="Arial" w:cs="Arial"/>
                <w:sz w:val="18"/>
                <w:szCs w:val="18"/>
              </w:rPr>
              <w:t xml:space="preserve">onduct further investigation into: </w:t>
            </w:r>
          </w:p>
          <w:p w14:paraId="3FEE46EB" w14:textId="0436DF26" w:rsidR="00414140" w:rsidRPr="008E160B" w:rsidRDefault="00414140" w:rsidP="009E2E2D">
            <w:pPr>
              <w:pStyle w:val="ListParagraph"/>
              <w:numPr>
                <w:ilvl w:val="1"/>
                <w:numId w:val="6"/>
              </w:numPr>
              <w:spacing w:before="60" w:after="60"/>
              <w:contextualSpacing w:val="0"/>
              <w:rPr>
                <w:rFonts w:ascii="Arial" w:hAnsi="Arial" w:cs="Arial"/>
                <w:sz w:val="18"/>
                <w:szCs w:val="18"/>
              </w:rPr>
            </w:pPr>
            <w:r w:rsidRPr="008E160B">
              <w:rPr>
                <w:rFonts w:ascii="Arial" w:hAnsi="Arial" w:cs="Arial"/>
                <w:sz w:val="18"/>
                <w:szCs w:val="18"/>
              </w:rPr>
              <w:t>overcrowded properties identified in PLS accommodation data</w:t>
            </w:r>
            <w:r>
              <w:rPr>
                <w:rFonts w:ascii="Arial" w:hAnsi="Arial" w:cs="Arial"/>
                <w:sz w:val="18"/>
                <w:szCs w:val="18"/>
              </w:rPr>
              <w:t xml:space="preserve"> and by workers, and stakeholders </w:t>
            </w:r>
          </w:p>
          <w:p w14:paraId="33237326" w14:textId="4C9C6C20" w:rsidR="00414140" w:rsidRPr="008E160B" w:rsidRDefault="00414140" w:rsidP="009E2E2D">
            <w:pPr>
              <w:pStyle w:val="ListParagraph"/>
              <w:numPr>
                <w:ilvl w:val="1"/>
                <w:numId w:val="6"/>
              </w:numPr>
              <w:spacing w:before="60" w:after="60"/>
              <w:contextualSpacing w:val="0"/>
              <w:rPr>
                <w:rFonts w:ascii="Arial" w:hAnsi="Arial" w:cs="Arial"/>
                <w:sz w:val="18"/>
                <w:szCs w:val="18"/>
              </w:rPr>
            </w:pPr>
            <w:r>
              <w:rPr>
                <w:rFonts w:ascii="Arial" w:hAnsi="Arial" w:cs="Arial"/>
                <w:sz w:val="18"/>
                <w:szCs w:val="18"/>
              </w:rPr>
              <w:t xml:space="preserve">whether </w:t>
            </w:r>
            <w:r w:rsidRPr="008E160B">
              <w:rPr>
                <w:rFonts w:ascii="Arial" w:hAnsi="Arial" w:cs="Arial"/>
                <w:sz w:val="18"/>
                <w:szCs w:val="18"/>
              </w:rPr>
              <w:t xml:space="preserve">PLS and SWP workers share </w:t>
            </w:r>
            <w:r>
              <w:rPr>
                <w:rFonts w:ascii="Arial" w:hAnsi="Arial" w:cs="Arial"/>
                <w:sz w:val="18"/>
                <w:szCs w:val="18"/>
              </w:rPr>
              <w:t>an</w:t>
            </w:r>
            <w:r w:rsidRPr="008E160B">
              <w:rPr>
                <w:rFonts w:ascii="Arial" w:hAnsi="Arial" w:cs="Arial"/>
                <w:sz w:val="18"/>
                <w:szCs w:val="18"/>
              </w:rPr>
              <w:t xml:space="preserve"> </w:t>
            </w:r>
            <w:r>
              <w:rPr>
                <w:rFonts w:ascii="Arial" w:hAnsi="Arial" w:cs="Arial"/>
                <w:sz w:val="18"/>
                <w:szCs w:val="18"/>
              </w:rPr>
              <w:t xml:space="preserve">approved </w:t>
            </w:r>
            <w:r w:rsidRPr="008E160B">
              <w:rPr>
                <w:rFonts w:ascii="Arial" w:hAnsi="Arial" w:cs="Arial"/>
                <w:sz w:val="18"/>
                <w:szCs w:val="18"/>
              </w:rPr>
              <w:t>property</w:t>
            </w:r>
            <w:r>
              <w:rPr>
                <w:rFonts w:ascii="Arial" w:hAnsi="Arial" w:cs="Arial"/>
                <w:sz w:val="18"/>
                <w:szCs w:val="18"/>
              </w:rPr>
              <w:t xml:space="preserve"> at the same time</w:t>
            </w:r>
            <w:r w:rsidRPr="008E160B">
              <w:rPr>
                <w:rFonts w:ascii="Arial" w:hAnsi="Arial" w:cs="Arial"/>
                <w:sz w:val="18"/>
                <w:szCs w:val="18"/>
              </w:rPr>
              <w:t xml:space="preserve">. </w:t>
            </w:r>
          </w:p>
          <w:p w14:paraId="37DFBFC0" w14:textId="77777777" w:rsidR="00414140" w:rsidRPr="008E160B" w:rsidRDefault="00414140"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E</w:t>
            </w:r>
            <w:r w:rsidRPr="008E160B">
              <w:rPr>
                <w:rFonts w:ascii="Arial" w:hAnsi="Arial" w:cs="Arial"/>
                <w:sz w:val="18"/>
                <w:szCs w:val="18"/>
              </w:rPr>
              <w:t xml:space="preserve">nsure responsible AEs undertake remedial action if overcrowding is confirmed. </w:t>
            </w:r>
          </w:p>
          <w:p w14:paraId="1DCBF03C" w14:textId="77777777" w:rsidR="00414140" w:rsidRPr="008E160B" w:rsidRDefault="00414140"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Recommendation 1.2 </w:t>
            </w:r>
          </w:p>
          <w:p w14:paraId="33CBEC37" w14:textId="77777777" w:rsidR="00414140" w:rsidRPr="008E160B" w:rsidRDefault="00414140"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 xml:space="preserve">We recommend that the Accommodation Calculator be finalised as soon as practicable and </w:t>
            </w:r>
            <w:r>
              <w:rPr>
                <w:rFonts w:ascii="Arial" w:hAnsi="Arial" w:cs="Arial"/>
                <w:sz w:val="18"/>
                <w:szCs w:val="18"/>
              </w:rPr>
              <w:t xml:space="preserve">is </w:t>
            </w:r>
            <w:r w:rsidRPr="008E160B">
              <w:rPr>
                <w:rFonts w:ascii="Arial" w:hAnsi="Arial" w:cs="Arial"/>
                <w:sz w:val="18"/>
                <w:szCs w:val="18"/>
              </w:rPr>
              <w:t xml:space="preserve">used by PLF to assess </w:t>
            </w:r>
            <w:r>
              <w:rPr>
                <w:rFonts w:ascii="Arial" w:hAnsi="Arial" w:cs="Arial"/>
                <w:sz w:val="18"/>
                <w:szCs w:val="18"/>
              </w:rPr>
              <w:t xml:space="preserve">the </w:t>
            </w:r>
            <w:r w:rsidRPr="008E160B">
              <w:rPr>
                <w:rFonts w:ascii="Arial" w:hAnsi="Arial" w:cs="Arial"/>
                <w:sz w:val="18"/>
                <w:szCs w:val="18"/>
              </w:rPr>
              <w:t>reasonableness of accommodation costs and occupancy rates.</w:t>
            </w:r>
          </w:p>
          <w:p w14:paraId="3131B939" w14:textId="77777777" w:rsidR="00414140" w:rsidRPr="008E160B" w:rsidRDefault="00414140" w:rsidP="00096025">
            <w:pPr>
              <w:spacing w:before="60" w:after="60"/>
              <w:rPr>
                <w:rFonts w:ascii="Arial" w:hAnsi="Arial" w:cs="Arial"/>
                <w:b/>
                <w:bCs/>
                <w:sz w:val="18"/>
                <w:szCs w:val="18"/>
              </w:rPr>
            </w:pPr>
            <w:r w:rsidRPr="008E160B">
              <w:rPr>
                <w:rFonts w:ascii="Arial" w:hAnsi="Arial" w:cs="Arial"/>
                <w:b/>
                <w:bCs/>
                <w:sz w:val="18"/>
                <w:szCs w:val="18"/>
              </w:rPr>
              <w:t>Recommendation 1.3</w:t>
            </w:r>
          </w:p>
          <w:p w14:paraId="5B9B7EDF" w14:textId="77777777" w:rsidR="00414140" w:rsidRPr="008E160B" w:rsidRDefault="00414140" w:rsidP="00096025">
            <w:pPr>
              <w:spacing w:before="60" w:after="60"/>
              <w:rPr>
                <w:rFonts w:ascii="Arial" w:hAnsi="Arial" w:cs="Arial"/>
                <w:b/>
                <w:bCs/>
                <w:sz w:val="18"/>
                <w:szCs w:val="18"/>
              </w:rPr>
            </w:pPr>
            <w:r w:rsidRPr="008E160B">
              <w:rPr>
                <w:rFonts w:ascii="Arial" w:hAnsi="Arial" w:cs="Arial"/>
                <w:sz w:val="18"/>
                <w:szCs w:val="18"/>
              </w:rPr>
              <w:t>We recommend that</w:t>
            </w:r>
            <w:r>
              <w:rPr>
                <w:rFonts w:ascii="Arial" w:hAnsi="Arial" w:cs="Arial"/>
                <w:sz w:val="18"/>
                <w:szCs w:val="18"/>
              </w:rPr>
              <w:t>,</w:t>
            </w:r>
            <w:r w:rsidRPr="008E160B">
              <w:rPr>
                <w:rFonts w:ascii="Arial" w:hAnsi="Arial" w:cs="Arial"/>
                <w:sz w:val="18"/>
                <w:szCs w:val="18"/>
              </w:rPr>
              <w:t xml:space="preserve"> </w:t>
            </w:r>
            <w:r w:rsidRPr="00350AAF">
              <w:rPr>
                <w:rFonts w:ascii="Arial" w:hAnsi="Arial" w:cs="Arial"/>
                <w:sz w:val="18"/>
                <w:szCs w:val="18"/>
              </w:rPr>
              <w:t>on a sample basis</w:t>
            </w:r>
            <w:r>
              <w:rPr>
                <w:rFonts w:ascii="Arial" w:hAnsi="Arial" w:cs="Arial"/>
                <w:sz w:val="18"/>
                <w:szCs w:val="18"/>
              </w:rPr>
              <w:t>,</w:t>
            </w:r>
            <w:r w:rsidRPr="00350AAF">
              <w:rPr>
                <w:rFonts w:ascii="Arial" w:hAnsi="Arial" w:cs="Arial"/>
                <w:sz w:val="18"/>
                <w:szCs w:val="18"/>
              </w:rPr>
              <w:t xml:space="preserve"> </w:t>
            </w:r>
            <w:r>
              <w:rPr>
                <w:rFonts w:ascii="Arial" w:hAnsi="Arial" w:cs="Arial"/>
                <w:sz w:val="18"/>
                <w:szCs w:val="18"/>
              </w:rPr>
              <w:t xml:space="preserve">the </w:t>
            </w:r>
            <w:r w:rsidRPr="00491558">
              <w:rPr>
                <w:rFonts w:ascii="Arial" w:hAnsi="Arial" w:cs="Arial"/>
                <w:sz w:val="18"/>
                <w:szCs w:val="18"/>
              </w:rPr>
              <w:t xml:space="preserve">Pacific Labour Mobility Section conducts </w:t>
            </w:r>
            <w:r w:rsidRPr="008E160B">
              <w:rPr>
                <w:rFonts w:ascii="Arial" w:hAnsi="Arial" w:cs="Arial"/>
                <w:sz w:val="18"/>
                <w:szCs w:val="18"/>
              </w:rPr>
              <w:t>periodic benchmarking against market rental prices to ensure accommodation costs are consistent with average rental prices.</w:t>
            </w:r>
          </w:p>
          <w:p w14:paraId="775F0F91" w14:textId="77777777" w:rsidR="00414140" w:rsidRPr="008E160B" w:rsidRDefault="00414140"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Recommendation 1.4</w:t>
            </w:r>
          </w:p>
          <w:p w14:paraId="7205411C" w14:textId="14E536B9" w:rsidR="00414140" w:rsidRPr="008E160B" w:rsidRDefault="00414140" w:rsidP="00096025">
            <w:pPr>
              <w:pStyle w:val="ListParagraph"/>
              <w:spacing w:before="60" w:after="60"/>
              <w:ind w:left="0"/>
              <w:rPr>
                <w:rFonts w:ascii="Arial" w:hAnsi="Arial" w:cs="Arial"/>
                <w:sz w:val="18"/>
                <w:szCs w:val="18"/>
              </w:rPr>
            </w:pPr>
            <w:r w:rsidRPr="008E160B">
              <w:rPr>
                <w:rFonts w:ascii="Arial" w:hAnsi="Arial" w:cs="Arial"/>
                <w:sz w:val="18"/>
                <w:szCs w:val="18"/>
              </w:rPr>
              <w:t xml:space="preserve">We recommend </w:t>
            </w:r>
            <w:r>
              <w:rPr>
                <w:rFonts w:ascii="Arial" w:hAnsi="Arial" w:cs="Arial"/>
                <w:sz w:val="18"/>
                <w:szCs w:val="18"/>
              </w:rPr>
              <w:t xml:space="preserve">that the </w:t>
            </w:r>
            <w:r w:rsidRPr="008E160B">
              <w:rPr>
                <w:rFonts w:ascii="Arial" w:hAnsi="Arial" w:cs="Arial"/>
                <w:sz w:val="18"/>
                <w:szCs w:val="18"/>
              </w:rPr>
              <w:t xml:space="preserve">PLS and SWP teams share information, particularly on occupancy rates and high-risk AEs. This is to ensure any potential accommodation overcrowding or overcharging is </w:t>
            </w:r>
            <w:proofErr w:type="gramStart"/>
            <w:r w:rsidRPr="008E160B">
              <w:rPr>
                <w:rFonts w:ascii="Arial" w:hAnsi="Arial" w:cs="Arial"/>
                <w:sz w:val="18"/>
                <w:szCs w:val="18"/>
              </w:rPr>
              <w:t>identified</w:t>
            </w:r>
            <w:proofErr w:type="gramEnd"/>
            <w:r w:rsidRPr="008E160B">
              <w:rPr>
                <w:rFonts w:ascii="Arial" w:hAnsi="Arial" w:cs="Arial"/>
                <w:sz w:val="18"/>
                <w:szCs w:val="18"/>
              </w:rPr>
              <w:t xml:space="preserve"> and corrective </w:t>
            </w:r>
            <w:r>
              <w:rPr>
                <w:rFonts w:ascii="Arial" w:hAnsi="Arial" w:cs="Arial"/>
                <w:sz w:val="18"/>
                <w:szCs w:val="18"/>
              </w:rPr>
              <w:t>actions are</w:t>
            </w:r>
            <w:r w:rsidRPr="008E160B">
              <w:rPr>
                <w:rFonts w:ascii="Arial" w:hAnsi="Arial" w:cs="Arial"/>
                <w:sz w:val="18"/>
                <w:szCs w:val="18"/>
              </w:rPr>
              <w:t xml:space="preserve"> undertaken promptly. </w:t>
            </w:r>
          </w:p>
        </w:tc>
      </w:tr>
      <w:tr w:rsidR="00BC5FCE" w:rsidRPr="008E160B" w14:paraId="101062B2" w14:textId="77777777" w:rsidTr="000041E4">
        <w:trPr>
          <w:trHeight w:val="504"/>
        </w:trPr>
        <w:tc>
          <w:tcPr>
            <w:tcW w:w="175" w:type="pct"/>
            <w:shd w:val="clear" w:color="auto" w:fill="A8D08D" w:themeFill="accent6" w:themeFillTint="99"/>
          </w:tcPr>
          <w:p w14:paraId="776DA25E" w14:textId="77777777"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2</w:t>
            </w:r>
          </w:p>
        </w:tc>
        <w:tc>
          <w:tcPr>
            <w:tcW w:w="2209" w:type="pct"/>
          </w:tcPr>
          <w:p w14:paraId="43FAD501" w14:textId="0E76164A" w:rsidR="00BC5FCE" w:rsidRPr="008E160B" w:rsidRDefault="006A418E" w:rsidP="00096025">
            <w:pPr>
              <w:pStyle w:val="ListParagraph"/>
              <w:spacing w:before="60" w:after="60"/>
              <w:ind w:left="0"/>
              <w:contextualSpacing w:val="0"/>
              <w:rPr>
                <w:rFonts w:ascii="Arial" w:hAnsi="Arial" w:cs="Arial"/>
                <w:b/>
                <w:bCs/>
                <w:sz w:val="18"/>
                <w:szCs w:val="18"/>
              </w:rPr>
            </w:pPr>
            <w:r>
              <w:rPr>
                <w:rFonts w:ascii="Arial" w:hAnsi="Arial" w:cs="Arial"/>
                <w:b/>
                <w:bCs/>
                <w:sz w:val="18"/>
                <w:szCs w:val="18"/>
              </w:rPr>
              <w:t>Greater c</w:t>
            </w:r>
            <w:r w:rsidR="00BC5FCE">
              <w:rPr>
                <w:rFonts w:ascii="Arial" w:hAnsi="Arial" w:cs="Arial"/>
                <w:b/>
                <w:bCs/>
                <w:sz w:val="18"/>
                <w:szCs w:val="18"/>
              </w:rPr>
              <w:t xml:space="preserve">larity for PLS AEs on </w:t>
            </w:r>
            <w:r w:rsidR="00BC5FCE" w:rsidRPr="008E160B">
              <w:rPr>
                <w:rFonts w:ascii="Arial" w:hAnsi="Arial" w:cs="Arial"/>
                <w:b/>
                <w:bCs/>
                <w:sz w:val="18"/>
                <w:szCs w:val="18"/>
              </w:rPr>
              <w:t xml:space="preserve">accommodation polices </w:t>
            </w:r>
          </w:p>
          <w:p w14:paraId="54147B30" w14:textId="44F6FAE1" w:rsidR="00BC5FCE" w:rsidRPr="008E160B" w:rsidRDefault="00BC5FCE" w:rsidP="00096025">
            <w:pPr>
              <w:pStyle w:val="ListParagraph"/>
              <w:spacing w:before="60" w:after="60"/>
              <w:ind w:left="0"/>
              <w:contextualSpacing w:val="0"/>
              <w:rPr>
                <w:rFonts w:ascii="Arial" w:hAnsi="Arial" w:cs="Arial"/>
                <w:sz w:val="18"/>
                <w:szCs w:val="18"/>
              </w:rPr>
            </w:pPr>
          </w:p>
        </w:tc>
        <w:tc>
          <w:tcPr>
            <w:tcW w:w="2616" w:type="pct"/>
          </w:tcPr>
          <w:p w14:paraId="30C6B721" w14:textId="77777777"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Recommendation 2</w:t>
            </w:r>
          </w:p>
          <w:p w14:paraId="526C4CE5" w14:textId="07D7CA95"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While we acknowledge that PLS is in the process of drafting AE guidelines, we recommend</w:t>
            </w:r>
            <w:r>
              <w:rPr>
                <w:rFonts w:ascii="Arial" w:hAnsi="Arial" w:cs="Arial"/>
                <w:sz w:val="18"/>
                <w:szCs w:val="18"/>
              </w:rPr>
              <w:t xml:space="preserve"> that:</w:t>
            </w:r>
          </w:p>
          <w:p w14:paraId="1FCEDA37" w14:textId="77777777" w:rsidR="00BC5FCE" w:rsidRPr="008E160B" w:rsidRDefault="00BC5FCE" w:rsidP="009E2E2D">
            <w:pPr>
              <w:pStyle w:val="ListParagraph"/>
              <w:numPr>
                <w:ilvl w:val="0"/>
                <w:numId w:val="13"/>
              </w:numPr>
              <w:spacing w:before="60" w:after="60"/>
              <w:contextualSpacing w:val="0"/>
              <w:rPr>
                <w:rFonts w:ascii="Arial" w:hAnsi="Arial" w:cs="Arial"/>
                <w:sz w:val="18"/>
                <w:szCs w:val="18"/>
              </w:rPr>
            </w:pPr>
            <w:r w:rsidRPr="008E160B">
              <w:rPr>
                <w:rFonts w:ascii="Arial" w:hAnsi="Arial" w:cs="Arial"/>
                <w:sz w:val="18"/>
                <w:szCs w:val="18"/>
              </w:rPr>
              <w:t>AE guidelines are finalised as soon as practicable</w:t>
            </w:r>
          </w:p>
          <w:p w14:paraId="5D962E78" w14:textId="488A5B78" w:rsidR="00BC5FCE" w:rsidRPr="008E160B" w:rsidRDefault="00BC5FCE" w:rsidP="009E2E2D">
            <w:pPr>
              <w:pStyle w:val="ListParagraph"/>
              <w:numPr>
                <w:ilvl w:val="0"/>
                <w:numId w:val="13"/>
              </w:numPr>
              <w:spacing w:before="60" w:after="60"/>
              <w:contextualSpacing w:val="0"/>
              <w:rPr>
                <w:rFonts w:ascii="Arial" w:hAnsi="Arial" w:cs="Arial"/>
                <w:sz w:val="18"/>
                <w:szCs w:val="18"/>
              </w:rPr>
            </w:pPr>
            <w:r>
              <w:rPr>
                <w:rFonts w:ascii="Arial" w:hAnsi="Arial" w:cs="Arial"/>
                <w:sz w:val="18"/>
                <w:szCs w:val="18"/>
              </w:rPr>
              <w:t>G</w:t>
            </w:r>
            <w:r w:rsidRPr="008E160B">
              <w:rPr>
                <w:rFonts w:ascii="Arial" w:hAnsi="Arial" w:cs="Arial"/>
                <w:sz w:val="18"/>
                <w:szCs w:val="18"/>
              </w:rPr>
              <w:t>uidance on the minimum standards of accommodation and monitoring activities are clearly articulated</w:t>
            </w:r>
          </w:p>
          <w:p w14:paraId="65819E2A" w14:textId="0C46BC74" w:rsidR="00BC5FCE" w:rsidRPr="008E160B" w:rsidRDefault="00BC5FCE" w:rsidP="009E2E2D">
            <w:pPr>
              <w:pStyle w:val="ListParagraph"/>
              <w:numPr>
                <w:ilvl w:val="0"/>
                <w:numId w:val="13"/>
              </w:numPr>
              <w:spacing w:before="60" w:after="60"/>
              <w:contextualSpacing w:val="0"/>
              <w:rPr>
                <w:rFonts w:ascii="Arial" w:hAnsi="Arial" w:cs="Arial"/>
                <w:sz w:val="18"/>
                <w:szCs w:val="18"/>
              </w:rPr>
            </w:pPr>
            <w:r w:rsidRPr="008E160B">
              <w:rPr>
                <w:rFonts w:ascii="Arial" w:hAnsi="Arial" w:cs="Arial"/>
                <w:sz w:val="18"/>
                <w:szCs w:val="18"/>
              </w:rPr>
              <w:t>AE guidelines a</w:t>
            </w:r>
            <w:r>
              <w:rPr>
                <w:rFonts w:ascii="Arial" w:hAnsi="Arial" w:cs="Arial"/>
                <w:sz w:val="18"/>
                <w:szCs w:val="18"/>
              </w:rPr>
              <w:t>re</w:t>
            </w:r>
            <w:r w:rsidRPr="00737C93">
              <w:rPr>
                <w:rFonts w:ascii="Arial" w:hAnsi="Arial" w:cs="Arial"/>
                <w:sz w:val="18"/>
                <w:szCs w:val="18"/>
              </w:rPr>
              <w:t xml:space="preserve"> promulgated to all AEs</w:t>
            </w:r>
            <w:r w:rsidRPr="008E160B">
              <w:rPr>
                <w:rFonts w:ascii="Arial" w:hAnsi="Arial" w:cs="Arial"/>
                <w:sz w:val="18"/>
                <w:szCs w:val="18"/>
              </w:rPr>
              <w:t xml:space="preserve">. </w:t>
            </w:r>
          </w:p>
        </w:tc>
      </w:tr>
      <w:tr w:rsidR="00BC5FCE" w:rsidRPr="008E160B" w14:paraId="7BBC1519" w14:textId="77777777" w:rsidTr="000041E4">
        <w:trPr>
          <w:trHeight w:val="504"/>
        </w:trPr>
        <w:tc>
          <w:tcPr>
            <w:tcW w:w="175" w:type="pct"/>
            <w:shd w:val="clear" w:color="auto" w:fill="A8D08D" w:themeFill="accent6" w:themeFillTint="99"/>
          </w:tcPr>
          <w:p w14:paraId="3DBC778D" w14:textId="3517550A" w:rsidR="00BC5FCE" w:rsidRPr="008E160B" w:rsidRDefault="00BC5FCE" w:rsidP="00096025">
            <w:pPr>
              <w:pStyle w:val="ListParagraph"/>
              <w:spacing w:before="60" w:after="60"/>
              <w:ind w:left="0"/>
              <w:contextualSpacing w:val="0"/>
              <w:rPr>
                <w:rFonts w:ascii="Arial" w:hAnsi="Arial" w:cs="Arial"/>
                <w:sz w:val="18"/>
                <w:szCs w:val="18"/>
              </w:rPr>
            </w:pPr>
            <w:r>
              <w:rPr>
                <w:rFonts w:ascii="Arial" w:hAnsi="Arial" w:cs="Arial"/>
                <w:sz w:val="18"/>
                <w:szCs w:val="18"/>
              </w:rPr>
              <w:t>3</w:t>
            </w:r>
          </w:p>
        </w:tc>
        <w:tc>
          <w:tcPr>
            <w:tcW w:w="2209" w:type="pct"/>
          </w:tcPr>
          <w:p w14:paraId="02433B29" w14:textId="77777777" w:rsidR="00BC5FCE" w:rsidRPr="008E160B" w:rsidRDefault="00BC5FCE" w:rsidP="00096025">
            <w:pPr>
              <w:pStyle w:val="ListParagraph"/>
              <w:spacing w:before="60" w:after="60"/>
              <w:ind w:left="0"/>
              <w:contextualSpacing w:val="0"/>
              <w:rPr>
                <w:rFonts w:ascii="Arial" w:hAnsi="Arial" w:cs="Arial"/>
                <w:b/>
                <w:bCs/>
                <w:sz w:val="18"/>
                <w:szCs w:val="18"/>
              </w:rPr>
            </w:pPr>
            <w:bookmarkStart w:id="4" w:name="_Hlk51259155"/>
            <w:r w:rsidRPr="008E160B">
              <w:rPr>
                <w:rFonts w:ascii="Arial" w:hAnsi="Arial" w:cs="Arial"/>
                <w:b/>
                <w:bCs/>
                <w:sz w:val="18"/>
                <w:szCs w:val="18"/>
              </w:rPr>
              <w:t>Lack of a robust PLS assurance framework</w:t>
            </w:r>
          </w:p>
          <w:bookmarkEnd w:id="4"/>
          <w:p w14:paraId="68414CB0" w14:textId="48F48313" w:rsidR="00BC5FCE" w:rsidRPr="008E160B" w:rsidRDefault="00BC5FCE" w:rsidP="00096025">
            <w:pPr>
              <w:spacing w:before="60" w:after="60"/>
              <w:rPr>
                <w:rFonts w:ascii="Arial" w:hAnsi="Arial" w:cs="Arial"/>
                <w:sz w:val="18"/>
                <w:szCs w:val="18"/>
              </w:rPr>
            </w:pPr>
            <w:r w:rsidRPr="008E160B">
              <w:rPr>
                <w:rFonts w:ascii="Arial" w:hAnsi="Arial" w:cs="Arial"/>
                <w:sz w:val="18"/>
                <w:szCs w:val="18"/>
              </w:rPr>
              <w:lastRenderedPageBreak/>
              <w:t xml:space="preserve">PLS site visits and compliance activities are conducted in isolation and </w:t>
            </w:r>
            <w:r>
              <w:rPr>
                <w:rFonts w:ascii="Arial" w:hAnsi="Arial" w:cs="Arial"/>
                <w:sz w:val="18"/>
                <w:szCs w:val="18"/>
              </w:rPr>
              <w:t xml:space="preserve">are </w:t>
            </w:r>
            <w:r w:rsidRPr="008E160B">
              <w:rPr>
                <w:rFonts w:ascii="Arial" w:hAnsi="Arial" w:cs="Arial"/>
                <w:sz w:val="18"/>
                <w:szCs w:val="18"/>
              </w:rPr>
              <w:t>not risk-based.</w:t>
            </w:r>
          </w:p>
          <w:p w14:paraId="2C27F001" w14:textId="430FDD52" w:rsidR="00BC5FCE" w:rsidRPr="00741D07"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sz w:val="18"/>
                <w:szCs w:val="18"/>
              </w:rPr>
              <w:t xml:space="preserve">Desktop audits which validate PLS worker deductions (including </w:t>
            </w:r>
            <w:r w:rsidRPr="002C63E2">
              <w:rPr>
                <w:rFonts w:ascii="Arial" w:hAnsi="Arial" w:cs="Arial"/>
                <w:sz w:val="18"/>
                <w:szCs w:val="18"/>
              </w:rPr>
              <w:t xml:space="preserve">accommodation deductions) apply to recruitment activities undertaken in the last six months. There is no evidence that older recruitments are subject to desktop audits. </w:t>
            </w:r>
          </w:p>
        </w:tc>
        <w:tc>
          <w:tcPr>
            <w:tcW w:w="2616" w:type="pct"/>
          </w:tcPr>
          <w:p w14:paraId="132F2EB5" w14:textId="29FA0A83"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lastRenderedPageBreak/>
              <w:t xml:space="preserve">Recommendation </w:t>
            </w:r>
            <w:r>
              <w:rPr>
                <w:rFonts w:ascii="Arial" w:hAnsi="Arial" w:cs="Arial"/>
                <w:b/>
                <w:bCs/>
                <w:sz w:val="18"/>
                <w:szCs w:val="18"/>
              </w:rPr>
              <w:t>3</w:t>
            </w:r>
            <w:r w:rsidRPr="008E160B">
              <w:rPr>
                <w:rFonts w:ascii="Arial" w:hAnsi="Arial" w:cs="Arial"/>
                <w:b/>
                <w:bCs/>
                <w:sz w:val="18"/>
                <w:szCs w:val="18"/>
              </w:rPr>
              <w:t xml:space="preserve"> </w:t>
            </w:r>
          </w:p>
          <w:p w14:paraId="141F8F27" w14:textId="50E495CE"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 xml:space="preserve">We recommend that </w:t>
            </w:r>
            <w:r>
              <w:rPr>
                <w:rFonts w:ascii="Arial" w:hAnsi="Arial" w:cs="Arial"/>
                <w:sz w:val="18"/>
                <w:szCs w:val="18"/>
              </w:rPr>
              <w:t xml:space="preserve">the </w:t>
            </w:r>
            <w:r w:rsidRPr="008E160B">
              <w:rPr>
                <w:rFonts w:ascii="Arial" w:hAnsi="Arial" w:cs="Arial"/>
                <w:sz w:val="18"/>
                <w:szCs w:val="18"/>
              </w:rPr>
              <w:t xml:space="preserve">PLS builds an assurance framework incorporating: </w:t>
            </w:r>
          </w:p>
          <w:p w14:paraId="19C383E4" w14:textId="0560CEC0"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lastRenderedPageBreak/>
              <w:t>R</w:t>
            </w:r>
            <w:r w:rsidRPr="008E160B">
              <w:rPr>
                <w:rFonts w:ascii="Arial" w:hAnsi="Arial" w:cs="Arial"/>
                <w:sz w:val="18"/>
                <w:szCs w:val="18"/>
              </w:rPr>
              <w:t xml:space="preserve">isk profiling of individual AEs and adjusting the level of compliance activities based on the AE’s risk profile </w:t>
            </w:r>
          </w:p>
          <w:p w14:paraId="7CA7888F" w14:textId="06C39842"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C</w:t>
            </w:r>
            <w:r w:rsidRPr="008E160B">
              <w:rPr>
                <w:rFonts w:ascii="Arial" w:hAnsi="Arial" w:cs="Arial"/>
                <w:sz w:val="18"/>
                <w:szCs w:val="18"/>
              </w:rPr>
              <w:t xml:space="preserve">ombining site visits with desktop audits to increase efficiencies and introduce elements of unpredictability </w:t>
            </w:r>
          </w:p>
          <w:p w14:paraId="422EC1C5" w14:textId="0EE36973"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E</w:t>
            </w:r>
            <w:r w:rsidRPr="008E160B">
              <w:rPr>
                <w:rFonts w:ascii="Arial" w:hAnsi="Arial" w:cs="Arial"/>
                <w:sz w:val="18"/>
                <w:szCs w:val="18"/>
              </w:rPr>
              <w:t xml:space="preserve">nsure results of compliance activities (including any accommodation issues) are reported to </w:t>
            </w:r>
            <w:r>
              <w:rPr>
                <w:rFonts w:ascii="Arial" w:hAnsi="Arial" w:cs="Arial"/>
                <w:sz w:val="18"/>
                <w:szCs w:val="18"/>
              </w:rPr>
              <w:t xml:space="preserve">departmental </w:t>
            </w:r>
            <w:r w:rsidRPr="008E160B">
              <w:rPr>
                <w:rFonts w:ascii="Arial" w:hAnsi="Arial" w:cs="Arial"/>
                <w:sz w:val="18"/>
                <w:szCs w:val="18"/>
              </w:rPr>
              <w:t xml:space="preserve">Senior Executives. </w:t>
            </w:r>
          </w:p>
          <w:p w14:paraId="16CC8B18" w14:textId="77777777" w:rsidR="00BC5FCE" w:rsidRPr="008E160B" w:rsidRDefault="00BC5FCE" w:rsidP="00096025">
            <w:pPr>
              <w:spacing w:before="60" w:after="60"/>
              <w:rPr>
                <w:rFonts w:ascii="Arial" w:hAnsi="Arial" w:cs="Arial"/>
                <w:sz w:val="18"/>
                <w:szCs w:val="18"/>
              </w:rPr>
            </w:pPr>
            <w:r w:rsidRPr="008E160B">
              <w:rPr>
                <w:rFonts w:ascii="Arial" w:hAnsi="Arial" w:cs="Arial"/>
                <w:sz w:val="18"/>
                <w:szCs w:val="18"/>
              </w:rPr>
              <w:t xml:space="preserve">A robust assurance framework will increase the ability to promptly identify underlying root causes of noncompliance or accommodation concerns. </w:t>
            </w:r>
          </w:p>
        </w:tc>
      </w:tr>
      <w:tr w:rsidR="00BC5FCE" w:rsidRPr="008E160B" w14:paraId="71BF41A6" w14:textId="77777777" w:rsidTr="000041E4">
        <w:trPr>
          <w:trHeight w:val="504"/>
        </w:trPr>
        <w:tc>
          <w:tcPr>
            <w:tcW w:w="175" w:type="pct"/>
            <w:shd w:val="clear" w:color="auto" w:fill="A8D08D" w:themeFill="accent6" w:themeFillTint="99"/>
          </w:tcPr>
          <w:p w14:paraId="7982515F" w14:textId="63B80FF9" w:rsidR="00BC5FCE" w:rsidRPr="008E160B" w:rsidRDefault="00BC5FCE" w:rsidP="00096025">
            <w:pPr>
              <w:pStyle w:val="ListParagraph"/>
              <w:spacing w:before="60" w:after="60"/>
              <w:ind w:left="0"/>
              <w:contextualSpacing w:val="0"/>
              <w:rPr>
                <w:rFonts w:ascii="Arial" w:hAnsi="Arial" w:cs="Arial"/>
                <w:sz w:val="18"/>
                <w:szCs w:val="18"/>
              </w:rPr>
            </w:pPr>
            <w:r>
              <w:rPr>
                <w:rFonts w:ascii="Arial" w:hAnsi="Arial" w:cs="Arial"/>
                <w:sz w:val="18"/>
                <w:szCs w:val="18"/>
              </w:rPr>
              <w:lastRenderedPageBreak/>
              <w:t>4</w:t>
            </w:r>
          </w:p>
        </w:tc>
        <w:tc>
          <w:tcPr>
            <w:tcW w:w="2209" w:type="pct"/>
          </w:tcPr>
          <w:p w14:paraId="17789BEE" w14:textId="053EEE99" w:rsidR="00BC5FCE" w:rsidRPr="00BD6F74" w:rsidRDefault="00BC5FCE" w:rsidP="00096025">
            <w:pPr>
              <w:pStyle w:val="ListParagraph"/>
              <w:spacing w:before="60" w:after="60"/>
              <w:ind w:left="0"/>
              <w:contextualSpacing w:val="0"/>
              <w:rPr>
                <w:rFonts w:ascii="Arial" w:hAnsi="Arial" w:cs="Arial"/>
                <w:b/>
                <w:bCs/>
                <w:sz w:val="18"/>
                <w:szCs w:val="18"/>
              </w:rPr>
            </w:pPr>
            <w:r w:rsidRPr="00BD6F74">
              <w:rPr>
                <w:rFonts w:ascii="Arial" w:hAnsi="Arial" w:cs="Arial"/>
                <w:b/>
                <w:bCs/>
                <w:sz w:val="18"/>
                <w:szCs w:val="18"/>
              </w:rPr>
              <w:t>Limited governance level reporting</w:t>
            </w:r>
            <w:r w:rsidRPr="00491558">
              <w:rPr>
                <w:rFonts w:ascii="Arial" w:hAnsi="Arial" w:cs="Arial"/>
                <w:b/>
                <w:bCs/>
                <w:sz w:val="18"/>
                <w:szCs w:val="18"/>
              </w:rPr>
              <w:t xml:space="preserve"> on accommodation specific issues</w:t>
            </w:r>
            <w:r w:rsidRPr="00BD6F74">
              <w:rPr>
                <w:rFonts w:ascii="Arial" w:hAnsi="Arial" w:cs="Arial"/>
                <w:b/>
                <w:bCs/>
                <w:sz w:val="18"/>
                <w:szCs w:val="18"/>
              </w:rPr>
              <w:t xml:space="preserve"> for both the PLS and SWP</w:t>
            </w:r>
          </w:p>
          <w:p w14:paraId="48CDAC8C" w14:textId="4817F54E" w:rsidR="00BC5FCE" w:rsidRPr="008E160B" w:rsidRDefault="00BC5FCE" w:rsidP="00096025">
            <w:pPr>
              <w:pStyle w:val="ListParagraph"/>
              <w:spacing w:before="60" w:after="60"/>
              <w:ind w:left="0"/>
              <w:contextualSpacing w:val="0"/>
              <w:rPr>
                <w:rFonts w:ascii="Arial" w:hAnsi="Arial" w:cs="Arial"/>
                <w:sz w:val="18"/>
                <w:szCs w:val="18"/>
              </w:rPr>
            </w:pPr>
            <w:r w:rsidRPr="00BD6F74">
              <w:rPr>
                <w:rFonts w:ascii="Arial" w:hAnsi="Arial" w:cs="Arial"/>
                <w:sz w:val="18"/>
                <w:szCs w:val="18"/>
              </w:rPr>
              <w:t xml:space="preserve">This could be linked to accommodation data quality issues and inconsistent data captured by PLS and SWP, </w:t>
            </w:r>
            <w:r>
              <w:rPr>
                <w:rFonts w:ascii="Arial" w:hAnsi="Arial" w:cs="Arial"/>
                <w:sz w:val="18"/>
                <w:szCs w:val="18"/>
              </w:rPr>
              <w:t>which impacts</w:t>
            </w:r>
            <w:r w:rsidRPr="00BD6F74">
              <w:rPr>
                <w:rFonts w:ascii="Arial" w:hAnsi="Arial" w:cs="Arial"/>
                <w:sz w:val="18"/>
                <w:szCs w:val="18"/>
              </w:rPr>
              <w:t xml:space="preserve"> the ability for departmental Executives to make informed evidence-based decisions and improve accommodation outcomes.</w:t>
            </w:r>
          </w:p>
        </w:tc>
        <w:tc>
          <w:tcPr>
            <w:tcW w:w="2616" w:type="pct"/>
          </w:tcPr>
          <w:p w14:paraId="156148C2" w14:textId="48B8467C"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Recommendation </w:t>
            </w:r>
            <w:r>
              <w:rPr>
                <w:rFonts w:ascii="Arial" w:hAnsi="Arial" w:cs="Arial"/>
                <w:b/>
                <w:bCs/>
                <w:sz w:val="18"/>
                <w:szCs w:val="18"/>
              </w:rPr>
              <w:t>4</w:t>
            </w:r>
          </w:p>
          <w:p w14:paraId="50310268" w14:textId="268D1637"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We suggest Executive</w:t>
            </w:r>
            <w:r>
              <w:rPr>
                <w:rFonts w:ascii="Arial" w:hAnsi="Arial" w:cs="Arial"/>
                <w:sz w:val="18"/>
                <w:szCs w:val="18"/>
              </w:rPr>
              <w:t xml:space="preserve"> Level</w:t>
            </w:r>
            <w:r w:rsidRPr="008E160B">
              <w:rPr>
                <w:rFonts w:ascii="Arial" w:hAnsi="Arial" w:cs="Arial"/>
                <w:sz w:val="18"/>
                <w:szCs w:val="18"/>
              </w:rPr>
              <w:t xml:space="preserve"> reporting for both departments on a quarterly basis to include: </w:t>
            </w:r>
          </w:p>
          <w:p w14:paraId="03363803" w14:textId="5531D460"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R</w:t>
            </w:r>
            <w:r w:rsidRPr="008E160B">
              <w:rPr>
                <w:rFonts w:ascii="Arial" w:hAnsi="Arial" w:cs="Arial"/>
                <w:sz w:val="18"/>
                <w:szCs w:val="18"/>
              </w:rPr>
              <w:t xml:space="preserve">esults on assurance and compliance activities including number of AEs reported to FWO and reports of unsuitable accommodation </w:t>
            </w:r>
          </w:p>
          <w:p w14:paraId="520F719A" w14:textId="5A674954"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A</w:t>
            </w:r>
            <w:r w:rsidRPr="008E160B">
              <w:rPr>
                <w:rFonts w:ascii="Arial" w:hAnsi="Arial" w:cs="Arial"/>
                <w:sz w:val="18"/>
                <w:szCs w:val="18"/>
              </w:rPr>
              <w:t>vailable benchmarking results of PLS and SWP accommodation costs against market rates and identified outliers</w:t>
            </w:r>
          </w:p>
          <w:p w14:paraId="358608B9" w14:textId="77777777"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 xml:space="preserve">This would achieve cooperation between the two departments as encouraged by the PGPA Act. </w:t>
            </w:r>
          </w:p>
        </w:tc>
      </w:tr>
      <w:tr w:rsidR="00BC5FCE" w:rsidRPr="008E160B" w14:paraId="1670E668" w14:textId="77777777" w:rsidTr="000041E4">
        <w:trPr>
          <w:trHeight w:val="274"/>
        </w:trPr>
        <w:tc>
          <w:tcPr>
            <w:tcW w:w="175" w:type="pct"/>
            <w:shd w:val="clear" w:color="auto" w:fill="A8D08D" w:themeFill="accent6" w:themeFillTint="99"/>
          </w:tcPr>
          <w:p w14:paraId="51466BD3" w14:textId="517CD7BE" w:rsidR="00BC5FCE" w:rsidRPr="008E160B" w:rsidRDefault="00BC5FCE" w:rsidP="00096025">
            <w:pPr>
              <w:pStyle w:val="ListParagraph"/>
              <w:spacing w:before="60" w:after="60"/>
              <w:ind w:left="0"/>
              <w:contextualSpacing w:val="0"/>
              <w:rPr>
                <w:rFonts w:ascii="Arial" w:hAnsi="Arial" w:cs="Arial"/>
                <w:sz w:val="18"/>
                <w:szCs w:val="18"/>
              </w:rPr>
            </w:pPr>
            <w:r>
              <w:rPr>
                <w:rFonts w:ascii="Arial" w:hAnsi="Arial" w:cs="Arial"/>
                <w:sz w:val="18"/>
                <w:szCs w:val="18"/>
              </w:rPr>
              <w:t>5</w:t>
            </w:r>
          </w:p>
        </w:tc>
        <w:tc>
          <w:tcPr>
            <w:tcW w:w="2209" w:type="pct"/>
          </w:tcPr>
          <w:p w14:paraId="15A3547F" w14:textId="5A2A8900" w:rsidR="00BC5FCE" w:rsidRPr="008E160B" w:rsidRDefault="00BC5FCE" w:rsidP="00096025">
            <w:pPr>
              <w:pStyle w:val="ListParagraph"/>
              <w:spacing w:before="60" w:after="60"/>
              <w:ind w:left="0"/>
              <w:contextualSpacing w:val="0"/>
              <w:rPr>
                <w:rFonts w:ascii="Arial" w:hAnsi="Arial" w:cs="Arial"/>
                <w:b/>
                <w:bCs/>
                <w:sz w:val="18"/>
                <w:szCs w:val="18"/>
              </w:rPr>
            </w:pPr>
            <w:r w:rsidRPr="003B4A74">
              <w:rPr>
                <w:rFonts w:ascii="Arial" w:hAnsi="Arial" w:cs="Arial"/>
                <w:b/>
                <w:bCs/>
                <w:sz w:val="18"/>
                <w:szCs w:val="18"/>
              </w:rPr>
              <w:t>Supporting PLS workers to consider</w:t>
            </w:r>
            <w:r w:rsidRPr="003B4A74" w:rsidDel="004A1A84">
              <w:rPr>
                <w:rFonts w:ascii="Arial" w:hAnsi="Arial" w:cs="Arial"/>
                <w:b/>
                <w:bCs/>
                <w:sz w:val="18"/>
                <w:szCs w:val="18"/>
              </w:rPr>
              <w:t xml:space="preserve"> </w:t>
            </w:r>
            <w:r w:rsidRPr="008E160B">
              <w:rPr>
                <w:rFonts w:ascii="Arial" w:hAnsi="Arial" w:cs="Arial"/>
                <w:b/>
                <w:bCs/>
                <w:sz w:val="18"/>
                <w:szCs w:val="18"/>
              </w:rPr>
              <w:t xml:space="preserve">privately organised accommodation </w:t>
            </w:r>
          </w:p>
          <w:p w14:paraId="6CADB92D" w14:textId="43950D60" w:rsidR="00BC5FCE" w:rsidRPr="008E160B" w:rsidRDefault="00BC5FCE" w:rsidP="00096025">
            <w:pPr>
              <w:pStyle w:val="ListParagraph"/>
              <w:spacing w:before="60" w:after="60"/>
              <w:ind w:left="0"/>
              <w:contextualSpacing w:val="0"/>
              <w:rPr>
                <w:rFonts w:ascii="Arial" w:eastAsia="Arial" w:hAnsi="Arial" w:cs="Arial"/>
                <w:sz w:val="18"/>
                <w:szCs w:val="18"/>
              </w:rPr>
            </w:pPr>
            <w:r w:rsidRPr="008E160B">
              <w:rPr>
                <w:rFonts w:ascii="Arial" w:hAnsi="Arial" w:cs="Arial"/>
                <w:sz w:val="18"/>
                <w:szCs w:val="18"/>
              </w:rPr>
              <w:t xml:space="preserve">PLS accommodation data indicates that only 10% of PLS accommodation </w:t>
            </w:r>
            <w:r>
              <w:rPr>
                <w:rFonts w:ascii="Arial" w:hAnsi="Arial" w:cs="Arial"/>
                <w:sz w:val="18"/>
                <w:szCs w:val="18"/>
              </w:rPr>
              <w:t>are</w:t>
            </w:r>
            <w:r w:rsidRPr="008E160B">
              <w:rPr>
                <w:rFonts w:ascii="Arial" w:hAnsi="Arial" w:cs="Arial"/>
                <w:sz w:val="18"/>
                <w:szCs w:val="18"/>
              </w:rPr>
              <w:t xml:space="preserve"> arranged privately by PLS workers. The remaining 90% </w:t>
            </w:r>
            <w:r>
              <w:rPr>
                <w:rFonts w:ascii="Arial" w:hAnsi="Arial" w:cs="Arial"/>
                <w:sz w:val="18"/>
                <w:szCs w:val="18"/>
              </w:rPr>
              <w:t>are</w:t>
            </w:r>
            <w:r w:rsidRPr="008E160B">
              <w:rPr>
                <w:rFonts w:ascii="Arial" w:hAnsi="Arial" w:cs="Arial"/>
                <w:sz w:val="18"/>
                <w:szCs w:val="18"/>
              </w:rPr>
              <w:t xml:space="preserve"> AE organised accommodation.</w:t>
            </w:r>
            <w:r w:rsidRPr="008E160B">
              <w:rPr>
                <w:rFonts w:ascii="Arial" w:eastAsia="Arial" w:hAnsi="Arial" w:cs="Arial"/>
                <w:sz w:val="18"/>
                <w:szCs w:val="18"/>
              </w:rPr>
              <w:t xml:space="preserve"> </w:t>
            </w:r>
          </w:p>
        </w:tc>
        <w:tc>
          <w:tcPr>
            <w:tcW w:w="2616" w:type="pct"/>
          </w:tcPr>
          <w:p w14:paraId="5FA5D8F3" w14:textId="7CC3D3B9" w:rsidR="00BC5FCE" w:rsidRPr="008E160B" w:rsidRDefault="00BC5FCE" w:rsidP="00096025">
            <w:pPr>
              <w:pStyle w:val="ListParagraph"/>
              <w:spacing w:before="60" w:after="60"/>
              <w:ind w:left="0"/>
              <w:contextualSpacing w:val="0"/>
              <w:rPr>
                <w:rFonts w:ascii="Arial" w:hAnsi="Arial" w:cs="Arial"/>
                <w:b/>
                <w:bCs/>
                <w:sz w:val="18"/>
                <w:szCs w:val="18"/>
              </w:rPr>
            </w:pPr>
            <w:r w:rsidRPr="008E160B">
              <w:rPr>
                <w:rFonts w:ascii="Arial" w:hAnsi="Arial" w:cs="Arial"/>
                <w:b/>
                <w:bCs/>
                <w:sz w:val="18"/>
                <w:szCs w:val="18"/>
              </w:rPr>
              <w:t xml:space="preserve">Recommendation </w:t>
            </w:r>
            <w:r>
              <w:rPr>
                <w:rFonts w:ascii="Arial" w:hAnsi="Arial" w:cs="Arial"/>
                <w:b/>
                <w:bCs/>
                <w:sz w:val="18"/>
                <w:szCs w:val="18"/>
              </w:rPr>
              <w:t>5</w:t>
            </w:r>
          </w:p>
          <w:p w14:paraId="7880C7CD" w14:textId="7BE0E2DC" w:rsidR="00BC5FCE" w:rsidRPr="008E160B" w:rsidRDefault="00BC5FCE" w:rsidP="00096025">
            <w:pPr>
              <w:pStyle w:val="ListParagraph"/>
              <w:spacing w:before="60" w:after="60"/>
              <w:ind w:left="0"/>
              <w:contextualSpacing w:val="0"/>
              <w:rPr>
                <w:rFonts w:ascii="Arial" w:hAnsi="Arial" w:cs="Arial"/>
                <w:sz w:val="18"/>
                <w:szCs w:val="18"/>
              </w:rPr>
            </w:pPr>
            <w:r w:rsidRPr="008E160B">
              <w:rPr>
                <w:rFonts w:ascii="Arial" w:hAnsi="Arial" w:cs="Arial"/>
                <w:sz w:val="18"/>
                <w:szCs w:val="18"/>
              </w:rPr>
              <w:t>We recommend</w:t>
            </w:r>
            <w:r>
              <w:rPr>
                <w:rFonts w:ascii="Arial" w:hAnsi="Arial" w:cs="Arial"/>
                <w:sz w:val="18"/>
                <w:szCs w:val="18"/>
              </w:rPr>
              <w:t xml:space="preserve"> that the</w:t>
            </w:r>
            <w:r w:rsidRPr="008E160B">
              <w:rPr>
                <w:rFonts w:ascii="Arial" w:hAnsi="Arial" w:cs="Arial"/>
                <w:sz w:val="18"/>
                <w:szCs w:val="18"/>
              </w:rPr>
              <w:t xml:space="preserve"> PLS explore initiatives to </w:t>
            </w:r>
            <w:r>
              <w:rPr>
                <w:rFonts w:ascii="Arial" w:hAnsi="Arial" w:cs="Arial"/>
                <w:sz w:val="18"/>
                <w:szCs w:val="18"/>
              </w:rPr>
              <w:t xml:space="preserve">support </w:t>
            </w:r>
            <w:r w:rsidRPr="008E160B">
              <w:rPr>
                <w:rFonts w:ascii="Arial" w:hAnsi="Arial" w:cs="Arial"/>
                <w:sz w:val="18"/>
                <w:szCs w:val="18"/>
              </w:rPr>
              <w:t xml:space="preserve">PLS workers to find their own accommodation. Examples include: </w:t>
            </w:r>
          </w:p>
          <w:p w14:paraId="7F7E0864" w14:textId="70F4C7B0"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E</w:t>
            </w:r>
            <w:r w:rsidRPr="008E160B">
              <w:rPr>
                <w:rFonts w:ascii="Arial" w:hAnsi="Arial" w:cs="Arial"/>
                <w:sz w:val="18"/>
                <w:szCs w:val="18"/>
              </w:rPr>
              <w:t>ducating PLS workers on how rental arrangements work in Australia</w:t>
            </w:r>
          </w:p>
          <w:p w14:paraId="2114ED86" w14:textId="482F0599" w:rsidR="00BC5FCE" w:rsidRPr="008E160B" w:rsidRDefault="00BC5FCE" w:rsidP="009E2E2D">
            <w:pPr>
              <w:pStyle w:val="ListParagraph"/>
              <w:numPr>
                <w:ilvl w:val="0"/>
                <w:numId w:val="6"/>
              </w:numPr>
              <w:spacing w:before="60" w:after="60"/>
              <w:ind w:left="714" w:hanging="357"/>
              <w:contextualSpacing w:val="0"/>
              <w:rPr>
                <w:rFonts w:ascii="Arial" w:hAnsi="Arial" w:cs="Arial"/>
                <w:sz w:val="18"/>
                <w:szCs w:val="18"/>
              </w:rPr>
            </w:pPr>
            <w:r>
              <w:rPr>
                <w:rFonts w:ascii="Arial" w:hAnsi="Arial" w:cs="Arial"/>
                <w:sz w:val="18"/>
                <w:szCs w:val="18"/>
              </w:rPr>
              <w:t>E</w:t>
            </w:r>
            <w:r w:rsidRPr="008E160B">
              <w:rPr>
                <w:rFonts w:ascii="Arial" w:hAnsi="Arial" w:cs="Arial"/>
                <w:sz w:val="18"/>
                <w:szCs w:val="18"/>
              </w:rPr>
              <w:t xml:space="preserve">ncouraging PLS workers to engage with other PLS workers who have entered private accommodation arrangements, to </w:t>
            </w:r>
            <w:r>
              <w:rPr>
                <w:rFonts w:ascii="Arial" w:hAnsi="Arial" w:cs="Arial"/>
                <w:sz w:val="18"/>
                <w:szCs w:val="18"/>
              </w:rPr>
              <w:t xml:space="preserve">gain a </w:t>
            </w:r>
            <w:r w:rsidRPr="008E160B">
              <w:rPr>
                <w:rFonts w:ascii="Arial" w:hAnsi="Arial" w:cs="Arial"/>
                <w:sz w:val="18"/>
                <w:szCs w:val="18"/>
              </w:rPr>
              <w:t>better understand</w:t>
            </w:r>
            <w:r>
              <w:rPr>
                <w:rFonts w:ascii="Arial" w:hAnsi="Arial" w:cs="Arial"/>
                <w:sz w:val="18"/>
                <w:szCs w:val="18"/>
              </w:rPr>
              <w:t>ing of</w:t>
            </w:r>
            <w:r w:rsidRPr="008E160B">
              <w:rPr>
                <w:rFonts w:ascii="Arial" w:hAnsi="Arial" w:cs="Arial"/>
                <w:sz w:val="18"/>
                <w:szCs w:val="18"/>
              </w:rPr>
              <w:t xml:space="preserve"> rental requirements and tenant obligations. </w:t>
            </w:r>
          </w:p>
        </w:tc>
      </w:tr>
    </w:tbl>
    <w:p w14:paraId="69024D46" w14:textId="3E7099E8" w:rsidR="002643FE" w:rsidRPr="008E160B" w:rsidRDefault="002643FE" w:rsidP="002643FE"/>
    <w:p w14:paraId="00CD3AEB" w14:textId="77777777" w:rsidR="002643FE" w:rsidRPr="008E160B" w:rsidRDefault="002643FE">
      <w:pPr>
        <w:rPr>
          <w:rFonts w:ascii="Arial" w:eastAsiaTheme="majorEastAsia" w:hAnsi="Arial" w:cs="Arial"/>
          <w:b/>
          <w:sz w:val="28"/>
          <w:szCs w:val="20"/>
          <w:u w:val="single"/>
        </w:rPr>
      </w:pPr>
      <w:r w:rsidRPr="008E160B">
        <w:rPr>
          <w:rFonts w:ascii="Arial" w:hAnsi="Arial" w:cs="Arial"/>
          <w:b/>
          <w:sz w:val="28"/>
          <w:szCs w:val="20"/>
          <w:u w:val="single"/>
        </w:rPr>
        <w:br w:type="page"/>
      </w:r>
    </w:p>
    <w:p w14:paraId="4AADF96D" w14:textId="44A6F9B3" w:rsidR="001F0AE8" w:rsidRPr="00414140" w:rsidRDefault="001F0AE8" w:rsidP="00A21281">
      <w:pPr>
        <w:pStyle w:val="Heading1"/>
      </w:pPr>
      <w:bookmarkStart w:id="5" w:name="_Roadmap_for_change"/>
      <w:bookmarkStart w:id="6" w:name="_Assessment_of_PLS/SWP"/>
      <w:bookmarkStart w:id="7" w:name="_Toc58245775"/>
      <w:bookmarkEnd w:id="5"/>
      <w:bookmarkEnd w:id="6"/>
      <w:r w:rsidRPr="00AF3600">
        <w:lastRenderedPageBreak/>
        <w:t xml:space="preserve">Appendix </w:t>
      </w:r>
      <w:r>
        <w:t>C</w:t>
      </w:r>
      <w:r w:rsidRPr="00AF3600">
        <w:t xml:space="preserve"> – </w:t>
      </w:r>
      <w:r w:rsidRPr="001F0AE8">
        <w:t>Terms of Reference – Review of accommodation settings under the Seasonal Worker Programme and the Pacific Labour Scheme</w:t>
      </w:r>
      <w:bookmarkEnd w:id="7"/>
    </w:p>
    <w:p w14:paraId="12854367" w14:textId="77777777" w:rsidR="001F0AE8" w:rsidRPr="001F0AE8" w:rsidRDefault="001F0AE8" w:rsidP="009E6A7C">
      <w:pPr>
        <w:pStyle w:val="Heading2"/>
      </w:pPr>
      <w:r w:rsidRPr="001F0AE8">
        <w:t>Introduction</w:t>
      </w:r>
    </w:p>
    <w:p w14:paraId="1D778AFB" w14:textId="77777777" w:rsidR="001F0AE8" w:rsidRPr="001F0AE8" w:rsidRDefault="001F0AE8" w:rsidP="001F0AE8">
      <w:pPr>
        <w:pStyle w:val="Standard"/>
        <w:spacing w:before="120" w:after="120" w:line="276" w:lineRule="auto"/>
        <w:rPr>
          <w:rFonts w:ascii="Arial" w:eastAsia="Times New Roman" w:hAnsi="Arial"/>
          <w:color w:val="000000"/>
          <w:kern w:val="0"/>
          <w:sz w:val="20"/>
          <w:szCs w:val="20"/>
          <w:lang w:eastAsia="en-AU" w:bidi="ar-SA"/>
        </w:rPr>
      </w:pPr>
      <w:r w:rsidRPr="001F0AE8">
        <w:rPr>
          <w:rFonts w:ascii="Arial" w:eastAsia="Times New Roman" w:hAnsi="Arial"/>
          <w:color w:val="000000"/>
          <w:kern w:val="0"/>
          <w:sz w:val="20"/>
          <w:szCs w:val="20"/>
          <w:lang w:eastAsia="en-AU" w:bidi="ar-SA"/>
        </w:rPr>
        <w:t xml:space="preserve">Expansion of labour mobility is a key government priority under the Pacific step-up initiative. This includes the Seasonal Worker Programme (SWP), administered by the Department of Education, Skills and Employment (DESE), and the Pacific Labour Scheme (PLS), administered by the Department of Foreign Affairs and Trade (DFAT). Ten countries are currently participating in both labour initiatives, including: Fiji, Kiribati, Nauru, Papua New Guinea, Samoa, Solomon Islands, Timor-Leste, Tonga, </w:t>
      </w:r>
      <w:proofErr w:type="gramStart"/>
      <w:r w:rsidRPr="001F0AE8">
        <w:rPr>
          <w:rFonts w:ascii="Arial" w:eastAsia="Times New Roman" w:hAnsi="Arial"/>
          <w:color w:val="000000"/>
          <w:kern w:val="0"/>
          <w:sz w:val="20"/>
          <w:szCs w:val="20"/>
          <w:lang w:eastAsia="en-AU" w:bidi="ar-SA"/>
        </w:rPr>
        <w:t>Tuvalu</w:t>
      </w:r>
      <w:proofErr w:type="gramEnd"/>
      <w:r w:rsidRPr="001F0AE8">
        <w:rPr>
          <w:rFonts w:ascii="Arial" w:eastAsia="Times New Roman" w:hAnsi="Arial"/>
          <w:color w:val="000000"/>
          <w:kern w:val="0"/>
          <w:sz w:val="20"/>
          <w:szCs w:val="20"/>
          <w:lang w:eastAsia="en-AU" w:bidi="ar-SA"/>
        </w:rPr>
        <w:t xml:space="preserve"> and Vanuatu.</w:t>
      </w:r>
    </w:p>
    <w:p w14:paraId="4F32A1BF" w14:textId="77777777" w:rsidR="001F0AE8" w:rsidRPr="001F0AE8" w:rsidRDefault="001F0AE8" w:rsidP="001F0AE8">
      <w:pPr>
        <w:pStyle w:val="Standard"/>
        <w:spacing w:before="120" w:after="120" w:line="276" w:lineRule="auto"/>
        <w:rPr>
          <w:rFonts w:ascii="Arial" w:eastAsia="Times New Roman" w:hAnsi="Arial"/>
          <w:color w:val="000000"/>
          <w:kern w:val="0"/>
          <w:sz w:val="20"/>
          <w:szCs w:val="20"/>
          <w:lang w:eastAsia="en-AU" w:bidi="ar-SA"/>
        </w:rPr>
      </w:pPr>
      <w:r w:rsidRPr="001F0AE8">
        <w:rPr>
          <w:rFonts w:ascii="Arial" w:eastAsia="Times New Roman" w:hAnsi="Arial"/>
          <w:color w:val="000000"/>
          <w:kern w:val="0"/>
          <w:sz w:val="20"/>
          <w:szCs w:val="20"/>
          <w:lang w:eastAsia="en-AU" w:bidi="ar-SA"/>
        </w:rPr>
        <w:t xml:space="preserve">The labour mobility initiatives also contribute to the development of the Pacific and Timor-Leste, improve productivity of Australian business through the provision of a stable and productive workforce, reinvigorate rural and regional Australian locations and develop stronger people-to-people links between Australia and the Pacific. </w:t>
      </w:r>
    </w:p>
    <w:p w14:paraId="4F49C5C9" w14:textId="77777777" w:rsidR="001F0AE8" w:rsidRPr="001F0AE8" w:rsidRDefault="001F0AE8" w:rsidP="001F0AE8">
      <w:pPr>
        <w:pStyle w:val="Standard"/>
        <w:spacing w:before="120" w:after="120" w:line="276" w:lineRule="auto"/>
        <w:rPr>
          <w:rFonts w:ascii="Arial" w:eastAsia="Times New Roman" w:hAnsi="Arial"/>
          <w:color w:val="000000"/>
          <w:kern w:val="0"/>
          <w:sz w:val="20"/>
          <w:szCs w:val="20"/>
          <w:lang w:eastAsia="en-AU" w:bidi="ar-SA"/>
        </w:rPr>
      </w:pPr>
      <w:r w:rsidRPr="001F0AE8">
        <w:rPr>
          <w:rFonts w:ascii="Arial" w:eastAsia="Times New Roman" w:hAnsi="Arial"/>
          <w:color w:val="000000"/>
          <w:kern w:val="0"/>
          <w:sz w:val="20"/>
          <w:szCs w:val="20"/>
          <w:lang w:eastAsia="en-AU" w:bidi="ar-SA"/>
        </w:rPr>
        <w:t>The SWP allows Approved Australian Employers to recruit Pacific and Timorese workers for unskilled to low skilled roles for up to nine months in the horticulture sector and in the accommodation sector in selected locations. The PLS allows Approved Australian Employers to recruit Pacific and Timorese workers for unskilled to semi-skilled roles for between one and three years in any sector in rural and regional Australia.</w:t>
      </w:r>
    </w:p>
    <w:p w14:paraId="5C3590AD"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 xml:space="preserve">Accommodation is one the largest ongoing expenses for Pacific and Timorese workers in Australia under the labour mobility schemes. Approved Employers under both schemes are required to provide accommodation for workers, either for a limited initial period (3 months for PLS workers) or for the length of the contract (SWP). Workers </w:t>
      </w:r>
      <w:proofErr w:type="gramStart"/>
      <w:r w:rsidRPr="001F0AE8">
        <w:rPr>
          <w:rFonts w:ascii="Arial" w:eastAsia="Times New Roman" w:hAnsi="Arial" w:cs="Arial"/>
          <w:color w:val="000000"/>
          <w:sz w:val="20"/>
          <w:szCs w:val="20"/>
          <w:lang w:eastAsia="en-AU"/>
        </w:rPr>
        <w:t>are able to</w:t>
      </w:r>
      <w:proofErr w:type="gramEnd"/>
      <w:r w:rsidRPr="001F0AE8">
        <w:rPr>
          <w:rFonts w:ascii="Arial" w:eastAsia="Times New Roman" w:hAnsi="Arial" w:cs="Arial"/>
          <w:color w:val="000000"/>
          <w:sz w:val="20"/>
          <w:szCs w:val="20"/>
          <w:lang w:eastAsia="en-AU"/>
        </w:rPr>
        <w:t xml:space="preserve"> choose to relocate to private accommodation arrangements although in practice few make this choice. Workers usually pay for employer-arranged accommodation through deductions from their earnings. Under the SWP all accommodation is required to be approved by DESE against minimum standards set under Guidelines prior to the accommodation being used to house workers.</w:t>
      </w:r>
    </w:p>
    <w:p w14:paraId="0DFC22D4" w14:textId="3ECCBD21"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 xml:space="preserve">The cost, availability and standard of accommodation can vary significantly depending on location as can the cost of inclusions such as power, water, </w:t>
      </w:r>
      <w:proofErr w:type="gramStart"/>
      <w:r w:rsidRPr="001F0AE8">
        <w:rPr>
          <w:rFonts w:ascii="Arial" w:eastAsia="Times New Roman" w:hAnsi="Arial" w:cs="Arial"/>
          <w:color w:val="000000"/>
          <w:sz w:val="20"/>
          <w:szCs w:val="20"/>
          <w:lang w:eastAsia="en-AU"/>
        </w:rPr>
        <w:t>internet</w:t>
      </w:r>
      <w:proofErr w:type="gramEnd"/>
      <w:r w:rsidRPr="001F0AE8">
        <w:rPr>
          <w:rFonts w:ascii="Arial" w:eastAsia="Times New Roman" w:hAnsi="Arial" w:cs="Arial"/>
          <w:color w:val="000000"/>
          <w:sz w:val="20"/>
          <w:szCs w:val="20"/>
          <w:lang w:eastAsia="en-AU"/>
        </w:rPr>
        <w:t xml:space="preserve"> and maintenance services. Pacific and Timorese workers are often employed in regions where accommodation is often scarce, especially in peak seasons. </w:t>
      </w:r>
    </w:p>
    <w:p w14:paraId="20DAF97F" w14:textId="77777777" w:rsidR="001F0AE8" w:rsidRPr="009E6A7C" w:rsidRDefault="001F0AE8" w:rsidP="009E6A7C">
      <w:pPr>
        <w:pStyle w:val="Heading3"/>
      </w:pPr>
      <w:r w:rsidRPr="009E6A7C">
        <w:t>Purpose of the review</w:t>
      </w:r>
    </w:p>
    <w:p w14:paraId="0BA241A0"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The purpose of this review is to examine the cost and standard of accommodation for PLS/SWP workers and to consider if changes are warranted to DFAT and DESE policies to improve the value and suitability of accommodation provided under the two schemes. The review will also consider whether changes to accommodation assurance processes are required.</w:t>
      </w:r>
    </w:p>
    <w:p w14:paraId="6ABC4B59" w14:textId="77777777" w:rsidR="001F0AE8" w:rsidRPr="001F0AE8" w:rsidRDefault="001F0AE8" w:rsidP="009E6A7C">
      <w:pPr>
        <w:pStyle w:val="Heading3"/>
      </w:pPr>
      <w:r w:rsidRPr="001F0AE8">
        <w:t xml:space="preserve">Scope of review </w:t>
      </w:r>
    </w:p>
    <w:p w14:paraId="54A38653"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The review requires the development of a report which will include:</w:t>
      </w:r>
    </w:p>
    <w:p w14:paraId="2064F4B2" w14:textId="7CA4FDB5"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A review of PLS/SWP accommodation costs and deductions, including rental costs, inclusions, occupancy levels, accommodation types and standards of accommodation</w:t>
      </w:r>
    </w:p>
    <w:p w14:paraId="5C0C22A2" w14:textId="35626955"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comparative assessments of PLS/SWP accommodation costs against average rental prices in relevant regions considering like-for-like properties, hostels, caravan parks and on-farm accommodation arrangements</w:t>
      </w:r>
    </w:p>
    <w:p w14:paraId="5899961D" w14:textId="21FEC4AA"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 xml:space="preserve">comparisons of accommodation approaches across different sectors, employers, </w:t>
      </w:r>
      <w:proofErr w:type="gramStart"/>
      <w:r w:rsidRPr="001F0AE8">
        <w:rPr>
          <w:rFonts w:ascii="Arial" w:eastAsia="Times New Roman" w:hAnsi="Arial" w:cs="Arial"/>
          <w:color w:val="000000"/>
          <w:sz w:val="20"/>
          <w:szCs w:val="20"/>
          <w:lang w:eastAsia="en-AU"/>
        </w:rPr>
        <w:t>regions</w:t>
      </w:r>
      <w:proofErr w:type="gramEnd"/>
      <w:r w:rsidRPr="001F0AE8">
        <w:rPr>
          <w:rFonts w:ascii="Arial" w:eastAsia="Times New Roman" w:hAnsi="Arial" w:cs="Arial"/>
          <w:color w:val="000000"/>
          <w:sz w:val="20"/>
          <w:szCs w:val="20"/>
          <w:lang w:eastAsia="en-AU"/>
        </w:rPr>
        <w:t xml:space="preserve"> and schemes</w:t>
      </w:r>
    </w:p>
    <w:p w14:paraId="1720BAA4" w14:textId="3C1F6DC8"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comparisons against accommodation standards for other temporary visa holders</w:t>
      </w:r>
    </w:p>
    <w:p w14:paraId="5DA4F2D4" w14:textId="25F91837"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lastRenderedPageBreak/>
        <w:t>a review of PLS/SWP accommodation settings and guidelines, including minimum standards, and assurance processes</w:t>
      </w:r>
    </w:p>
    <w:p w14:paraId="1C049346" w14:textId="77777777" w:rsidR="001F0AE8" w:rsidRPr="001F0AE8" w:rsidRDefault="001F0AE8" w:rsidP="009E2E2D">
      <w:pPr>
        <w:pStyle w:val="ListParagraph"/>
        <w:numPr>
          <w:ilvl w:val="0"/>
          <w:numId w:val="15"/>
        </w:numPr>
        <w:spacing w:before="60" w:after="60" w:line="240" w:lineRule="auto"/>
        <w:ind w:left="714" w:hanging="357"/>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recommendations to improve policy settings and guidelines if required.</w:t>
      </w:r>
    </w:p>
    <w:p w14:paraId="76929940"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 xml:space="preserve">The report will be developed through a desktop review of current SWP and PLS accommodation settings and consultations with key stakeholders including the Australian Government (including DFAT and DESE), the New Zealand Government, the Pacific Labour Facility, SWP and PLS Approved Employers, Australia-based Pacific and Timorese Liaison Officers, Pacific and Timorese workers, researchers with experience related to accommodation, relevant accommodation providers, unions, community groups and other relevant stakeholders. </w:t>
      </w:r>
    </w:p>
    <w:p w14:paraId="710E2E9F" w14:textId="77777777" w:rsidR="001F0AE8" w:rsidRPr="001F0AE8" w:rsidRDefault="001F0AE8" w:rsidP="009E6A7C">
      <w:pPr>
        <w:pStyle w:val="Heading3"/>
      </w:pPr>
      <w:r w:rsidRPr="001F0AE8">
        <w:t>Final Product</w:t>
      </w:r>
    </w:p>
    <w:p w14:paraId="481F8C10"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 xml:space="preserve">DFAT and DESE are seeking a report (maximum 15 pages) that will detail comparative assessments of the cost of accommodation and on accommodation approaches, and recommendations on policy response to accommodation issues. </w:t>
      </w:r>
    </w:p>
    <w:p w14:paraId="7034559F" w14:textId="77777777" w:rsidR="001F0AE8" w:rsidRPr="001F0AE8" w:rsidRDefault="001F0AE8" w:rsidP="009E6A7C">
      <w:pPr>
        <w:pStyle w:val="Heading3"/>
      </w:pPr>
      <w:r w:rsidRPr="001F0AE8">
        <w:t>Outputs and timing</w:t>
      </w:r>
    </w:p>
    <w:tbl>
      <w:tblPr>
        <w:tblW w:w="12186" w:type="dxa"/>
        <w:tblCellMar>
          <w:left w:w="10" w:type="dxa"/>
          <w:right w:w="10" w:type="dxa"/>
        </w:tblCellMar>
        <w:tblLook w:val="0000" w:firstRow="0" w:lastRow="0" w:firstColumn="0" w:lastColumn="0" w:noHBand="0" w:noVBand="0"/>
      </w:tblPr>
      <w:tblGrid>
        <w:gridCol w:w="7083"/>
        <w:gridCol w:w="1559"/>
        <w:gridCol w:w="3544"/>
      </w:tblGrid>
      <w:tr w:rsidR="001F0AE8" w:rsidRPr="001F0AE8" w14:paraId="166FC18E" w14:textId="77777777" w:rsidTr="00A21281">
        <w:trPr>
          <w:trHeight w:val="214"/>
          <w:tblHeader/>
        </w:trPr>
        <w:tc>
          <w:tcPr>
            <w:tcW w:w="708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2C59DD0" w14:textId="77777777" w:rsidR="001F0AE8" w:rsidRPr="001F0AE8" w:rsidRDefault="001F0AE8" w:rsidP="001F0AE8">
            <w:pPr>
              <w:pStyle w:val="Standard"/>
              <w:spacing w:before="60" w:after="60" w:line="276" w:lineRule="auto"/>
              <w:rPr>
                <w:rFonts w:ascii="Arial" w:hAnsi="Arial"/>
                <w:b/>
                <w:sz w:val="20"/>
                <w:szCs w:val="20"/>
              </w:rPr>
            </w:pPr>
            <w:r w:rsidRPr="001F0AE8">
              <w:rPr>
                <w:rFonts w:ascii="Arial" w:hAnsi="Arial"/>
                <w:b/>
                <w:sz w:val="20"/>
                <w:szCs w:val="20"/>
              </w:rPr>
              <w:t>Output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2440184" w14:textId="177BD6AA" w:rsidR="001F0AE8" w:rsidRPr="001F0AE8" w:rsidRDefault="00A21281" w:rsidP="00D86DD1">
            <w:pPr>
              <w:pStyle w:val="Standard"/>
              <w:spacing w:before="60" w:after="60" w:line="276" w:lineRule="auto"/>
              <w:jc w:val="center"/>
              <w:rPr>
                <w:rFonts w:ascii="Arial" w:hAnsi="Arial"/>
                <w:b/>
                <w:sz w:val="20"/>
                <w:szCs w:val="20"/>
              </w:rPr>
            </w:pPr>
            <w:r>
              <w:rPr>
                <w:rFonts w:ascii="Arial" w:hAnsi="Arial"/>
                <w:b/>
                <w:sz w:val="20"/>
                <w:szCs w:val="20"/>
              </w:rPr>
              <w:t>No.</w:t>
            </w:r>
            <w:r w:rsidR="001F0AE8" w:rsidRPr="001F0AE8">
              <w:rPr>
                <w:rFonts w:ascii="Arial" w:hAnsi="Arial"/>
                <w:b/>
                <w:sz w:val="20"/>
                <w:szCs w:val="20"/>
              </w:rPr>
              <w:t xml:space="preserve"> of days</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5FAED55" w14:textId="77777777" w:rsidR="001F0AE8" w:rsidRPr="001F0AE8" w:rsidRDefault="001F0AE8" w:rsidP="00D86DD1">
            <w:pPr>
              <w:pStyle w:val="Standard"/>
              <w:spacing w:before="60" w:after="60" w:line="276" w:lineRule="auto"/>
              <w:jc w:val="center"/>
              <w:rPr>
                <w:rFonts w:ascii="Arial" w:hAnsi="Arial"/>
                <w:b/>
                <w:sz w:val="20"/>
                <w:szCs w:val="20"/>
              </w:rPr>
            </w:pPr>
            <w:r w:rsidRPr="001F0AE8">
              <w:rPr>
                <w:rFonts w:ascii="Arial" w:hAnsi="Arial"/>
                <w:b/>
                <w:sz w:val="20"/>
                <w:szCs w:val="20"/>
              </w:rPr>
              <w:t>Timeline</w:t>
            </w:r>
          </w:p>
        </w:tc>
      </w:tr>
      <w:tr w:rsidR="001F0AE8" w:rsidRPr="001F0AE8" w14:paraId="13A632B5" w14:textId="77777777" w:rsidTr="001F0AE8">
        <w:trPr>
          <w:trHeight w:val="441"/>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18BC"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Pre-meeting with DFAT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CE53"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FA75"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18 August 2020</w:t>
            </w:r>
          </w:p>
        </w:tc>
      </w:tr>
      <w:tr w:rsidR="001F0AE8" w:rsidRPr="001F0AE8" w14:paraId="59344B69" w14:textId="77777777" w:rsidTr="001F0AE8">
        <w:trPr>
          <w:trHeight w:val="441"/>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F615"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Confirmation of timelines and outline draft review plan and methodologies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55F9"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2333"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21 August 2020</w:t>
            </w:r>
          </w:p>
        </w:tc>
      </w:tr>
      <w:tr w:rsidR="001F0AE8" w:rsidRPr="001F0AE8" w14:paraId="7279B52A" w14:textId="77777777" w:rsidTr="001F0AE8">
        <w:trPr>
          <w:trHeight w:val="214"/>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A69"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Conduct review/interviews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7988C"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1ADC" w14:textId="77777777" w:rsidR="001F0AE8" w:rsidRPr="001F0AE8" w:rsidRDefault="001F0AE8" w:rsidP="00D86DD1">
            <w:pPr>
              <w:pStyle w:val="Standard"/>
              <w:spacing w:before="60" w:after="60" w:line="276" w:lineRule="auto"/>
              <w:jc w:val="center"/>
              <w:rPr>
                <w:rFonts w:ascii="Arial" w:hAnsi="Arial"/>
                <w:sz w:val="18"/>
                <w:szCs w:val="18"/>
              </w:rPr>
            </w:pPr>
          </w:p>
        </w:tc>
      </w:tr>
      <w:tr w:rsidR="001F0AE8" w:rsidRPr="001F0AE8" w14:paraId="40982AB3" w14:textId="77777777" w:rsidTr="001F0AE8">
        <w:trPr>
          <w:trHeight w:val="214"/>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D9C1"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Draft review provided to DFAT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896B" w14:textId="77777777" w:rsidR="001F0AE8" w:rsidRPr="001F0AE8" w:rsidRDefault="001F0AE8" w:rsidP="00D86DD1">
            <w:pPr>
              <w:pStyle w:val="Standard"/>
              <w:spacing w:before="60" w:after="60" w:line="276" w:lineRule="auto"/>
              <w:jc w:val="center"/>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B292"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11 August 2020</w:t>
            </w:r>
          </w:p>
        </w:tc>
      </w:tr>
      <w:tr w:rsidR="001F0AE8" w:rsidRPr="001F0AE8" w14:paraId="4679F3DA" w14:textId="77777777" w:rsidTr="001F0AE8">
        <w:trPr>
          <w:trHeight w:val="214"/>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92FF"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Comments from DFAT reviewed and report finalised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5FF6D"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DAAE" w14:textId="77777777" w:rsidR="001F0AE8" w:rsidRPr="001F0AE8" w:rsidRDefault="001F0AE8" w:rsidP="00D86DD1">
            <w:pPr>
              <w:pStyle w:val="Standard"/>
              <w:spacing w:before="60" w:after="60" w:line="276" w:lineRule="auto"/>
              <w:jc w:val="center"/>
              <w:rPr>
                <w:rFonts w:ascii="Arial" w:hAnsi="Arial"/>
                <w:sz w:val="18"/>
                <w:szCs w:val="18"/>
              </w:rPr>
            </w:pPr>
          </w:p>
        </w:tc>
      </w:tr>
      <w:tr w:rsidR="001F0AE8" w:rsidRPr="001F0AE8" w14:paraId="008C6F9D" w14:textId="77777777" w:rsidTr="001F0AE8">
        <w:trPr>
          <w:trHeight w:val="202"/>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6CA" w14:textId="77777777" w:rsidR="001F0AE8" w:rsidRPr="001F0AE8" w:rsidRDefault="001F0AE8" w:rsidP="001F0AE8">
            <w:pPr>
              <w:pStyle w:val="Standard"/>
              <w:spacing w:before="60" w:after="60" w:line="276" w:lineRule="auto"/>
              <w:rPr>
                <w:rFonts w:ascii="Arial" w:hAnsi="Arial"/>
                <w:sz w:val="18"/>
                <w:szCs w:val="18"/>
              </w:rPr>
            </w:pPr>
            <w:r w:rsidRPr="001F0AE8">
              <w:rPr>
                <w:rFonts w:ascii="Arial" w:hAnsi="Arial"/>
                <w:sz w:val="18"/>
                <w:szCs w:val="18"/>
              </w:rPr>
              <w:t>Final report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4E19" w14:textId="77777777" w:rsidR="001F0AE8" w:rsidRPr="001F0AE8" w:rsidRDefault="001F0AE8" w:rsidP="00D86DD1">
            <w:pPr>
              <w:pStyle w:val="Standard"/>
              <w:spacing w:before="60" w:after="60" w:line="276" w:lineRule="auto"/>
              <w:jc w:val="center"/>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B6BA" w14:textId="77777777" w:rsidR="001F0AE8" w:rsidRPr="001F0AE8" w:rsidRDefault="001F0AE8" w:rsidP="00D86DD1">
            <w:pPr>
              <w:pStyle w:val="Standard"/>
              <w:spacing w:before="60" w:after="60" w:line="276" w:lineRule="auto"/>
              <w:jc w:val="center"/>
              <w:rPr>
                <w:rFonts w:ascii="Arial" w:hAnsi="Arial"/>
                <w:sz w:val="18"/>
                <w:szCs w:val="18"/>
              </w:rPr>
            </w:pPr>
            <w:r w:rsidRPr="001F0AE8">
              <w:rPr>
                <w:rFonts w:ascii="Arial" w:hAnsi="Arial"/>
                <w:sz w:val="18"/>
                <w:szCs w:val="18"/>
              </w:rPr>
              <w:t>25 September 2020</w:t>
            </w:r>
          </w:p>
        </w:tc>
      </w:tr>
    </w:tbl>
    <w:p w14:paraId="0E71262D" w14:textId="77777777" w:rsidR="001F0AE8" w:rsidRPr="001F0AE8" w:rsidRDefault="001F0AE8" w:rsidP="009E6A7C">
      <w:pPr>
        <w:pStyle w:val="Heading3"/>
      </w:pPr>
      <w:r w:rsidRPr="001F0AE8">
        <w:t>Documentation available for the reviewer</w:t>
      </w:r>
    </w:p>
    <w:p w14:paraId="25D24E23"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SWP Deed and Approved Employer Guidelines</w:t>
      </w:r>
    </w:p>
    <w:p w14:paraId="100C5AA0"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SWP Accommodation requirements checklist</w:t>
      </w:r>
    </w:p>
    <w:p w14:paraId="44FD71A9"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PLS Deed and policy handbook</w:t>
      </w:r>
    </w:p>
    <w:p w14:paraId="49FE2973"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PLS Accommodation Form</w:t>
      </w:r>
    </w:p>
    <w:p w14:paraId="3688FE70"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PLS Recruitment Plan Assessment Checklist</w:t>
      </w:r>
    </w:p>
    <w:p w14:paraId="4095EA7A"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PLF Accommodation Review</w:t>
      </w:r>
    </w:p>
    <w:p w14:paraId="5251115A"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New Zealand Recognised Seasonal Employer Scheme Accommodation Guidelines</w:t>
      </w:r>
    </w:p>
    <w:p w14:paraId="0B138B08" w14:textId="0C9A659D" w:rsidR="001F0AE8" w:rsidRDefault="001F0AE8" w:rsidP="001F0AE8">
      <w:pPr>
        <w:spacing w:before="120" w:after="120" w:line="276" w:lineRule="auto"/>
        <w:contextualSpacing/>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Relevant academic publications</w:t>
      </w:r>
    </w:p>
    <w:p w14:paraId="1A38E9A4" w14:textId="77777777" w:rsidR="001F0AE8" w:rsidRPr="001F0AE8" w:rsidRDefault="001F0AE8" w:rsidP="001F0AE8">
      <w:pPr>
        <w:spacing w:before="120" w:after="120" w:line="276" w:lineRule="auto"/>
        <w:contextualSpacing/>
        <w:rPr>
          <w:rFonts w:ascii="Arial" w:eastAsia="Times New Roman" w:hAnsi="Arial" w:cs="Arial"/>
          <w:color w:val="000000"/>
          <w:sz w:val="20"/>
          <w:szCs w:val="20"/>
          <w:lang w:eastAsia="en-AU"/>
        </w:rPr>
      </w:pPr>
    </w:p>
    <w:p w14:paraId="07C96383" w14:textId="77777777" w:rsidR="001F0AE8" w:rsidRPr="001F0AE8" w:rsidRDefault="001F0AE8" w:rsidP="009E6A7C">
      <w:pPr>
        <w:pStyle w:val="Heading3"/>
      </w:pPr>
      <w:r w:rsidRPr="001F0AE8">
        <w:t>Review team</w:t>
      </w:r>
    </w:p>
    <w:p w14:paraId="53FB5581" w14:textId="77777777" w:rsidR="001F0AE8" w:rsidRPr="001F0AE8" w:rsidRDefault="001F0AE8" w:rsidP="001F0AE8">
      <w:pPr>
        <w:spacing w:before="120" w:after="120" w:line="276" w:lineRule="auto"/>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The review will be conducted by an experienced organisation. The ideal team will have:</w:t>
      </w:r>
    </w:p>
    <w:p w14:paraId="25846F49" w14:textId="77777777" w:rsidR="009E2E2D" w:rsidRDefault="009E2E2D"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sectPr w:rsidR="009E2E2D" w:rsidSect="002C6E90">
          <w:headerReference w:type="default" r:id="rId9"/>
          <w:footerReference w:type="default" r:id="rId10"/>
          <w:type w:val="continuous"/>
          <w:pgSz w:w="16838" w:h="11906" w:orient="landscape"/>
          <w:pgMar w:top="426" w:right="1440" w:bottom="993" w:left="1440" w:header="708" w:footer="474" w:gutter="0"/>
          <w:cols w:space="708"/>
          <w:docGrid w:linePitch="360"/>
        </w:sectPr>
      </w:pPr>
    </w:p>
    <w:p w14:paraId="6C0C298D" w14:textId="722F8EC1" w:rsidR="001F0AE8" w:rsidRPr="001F0AE8"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An understanding of regional and rural private sector accommodation/rental markets</w:t>
      </w:r>
    </w:p>
    <w:p w14:paraId="29A2F172" w14:textId="77777777" w:rsidR="001F0AE8" w:rsidRPr="001F0AE8"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Familiarity with Australian Government processes</w:t>
      </w:r>
    </w:p>
    <w:p w14:paraId="6B15798E" w14:textId="77777777" w:rsidR="001F0AE8" w:rsidRPr="001F0AE8"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An understanding of the Pacific context</w:t>
      </w:r>
    </w:p>
    <w:p w14:paraId="31E51FF1" w14:textId="77777777" w:rsidR="001F0AE8" w:rsidRPr="001F0AE8"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lastRenderedPageBreak/>
        <w:t>Strong organisational and time management skills</w:t>
      </w:r>
    </w:p>
    <w:p w14:paraId="3E0734FF" w14:textId="77777777" w:rsidR="001F0AE8" w:rsidRPr="001F0AE8"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Strong analytical and writing skills</w:t>
      </w:r>
    </w:p>
    <w:p w14:paraId="3CE9A826" w14:textId="2B8A8551" w:rsidR="004F4792" w:rsidRPr="009E2E2D" w:rsidRDefault="001F0AE8" w:rsidP="009E2E2D">
      <w:pPr>
        <w:pStyle w:val="ListParagraph"/>
        <w:numPr>
          <w:ilvl w:val="0"/>
          <w:numId w:val="16"/>
        </w:numPr>
        <w:spacing w:before="100" w:beforeAutospacing="1" w:after="100" w:afterAutospacing="1" w:line="240" w:lineRule="auto"/>
        <w:ind w:left="714" w:hanging="357"/>
        <w:contextualSpacing w:val="0"/>
        <w:rPr>
          <w:rFonts w:ascii="Arial" w:eastAsia="Times New Roman" w:hAnsi="Arial" w:cs="Arial"/>
          <w:color w:val="000000"/>
          <w:sz w:val="20"/>
          <w:szCs w:val="20"/>
          <w:lang w:eastAsia="en-AU"/>
        </w:rPr>
      </w:pPr>
      <w:r w:rsidRPr="001F0AE8">
        <w:rPr>
          <w:rFonts w:ascii="Arial" w:eastAsia="Times New Roman" w:hAnsi="Arial" w:cs="Arial"/>
          <w:color w:val="000000"/>
          <w:sz w:val="20"/>
          <w:szCs w:val="20"/>
          <w:lang w:eastAsia="en-AU"/>
        </w:rPr>
        <w:t>Ability to get across new subject matter quickly</w:t>
      </w:r>
    </w:p>
    <w:sectPr w:rsidR="004F4792" w:rsidRPr="009E2E2D" w:rsidSect="009E2E2D">
      <w:type w:val="continuous"/>
      <w:pgSz w:w="16838" w:h="11906" w:orient="landscape"/>
      <w:pgMar w:top="426" w:right="1440" w:bottom="993" w:left="1440" w:header="708" w:footer="47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D42E7" w14:textId="77777777" w:rsidR="000041E4" w:rsidRDefault="000041E4" w:rsidP="00D536BA">
      <w:pPr>
        <w:spacing w:after="0" w:line="240" w:lineRule="auto"/>
      </w:pPr>
      <w:r>
        <w:separator/>
      </w:r>
    </w:p>
  </w:endnote>
  <w:endnote w:type="continuationSeparator" w:id="0">
    <w:p w14:paraId="53B1DBAA" w14:textId="77777777" w:rsidR="000041E4" w:rsidRDefault="000041E4" w:rsidP="00D5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E4C0" w14:textId="77777777" w:rsidR="000041E4" w:rsidRDefault="000041E4">
    <w:pPr>
      <w:pStyle w:val="Footer"/>
      <w:jc w:val="right"/>
    </w:pPr>
  </w:p>
  <w:p w14:paraId="6CD351A5" w14:textId="77777777" w:rsidR="000041E4" w:rsidRDefault="0000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277452113"/>
      <w:docPartObj>
        <w:docPartGallery w:val="Page Numbers (Bottom of Page)"/>
        <w:docPartUnique/>
      </w:docPartObj>
    </w:sdtPr>
    <w:sdtEndPr>
      <w:rPr>
        <w:noProof/>
      </w:rPr>
    </w:sdtEndPr>
    <w:sdtContent>
      <w:p w14:paraId="194219C8" w14:textId="712C4EC4" w:rsidR="000041E4" w:rsidRPr="00E1277C" w:rsidRDefault="000041E4" w:rsidP="00E1277C">
        <w:pPr>
          <w:pStyle w:val="Footer"/>
          <w:tabs>
            <w:tab w:val="clear" w:pos="9026"/>
            <w:tab w:val="right" w:pos="9356"/>
          </w:tabs>
          <w:rPr>
            <w:rFonts w:ascii="Arial" w:hAnsi="Arial" w:cs="Arial"/>
            <w:sz w:val="20"/>
          </w:rPr>
        </w:pPr>
        <w:r>
          <w:rPr>
            <w:rFonts w:ascii="Arial" w:hAnsi="Arial" w:cs="Arial"/>
            <w:sz w:val="20"/>
            <w:szCs w:val="20"/>
          </w:rPr>
          <w:t>Pacific Labour Mobility Accommodation Review</w:t>
        </w:r>
        <w:r>
          <w:rPr>
            <w:rFonts w:ascii="Arial" w:hAnsi="Arial" w:cs="Arial"/>
            <w:sz w:val="20"/>
            <w:szCs w:val="20"/>
          </w:rPr>
          <w:tab/>
        </w:r>
        <w:r>
          <w:tab/>
        </w:r>
        <w:r>
          <w:tab/>
        </w:r>
        <w:r>
          <w:tab/>
        </w:r>
        <w:r>
          <w:tab/>
        </w:r>
        <w:r>
          <w:tab/>
        </w:r>
        <w:r>
          <w:tab/>
          <w:t xml:space="preserve">         </w:t>
        </w:r>
        <w:r w:rsidRPr="00E1277C">
          <w:rPr>
            <w:rFonts w:ascii="Arial" w:hAnsi="Arial" w:cs="Arial"/>
            <w:sz w:val="20"/>
          </w:rPr>
          <w:t xml:space="preserve">Page </w:t>
        </w:r>
        <w:r w:rsidRPr="00E1277C">
          <w:rPr>
            <w:rFonts w:ascii="Arial" w:hAnsi="Arial" w:cs="Arial"/>
            <w:sz w:val="20"/>
          </w:rPr>
          <w:fldChar w:fldCharType="begin"/>
        </w:r>
        <w:r w:rsidRPr="00E1277C">
          <w:rPr>
            <w:rFonts w:ascii="Arial" w:hAnsi="Arial" w:cs="Arial"/>
            <w:sz w:val="20"/>
          </w:rPr>
          <w:instrText xml:space="preserve"> PAGE   \* MERGEFORMAT </w:instrText>
        </w:r>
        <w:r w:rsidRPr="00E1277C">
          <w:rPr>
            <w:rFonts w:ascii="Arial" w:hAnsi="Arial" w:cs="Arial"/>
            <w:sz w:val="20"/>
          </w:rPr>
          <w:fldChar w:fldCharType="separate"/>
        </w:r>
        <w:r>
          <w:rPr>
            <w:rFonts w:ascii="Arial" w:hAnsi="Arial" w:cs="Arial"/>
            <w:noProof/>
            <w:sz w:val="20"/>
          </w:rPr>
          <w:t>19</w:t>
        </w:r>
        <w:r w:rsidRPr="00E1277C">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31F57" w14:textId="77777777" w:rsidR="000041E4" w:rsidRDefault="000041E4" w:rsidP="00D536BA">
      <w:pPr>
        <w:spacing w:after="0" w:line="240" w:lineRule="auto"/>
      </w:pPr>
      <w:r>
        <w:separator/>
      </w:r>
    </w:p>
  </w:footnote>
  <w:footnote w:type="continuationSeparator" w:id="0">
    <w:p w14:paraId="48FF3AC7" w14:textId="77777777" w:rsidR="000041E4" w:rsidRDefault="000041E4" w:rsidP="00D5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85D3D" w14:textId="77777777" w:rsidR="000041E4" w:rsidRDefault="000041E4" w:rsidP="000E4B38">
    <w:pPr>
      <w:pStyle w:val="Header"/>
      <w:ind w:hanging="1418"/>
    </w:pPr>
    <w:r>
      <w:rPr>
        <w:noProof/>
        <w:lang w:eastAsia="en-AU"/>
      </w:rPr>
      <w:drawing>
        <wp:anchor distT="0" distB="0" distL="114300" distR="114300" simplePos="0" relativeHeight="251657216" behindDoc="0" locked="0" layoutInCell="1" allowOverlap="1" wp14:anchorId="4A4F6B22" wp14:editId="43E42642">
          <wp:simplePos x="0" y="0"/>
          <wp:positionH relativeFrom="page">
            <wp:align>right</wp:align>
          </wp:positionH>
          <wp:positionV relativeFrom="paragraph">
            <wp:posOffset>0</wp:posOffset>
          </wp:positionV>
          <wp:extent cx="10677525" cy="6005194"/>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525" cy="600519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39B7" w14:textId="63B2ABC4" w:rsidR="000041E4" w:rsidRPr="001309EB" w:rsidRDefault="000041E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65F"/>
    <w:multiLevelType w:val="hybridMultilevel"/>
    <w:tmpl w:val="BBD6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25F0D"/>
    <w:multiLevelType w:val="hybridMultilevel"/>
    <w:tmpl w:val="7464B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373FB"/>
    <w:multiLevelType w:val="hybridMultilevel"/>
    <w:tmpl w:val="4562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51215"/>
    <w:multiLevelType w:val="hybridMultilevel"/>
    <w:tmpl w:val="ABAC87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C3F4E16"/>
    <w:multiLevelType w:val="hybridMultilevel"/>
    <w:tmpl w:val="F0C2DB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72AFD"/>
    <w:multiLevelType w:val="hybridMultilevel"/>
    <w:tmpl w:val="B3D0C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22A20"/>
    <w:multiLevelType w:val="hybridMultilevel"/>
    <w:tmpl w:val="78C2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3522F"/>
    <w:multiLevelType w:val="hybridMultilevel"/>
    <w:tmpl w:val="52505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710A3"/>
    <w:multiLevelType w:val="hybridMultilevel"/>
    <w:tmpl w:val="FD36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3166B"/>
    <w:multiLevelType w:val="hybridMultilevel"/>
    <w:tmpl w:val="134CCC02"/>
    <w:lvl w:ilvl="0" w:tplc="EB6044E4">
      <w:start w:val="1"/>
      <w:numFmt w:val="lowerRoman"/>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8966FD"/>
    <w:multiLevelType w:val="multilevel"/>
    <w:tmpl w:val="16A620CC"/>
    <w:lvl w:ilvl="0">
      <w:start w:val="1"/>
      <w:numFmt w:val="decimal"/>
      <w:lvlText w:val="%1."/>
      <w:lvlJc w:val="left"/>
      <w:pPr>
        <w:ind w:left="720" w:hanging="360"/>
      </w:pPr>
      <w:rPr>
        <w:b/>
        <w:bCs/>
        <w:color w:val="auto"/>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8B34BB"/>
    <w:multiLevelType w:val="hybridMultilevel"/>
    <w:tmpl w:val="35A6704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48C14C8B"/>
    <w:multiLevelType w:val="hybridMultilevel"/>
    <w:tmpl w:val="5F189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3564B"/>
    <w:multiLevelType w:val="hybridMultilevel"/>
    <w:tmpl w:val="904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C5340"/>
    <w:multiLevelType w:val="hybridMultilevel"/>
    <w:tmpl w:val="EFCAD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917BB9"/>
    <w:multiLevelType w:val="multilevel"/>
    <w:tmpl w:val="C3DE98D4"/>
    <w:name w:val="NumberedLists2"/>
    <w:lvl w:ilvl="0">
      <w:start w:val="1"/>
      <w:numFmt w:val="none"/>
      <w:pStyle w:val="Bellchambers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6" w15:restartNumberingAfterBreak="0">
    <w:nsid w:val="73490518"/>
    <w:multiLevelType w:val="hybridMultilevel"/>
    <w:tmpl w:val="1F323290"/>
    <w:lvl w:ilvl="0" w:tplc="09544382">
      <w:start w:val="1"/>
      <w:numFmt w:val="decimal"/>
      <w:lvlText w:val="%1."/>
      <w:lvlJc w:val="left"/>
      <w:pPr>
        <w:tabs>
          <w:tab w:val="num" w:pos="720"/>
        </w:tabs>
        <w:ind w:left="720" w:hanging="360"/>
      </w:pPr>
      <w:rPr>
        <w:b w:val="0"/>
        <w:bCs w:val="0"/>
      </w:rPr>
    </w:lvl>
    <w:lvl w:ilvl="1" w:tplc="54EA0026" w:tentative="1">
      <w:start w:val="1"/>
      <w:numFmt w:val="decimal"/>
      <w:lvlText w:val="%2."/>
      <w:lvlJc w:val="left"/>
      <w:pPr>
        <w:tabs>
          <w:tab w:val="num" w:pos="1440"/>
        </w:tabs>
        <w:ind w:left="1440" w:hanging="360"/>
      </w:pPr>
    </w:lvl>
    <w:lvl w:ilvl="2" w:tplc="EA58B6C2" w:tentative="1">
      <w:start w:val="1"/>
      <w:numFmt w:val="decimal"/>
      <w:lvlText w:val="%3."/>
      <w:lvlJc w:val="left"/>
      <w:pPr>
        <w:tabs>
          <w:tab w:val="num" w:pos="2160"/>
        </w:tabs>
        <w:ind w:left="2160" w:hanging="360"/>
      </w:pPr>
    </w:lvl>
    <w:lvl w:ilvl="3" w:tplc="C32E5A06" w:tentative="1">
      <w:start w:val="1"/>
      <w:numFmt w:val="decimal"/>
      <w:lvlText w:val="%4."/>
      <w:lvlJc w:val="left"/>
      <w:pPr>
        <w:tabs>
          <w:tab w:val="num" w:pos="2880"/>
        </w:tabs>
        <w:ind w:left="2880" w:hanging="360"/>
      </w:pPr>
    </w:lvl>
    <w:lvl w:ilvl="4" w:tplc="0B5ADCF2" w:tentative="1">
      <w:start w:val="1"/>
      <w:numFmt w:val="decimal"/>
      <w:lvlText w:val="%5."/>
      <w:lvlJc w:val="left"/>
      <w:pPr>
        <w:tabs>
          <w:tab w:val="num" w:pos="3600"/>
        </w:tabs>
        <w:ind w:left="3600" w:hanging="360"/>
      </w:pPr>
    </w:lvl>
    <w:lvl w:ilvl="5" w:tplc="B58C53E4" w:tentative="1">
      <w:start w:val="1"/>
      <w:numFmt w:val="decimal"/>
      <w:lvlText w:val="%6."/>
      <w:lvlJc w:val="left"/>
      <w:pPr>
        <w:tabs>
          <w:tab w:val="num" w:pos="4320"/>
        </w:tabs>
        <w:ind w:left="4320" w:hanging="360"/>
      </w:pPr>
    </w:lvl>
    <w:lvl w:ilvl="6" w:tplc="D6C6FEFE" w:tentative="1">
      <w:start w:val="1"/>
      <w:numFmt w:val="decimal"/>
      <w:lvlText w:val="%7."/>
      <w:lvlJc w:val="left"/>
      <w:pPr>
        <w:tabs>
          <w:tab w:val="num" w:pos="5040"/>
        </w:tabs>
        <w:ind w:left="5040" w:hanging="360"/>
      </w:pPr>
    </w:lvl>
    <w:lvl w:ilvl="7" w:tplc="E14841FA" w:tentative="1">
      <w:start w:val="1"/>
      <w:numFmt w:val="decimal"/>
      <w:lvlText w:val="%8."/>
      <w:lvlJc w:val="left"/>
      <w:pPr>
        <w:tabs>
          <w:tab w:val="num" w:pos="5760"/>
        </w:tabs>
        <w:ind w:left="5760" w:hanging="360"/>
      </w:pPr>
    </w:lvl>
    <w:lvl w:ilvl="8" w:tplc="711490E8" w:tentative="1">
      <w:start w:val="1"/>
      <w:numFmt w:val="decimal"/>
      <w:lvlText w:val="%9."/>
      <w:lvlJc w:val="left"/>
      <w:pPr>
        <w:tabs>
          <w:tab w:val="num" w:pos="6480"/>
        </w:tabs>
        <w:ind w:left="6480" w:hanging="360"/>
      </w:pPr>
    </w:lvl>
  </w:abstractNum>
  <w:abstractNum w:abstractNumId="17" w15:restartNumberingAfterBreak="0">
    <w:nsid w:val="7AD91FA5"/>
    <w:multiLevelType w:val="hybridMultilevel"/>
    <w:tmpl w:val="C180D1C2"/>
    <w:lvl w:ilvl="0" w:tplc="0C090001">
      <w:start w:val="1"/>
      <w:numFmt w:val="bullet"/>
      <w:lvlText w:val=""/>
      <w:lvlJc w:val="left"/>
      <w:pPr>
        <w:ind w:left="720" w:hanging="360"/>
      </w:pPr>
      <w:rPr>
        <w:rFonts w:ascii="Symbol" w:hAnsi="Symbol" w:hint="default"/>
      </w:rPr>
    </w:lvl>
    <w:lvl w:ilvl="1" w:tplc="BD643914">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1"/>
  </w:num>
  <w:num w:numId="4">
    <w:abstractNumId w:val="14"/>
  </w:num>
  <w:num w:numId="5">
    <w:abstractNumId w:val="5"/>
  </w:num>
  <w:num w:numId="6">
    <w:abstractNumId w:val="7"/>
  </w:num>
  <w:num w:numId="7">
    <w:abstractNumId w:val="10"/>
  </w:num>
  <w:num w:numId="8">
    <w:abstractNumId w:val="9"/>
  </w:num>
  <w:num w:numId="9">
    <w:abstractNumId w:val="0"/>
  </w:num>
  <w:num w:numId="10">
    <w:abstractNumId w:val="12"/>
  </w:num>
  <w:num w:numId="11">
    <w:abstractNumId w:val="8"/>
  </w:num>
  <w:num w:numId="12">
    <w:abstractNumId w:val="2"/>
  </w:num>
  <w:num w:numId="13">
    <w:abstractNumId w:val="6"/>
  </w:num>
  <w:num w:numId="14">
    <w:abstractNumId w:val="3"/>
  </w:num>
  <w:num w:numId="15">
    <w:abstractNumId w:val="13"/>
  </w:num>
  <w:num w:numId="16">
    <w:abstractNumId w:val="1"/>
  </w:num>
  <w:num w:numId="17">
    <w:abstractNumId w:val="4"/>
  </w:num>
  <w:num w:numId="18">
    <w:abstractNumId w:val="15"/>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SwMDY0NTc3N7A0NDFV0lEKTi0uzszPAykwqQUAt2Mp5ywAAAA="/>
  </w:docVars>
  <w:rsids>
    <w:rsidRoot w:val="00D536BA"/>
    <w:rsid w:val="000008D2"/>
    <w:rsid w:val="000009FE"/>
    <w:rsid w:val="000010E0"/>
    <w:rsid w:val="00003262"/>
    <w:rsid w:val="000041E4"/>
    <w:rsid w:val="0000741C"/>
    <w:rsid w:val="00011B46"/>
    <w:rsid w:val="00014234"/>
    <w:rsid w:val="00014661"/>
    <w:rsid w:val="000150F9"/>
    <w:rsid w:val="000153F7"/>
    <w:rsid w:val="00016D55"/>
    <w:rsid w:val="00017CC8"/>
    <w:rsid w:val="0002395D"/>
    <w:rsid w:val="00026E0E"/>
    <w:rsid w:val="000275F2"/>
    <w:rsid w:val="000328D1"/>
    <w:rsid w:val="00037F68"/>
    <w:rsid w:val="0004154E"/>
    <w:rsid w:val="000442C7"/>
    <w:rsid w:val="0004514F"/>
    <w:rsid w:val="00061AD4"/>
    <w:rsid w:val="000644F2"/>
    <w:rsid w:val="00065460"/>
    <w:rsid w:val="00066082"/>
    <w:rsid w:val="00066E7A"/>
    <w:rsid w:val="00067250"/>
    <w:rsid w:val="0007377F"/>
    <w:rsid w:val="000748C1"/>
    <w:rsid w:val="0007589C"/>
    <w:rsid w:val="0007618C"/>
    <w:rsid w:val="00077726"/>
    <w:rsid w:val="00077E3F"/>
    <w:rsid w:val="00077E7A"/>
    <w:rsid w:val="00081E7C"/>
    <w:rsid w:val="00082332"/>
    <w:rsid w:val="000828FB"/>
    <w:rsid w:val="00083A8B"/>
    <w:rsid w:val="00084A26"/>
    <w:rsid w:val="00086184"/>
    <w:rsid w:val="000862B0"/>
    <w:rsid w:val="000867DA"/>
    <w:rsid w:val="00092142"/>
    <w:rsid w:val="00092744"/>
    <w:rsid w:val="0009332F"/>
    <w:rsid w:val="00093CC5"/>
    <w:rsid w:val="00096025"/>
    <w:rsid w:val="00096192"/>
    <w:rsid w:val="000971E9"/>
    <w:rsid w:val="0009791C"/>
    <w:rsid w:val="000A24F2"/>
    <w:rsid w:val="000A51EB"/>
    <w:rsid w:val="000B0215"/>
    <w:rsid w:val="000B055E"/>
    <w:rsid w:val="000B3FA7"/>
    <w:rsid w:val="000B6AE6"/>
    <w:rsid w:val="000B6B3C"/>
    <w:rsid w:val="000C00C8"/>
    <w:rsid w:val="000C2907"/>
    <w:rsid w:val="000C2B35"/>
    <w:rsid w:val="000C2F3E"/>
    <w:rsid w:val="000C2F8A"/>
    <w:rsid w:val="000C5D81"/>
    <w:rsid w:val="000D1FD9"/>
    <w:rsid w:val="000D35F5"/>
    <w:rsid w:val="000D4A38"/>
    <w:rsid w:val="000D7F69"/>
    <w:rsid w:val="000E2320"/>
    <w:rsid w:val="000E2778"/>
    <w:rsid w:val="000E4B38"/>
    <w:rsid w:val="000E714C"/>
    <w:rsid w:val="000F06AD"/>
    <w:rsid w:val="000F247B"/>
    <w:rsid w:val="000F2914"/>
    <w:rsid w:val="000F5FF6"/>
    <w:rsid w:val="000F7A58"/>
    <w:rsid w:val="000F7D63"/>
    <w:rsid w:val="00100234"/>
    <w:rsid w:val="00100AAB"/>
    <w:rsid w:val="00100FA5"/>
    <w:rsid w:val="001071CA"/>
    <w:rsid w:val="0011071A"/>
    <w:rsid w:val="001119B6"/>
    <w:rsid w:val="00114582"/>
    <w:rsid w:val="00115485"/>
    <w:rsid w:val="00124749"/>
    <w:rsid w:val="00124D28"/>
    <w:rsid w:val="001256E8"/>
    <w:rsid w:val="00125757"/>
    <w:rsid w:val="00125BDC"/>
    <w:rsid w:val="00126473"/>
    <w:rsid w:val="001274FB"/>
    <w:rsid w:val="001309EB"/>
    <w:rsid w:val="00133389"/>
    <w:rsid w:val="00133A03"/>
    <w:rsid w:val="00134DB1"/>
    <w:rsid w:val="001355EA"/>
    <w:rsid w:val="00135EF6"/>
    <w:rsid w:val="001424D3"/>
    <w:rsid w:val="00144838"/>
    <w:rsid w:val="001478E5"/>
    <w:rsid w:val="001517E9"/>
    <w:rsid w:val="001524EC"/>
    <w:rsid w:val="00154251"/>
    <w:rsid w:val="00155B5A"/>
    <w:rsid w:val="0016329C"/>
    <w:rsid w:val="00163D66"/>
    <w:rsid w:val="001648E3"/>
    <w:rsid w:val="001720E8"/>
    <w:rsid w:val="00172AFE"/>
    <w:rsid w:val="00175B37"/>
    <w:rsid w:val="00180B25"/>
    <w:rsid w:val="0018246E"/>
    <w:rsid w:val="00190113"/>
    <w:rsid w:val="00191969"/>
    <w:rsid w:val="001919E5"/>
    <w:rsid w:val="00192570"/>
    <w:rsid w:val="001937E8"/>
    <w:rsid w:val="00193B9D"/>
    <w:rsid w:val="001946F8"/>
    <w:rsid w:val="00194A3A"/>
    <w:rsid w:val="00196CB3"/>
    <w:rsid w:val="00197E46"/>
    <w:rsid w:val="001A47E7"/>
    <w:rsid w:val="001A4CCF"/>
    <w:rsid w:val="001B1372"/>
    <w:rsid w:val="001B154A"/>
    <w:rsid w:val="001B1697"/>
    <w:rsid w:val="001B2D58"/>
    <w:rsid w:val="001B49DD"/>
    <w:rsid w:val="001C0103"/>
    <w:rsid w:val="001C4A70"/>
    <w:rsid w:val="001C5706"/>
    <w:rsid w:val="001D0E60"/>
    <w:rsid w:val="001D21F0"/>
    <w:rsid w:val="001D3B6C"/>
    <w:rsid w:val="001D5938"/>
    <w:rsid w:val="001D6CBC"/>
    <w:rsid w:val="001E2B17"/>
    <w:rsid w:val="001E54A1"/>
    <w:rsid w:val="001E796B"/>
    <w:rsid w:val="001F0018"/>
    <w:rsid w:val="001F0AE8"/>
    <w:rsid w:val="001F181C"/>
    <w:rsid w:val="001F4CCF"/>
    <w:rsid w:val="001F6872"/>
    <w:rsid w:val="001F6F20"/>
    <w:rsid w:val="001F754D"/>
    <w:rsid w:val="00201CA0"/>
    <w:rsid w:val="00203A12"/>
    <w:rsid w:val="00205D7D"/>
    <w:rsid w:val="002115A1"/>
    <w:rsid w:val="00212554"/>
    <w:rsid w:val="00213941"/>
    <w:rsid w:val="002146E8"/>
    <w:rsid w:val="00215436"/>
    <w:rsid w:val="00216681"/>
    <w:rsid w:val="002166F1"/>
    <w:rsid w:val="00216C1E"/>
    <w:rsid w:val="00221350"/>
    <w:rsid w:val="00222CFF"/>
    <w:rsid w:val="002230E8"/>
    <w:rsid w:val="00223A12"/>
    <w:rsid w:val="00225288"/>
    <w:rsid w:val="00231B8A"/>
    <w:rsid w:val="00235B49"/>
    <w:rsid w:val="00236D02"/>
    <w:rsid w:val="00241422"/>
    <w:rsid w:val="002419FD"/>
    <w:rsid w:val="002422E0"/>
    <w:rsid w:val="002433FE"/>
    <w:rsid w:val="002445FE"/>
    <w:rsid w:val="00245CAB"/>
    <w:rsid w:val="002462C3"/>
    <w:rsid w:val="0024637D"/>
    <w:rsid w:val="00247516"/>
    <w:rsid w:val="00255F89"/>
    <w:rsid w:val="002573F1"/>
    <w:rsid w:val="002613DA"/>
    <w:rsid w:val="00262F8D"/>
    <w:rsid w:val="00263FD0"/>
    <w:rsid w:val="002643FE"/>
    <w:rsid w:val="002647CB"/>
    <w:rsid w:val="00266E8D"/>
    <w:rsid w:val="002704A4"/>
    <w:rsid w:val="00272A73"/>
    <w:rsid w:val="0027431F"/>
    <w:rsid w:val="00274688"/>
    <w:rsid w:val="00275431"/>
    <w:rsid w:val="00276228"/>
    <w:rsid w:val="002770C6"/>
    <w:rsid w:val="002803C2"/>
    <w:rsid w:val="002821FD"/>
    <w:rsid w:val="002835CC"/>
    <w:rsid w:val="002859AE"/>
    <w:rsid w:val="00291955"/>
    <w:rsid w:val="0029213F"/>
    <w:rsid w:val="00293D60"/>
    <w:rsid w:val="00294497"/>
    <w:rsid w:val="002951B3"/>
    <w:rsid w:val="002960B9"/>
    <w:rsid w:val="00296182"/>
    <w:rsid w:val="00296B3F"/>
    <w:rsid w:val="002A002C"/>
    <w:rsid w:val="002A28A5"/>
    <w:rsid w:val="002A4006"/>
    <w:rsid w:val="002A78D5"/>
    <w:rsid w:val="002B07EF"/>
    <w:rsid w:val="002B0C50"/>
    <w:rsid w:val="002B2B5E"/>
    <w:rsid w:val="002B4525"/>
    <w:rsid w:val="002B6401"/>
    <w:rsid w:val="002C188A"/>
    <w:rsid w:val="002C1DE7"/>
    <w:rsid w:val="002C2EF9"/>
    <w:rsid w:val="002C33D3"/>
    <w:rsid w:val="002C3452"/>
    <w:rsid w:val="002C4B08"/>
    <w:rsid w:val="002C63E2"/>
    <w:rsid w:val="002C6E90"/>
    <w:rsid w:val="002D0540"/>
    <w:rsid w:val="002D21D6"/>
    <w:rsid w:val="002D42E0"/>
    <w:rsid w:val="002D7041"/>
    <w:rsid w:val="002E07BB"/>
    <w:rsid w:val="002E08B1"/>
    <w:rsid w:val="002E4F3E"/>
    <w:rsid w:val="002E5AE0"/>
    <w:rsid w:val="002E6469"/>
    <w:rsid w:val="002E7443"/>
    <w:rsid w:val="002F35AC"/>
    <w:rsid w:val="0030095C"/>
    <w:rsid w:val="00301BA4"/>
    <w:rsid w:val="00301D83"/>
    <w:rsid w:val="00302266"/>
    <w:rsid w:val="00303921"/>
    <w:rsid w:val="00307AA3"/>
    <w:rsid w:val="00311B43"/>
    <w:rsid w:val="00313623"/>
    <w:rsid w:val="00314905"/>
    <w:rsid w:val="00316939"/>
    <w:rsid w:val="00320A5B"/>
    <w:rsid w:val="00327A17"/>
    <w:rsid w:val="00327B16"/>
    <w:rsid w:val="003328EF"/>
    <w:rsid w:val="00334359"/>
    <w:rsid w:val="003347DA"/>
    <w:rsid w:val="00336DD1"/>
    <w:rsid w:val="00336DE4"/>
    <w:rsid w:val="00340941"/>
    <w:rsid w:val="0034095B"/>
    <w:rsid w:val="003430EA"/>
    <w:rsid w:val="00346AFD"/>
    <w:rsid w:val="00346BA1"/>
    <w:rsid w:val="0034751B"/>
    <w:rsid w:val="00347FB2"/>
    <w:rsid w:val="00350072"/>
    <w:rsid w:val="00350684"/>
    <w:rsid w:val="00350AAF"/>
    <w:rsid w:val="0035157C"/>
    <w:rsid w:val="00356068"/>
    <w:rsid w:val="00361519"/>
    <w:rsid w:val="00361A17"/>
    <w:rsid w:val="003638D8"/>
    <w:rsid w:val="00363A6F"/>
    <w:rsid w:val="003650BC"/>
    <w:rsid w:val="003654AB"/>
    <w:rsid w:val="00370D07"/>
    <w:rsid w:val="00371616"/>
    <w:rsid w:val="00381111"/>
    <w:rsid w:val="00382503"/>
    <w:rsid w:val="00385643"/>
    <w:rsid w:val="00385905"/>
    <w:rsid w:val="0038694B"/>
    <w:rsid w:val="0038781E"/>
    <w:rsid w:val="00387BAA"/>
    <w:rsid w:val="00390B9A"/>
    <w:rsid w:val="00392EE5"/>
    <w:rsid w:val="00393D61"/>
    <w:rsid w:val="0039538D"/>
    <w:rsid w:val="003A18BF"/>
    <w:rsid w:val="003A2759"/>
    <w:rsid w:val="003A46AB"/>
    <w:rsid w:val="003A5210"/>
    <w:rsid w:val="003A741A"/>
    <w:rsid w:val="003A7658"/>
    <w:rsid w:val="003B19FD"/>
    <w:rsid w:val="003B1E0B"/>
    <w:rsid w:val="003B44B3"/>
    <w:rsid w:val="003B4A74"/>
    <w:rsid w:val="003B6732"/>
    <w:rsid w:val="003C0C1D"/>
    <w:rsid w:val="003C5E52"/>
    <w:rsid w:val="003C6B20"/>
    <w:rsid w:val="003C7AA6"/>
    <w:rsid w:val="003D0136"/>
    <w:rsid w:val="003D065A"/>
    <w:rsid w:val="003D0F14"/>
    <w:rsid w:val="003D1462"/>
    <w:rsid w:val="003D55AD"/>
    <w:rsid w:val="003D5967"/>
    <w:rsid w:val="003E2782"/>
    <w:rsid w:val="003E45EC"/>
    <w:rsid w:val="003E76BC"/>
    <w:rsid w:val="003F0CF5"/>
    <w:rsid w:val="003F1E46"/>
    <w:rsid w:val="003F21C3"/>
    <w:rsid w:val="003F2471"/>
    <w:rsid w:val="003F2E60"/>
    <w:rsid w:val="003F699A"/>
    <w:rsid w:val="003F787D"/>
    <w:rsid w:val="0040102F"/>
    <w:rsid w:val="004038F9"/>
    <w:rsid w:val="00403AA4"/>
    <w:rsid w:val="004041A9"/>
    <w:rsid w:val="00404799"/>
    <w:rsid w:val="004048BE"/>
    <w:rsid w:val="004105D0"/>
    <w:rsid w:val="00413D80"/>
    <w:rsid w:val="00414140"/>
    <w:rsid w:val="00415B01"/>
    <w:rsid w:val="00415DC0"/>
    <w:rsid w:val="00420512"/>
    <w:rsid w:val="004209A3"/>
    <w:rsid w:val="00420E51"/>
    <w:rsid w:val="00421876"/>
    <w:rsid w:val="0042214B"/>
    <w:rsid w:val="00423372"/>
    <w:rsid w:val="00425885"/>
    <w:rsid w:val="00425B8B"/>
    <w:rsid w:val="00427089"/>
    <w:rsid w:val="0043034B"/>
    <w:rsid w:val="0043161F"/>
    <w:rsid w:val="00432B4F"/>
    <w:rsid w:val="004357CF"/>
    <w:rsid w:val="00435D6E"/>
    <w:rsid w:val="004413E3"/>
    <w:rsid w:val="004444A5"/>
    <w:rsid w:val="00444738"/>
    <w:rsid w:val="004451B8"/>
    <w:rsid w:val="00453E60"/>
    <w:rsid w:val="004575AB"/>
    <w:rsid w:val="00461CA8"/>
    <w:rsid w:val="00461F73"/>
    <w:rsid w:val="0046516D"/>
    <w:rsid w:val="004714B7"/>
    <w:rsid w:val="00471BD7"/>
    <w:rsid w:val="00471DAA"/>
    <w:rsid w:val="00476436"/>
    <w:rsid w:val="00477E21"/>
    <w:rsid w:val="00482B26"/>
    <w:rsid w:val="00484E18"/>
    <w:rsid w:val="0048585F"/>
    <w:rsid w:val="004876B7"/>
    <w:rsid w:val="004900D9"/>
    <w:rsid w:val="00491558"/>
    <w:rsid w:val="00492D78"/>
    <w:rsid w:val="00492E60"/>
    <w:rsid w:val="00494E26"/>
    <w:rsid w:val="00495063"/>
    <w:rsid w:val="00497B90"/>
    <w:rsid w:val="004A0071"/>
    <w:rsid w:val="004A1A84"/>
    <w:rsid w:val="004A1E47"/>
    <w:rsid w:val="004A264F"/>
    <w:rsid w:val="004A2881"/>
    <w:rsid w:val="004A37C9"/>
    <w:rsid w:val="004A75AF"/>
    <w:rsid w:val="004A78E6"/>
    <w:rsid w:val="004B2D8B"/>
    <w:rsid w:val="004B4A75"/>
    <w:rsid w:val="004B4A9A"/>
    <w:rsid w:val="004B5D6C"/>
    <w:rsid w:val="004B666C"/>
    <w:rsid w:val="004B7F53"/>
    <w:rsid w:val="004C0A57"/>
    <w:rsid w:val="004C5536"/>
    <w:rsid w:val="004C56B2"/>
    <w:rsid w:val="004C6994"/>
    <w:rsid w:val="004D0BD2"/>
    <w:rsid w:val="004D174E"/>
    <w:rsid w:val="004D1B59"/>
    <w:rsid w:val="004D2DA1"/>
    <w:rsid w:val="004D3804"/>
    <w:rsid w:val="004E2D7B"/>
    <w:rsid w:val="004E2EF4"/>
    <w:rsid w:val="004E38BD"/>
    <w:rsid w:val="004E4B81"/>
    <w:rsid w:val="004E6329"/>
    <w:rsid w:val="004E6448"/>
    <w:rsid w:val="004E6D90"/>
    <w:rsid w:val="004E79F6"/>
    <w:rsid w:val="004F0191"/>
    <w:rsid w:val="004F123E"/>
    <w:rsid w:val="004F17D1"/>
    <w:rsid w:val="004F2FE0"/>
    <w:rsid w:val="004F3531"/>
    <w:rsid w:val="004F4792"/>
    <w:rsid w:val="004F60EC"/>
    <w:rsid w:val="004F686C"/>
    <w:rsid w:val="00502B3B"/>
    <w:rsid w:val="005043EB"/>
    <w:rsid w:val="005049E1"/>
    <w:rsid w:val="00506431"/>
    <w:rsid w:val="00506812"/>
    <w:rsid w:val="00511DE5"/>
    <w:rsid w:val="005146E8"/>
    <w:rsid w:val="005152D8"/>
    <w:rsid w:val="00515870"/>
    <w:rsid w:val="00521111"/>
    <w:rsid w:val="0052115F"/>
    <w:rsid w:val="005213FC"/>
    <w:rsid w:val="00525BA2"/>
    <w:rsid w:val="00525D5D"/>
    <w:rsid w:val="005264D4"/>
    <w:rsid w:val="00526DA5"/>
    <w:rsid w:val="00531127"/>
    <w:rsid w:val="00532EAB"/>
    <w:rsid w:val="00536616"/>
    <w:rsid w:val="005378F4"/>
    <w:rsid w:val="00542D7C"/>
    <w:rsid w:val="00545E61"/>
    <w:rsid w:val="005463C9"/>
    <w:rsid w:val="005463E7"/>
    <w:rsid w:val="00550D14"/>
    <w:rsid w:val="00554E08"/>
    <w:rsid w:val="00556060"/>
    <w:rsid w:val="0055681D"/>
    <w:rsid w:val="00556E2F"/>
    <w:rsid w:val="005607CD"/>
    <w:rsid w:val="00561829"/>
    <w:rsid w:val="0056231F"/>
    <w:rsid w:val="00563F65"/>
    <w:rsid w:val="005644B8"/>
    <w:rsid w:val="00565589"/>
    <w:rsid w:val="00570DA3"/>
    <w:rsid w:val="00571A55"/>
    <w:rsid w:val="00574D8B"/>
    <w:rsid w:val="0058183D"/>
    <w:rsid w:val="00581DCF"/>
    <w:rsid w:val="005876CB"/>
    <w:rsid w:val="00587755"/>
    <w:rsid w:val="005925BF"/>
    <w:rsid w:val="00592810"/>
    <w:rsid w:val="00593B7D"/>
    <w:rsid w:val="00594303"/>
    <w:rsid w:val="00594F21"/>
    <w:rsid w:val="00595BD4"/>
    <w:rsid w:val="00595C7F"/>
    <w:rsid w:val="00596AC1"/>
    <w:rsid w:val="005974E1"/>
    <w:rsid w:val="00597FDE"/>
    <w:rsid w:val="005A425C"/>
    <w:rsid w:val="005A646E"/>
    <w:rsid w:val="005A737A"/>
    <w:rsid w:val="005A7B63"/>
    <w:rsid w:val="005A7D97"/>
    <w:rsid w:val="005B012F"/>
    <w:rsid w:val="005B2BCC"/>
    <w:rsid w:val="005B34FF"/>
    <w:rsid w:val="005B445C"/>
    <w:rsid w:val="005B4ECF"/>
    <w:rsid w:val="005B5009"/>
    <w:rsid w:val="005B5A79"/>
    <w:rsid w:val="005C0F7B"/>
    <w:rsid w:val="005C16CB"/>
    <w:rsid w:val="005C45C7"/>
    <w:rsid w:val="005C6D8E"/>
    <w:rsid w:val="005C7396"/>
    <w:rsid w:val="005D029E"/>
    <w:rsid w:val="005D0890"/>
    <w:rsid w:val="005D3876"/>
    <w:rsid w:val="005D3ECE"/>
    <w:rsid w:val="005D63E3"/>
    <w:rsid w:val="005D6935"/>
    <w:rsid w:val="005D7B70"/>
    <w:rsid w:val="005E13F9"/>
    <w:rsid w:val="005E3FD0"/>
    <w:rsid w:val="005E5C0D"/>
    <w:rsid w:val="005E657B"/>
    <w:rsid w:val="005F23B9"/>
    <w:rsid w:val="005F23E7"/>
    <w:rsid w:val="005F7190"/>
    <w:rsid w:val="00601864"/>
    <w:rsid w:val="00601E1D"/>
    <w:rsid w:val="00603239"/>
    <w:rsid w:val="00604BBE"/>
    <w:rsid w:val="0060628B"/>
    <w:rsid w:val="00606CCC"/>
    <w:rsid w:val="00607940"/>
    <w:rsid w:val="00607B67"/>
    <w:rsid w:val="0061003B"/>
    <w:rsid w:val="0061421C"/>
    <w:rsid w:val="00614F56"/>
    <w:rsid w:val="006215C9"/>
    <w:rsid w:val="00621762"/>
    <w:rsid w:val="00623D76"/>
    <w:rsid w:val="0062415F"/>
    <w:rsid w:val="00624D6D"/>
    <w:rsid w:val="00625446"/>
    <w:rsid w:val="00632AA4"/>
    <w:rsid w:val="0063536D"/>
    <w:rsid w:val="00635484"/>
    <w:rsid w:val="00635C13"/>
    <w:rsid w:val="00636037"/>
    <w:rsid w:val="006360A2"/>
    <w:rsid w:val="0064311E"/>
    <w:rsid w:val="006436F8"/>
    <w:rsid w:val="00646B38"/>
    <w:rsid w:val="00650573"/>
    <w:rsid w:val="00651082"/>
    <w:rsid w:val="00651129"/>
    <w:rsid w:val="00652463"/>
    <w:rsid w:val="006526B0"/>
    <w:rsid w:val="00655488"/>
    <w:rsid w:val="00655FA6"/>
    <w:rsid w:val="0065786F"/>
    <w:rsid w:val="006625D7"/>
    <w:rsid w:val="00664688"/>
    <w:rsid w:val="0066541B"/>
    <w:rsid w:val="00666146"/>
    <w:rsid w:val="00667A47"/>
    <w:rsid w:val="00670843"/>
    <w:rsid w:val="00673F43"/>
    <w:rsid w:val="00674F03"/>
    <w:rsid w:val="006756DB"/>
    <w:rsid w:val="00676A6B"/>
    <w:rsid w:val="00680226"/>
    <w:rsid w:val="0068052C"/>
    <w:rsid w:val="0068364D"/>
    <w:rsid w:val="00683ACF"/>
    <w:rsid w:val="00683D7F"/>
    <w:rsid w:val="0068533C"/>
    <w:rsid w:val="00686420"/>
    <w:rsid w:val="00687B75"/>
    <w:rsid w:val="006904BC"/>
    <w:rsid w:val="00690AE2"/>
    <w:rsid w:val="00693144"/>
    <w:rsid w:val="00693AF7"/>
    <w:rsid w:val="00696144"/>
    <w:rsid w:val="006A2D48"/>
    <w:rsid w:val="006A418E"/>
    <w:rsid w:val="006A4BB5"/>
    <w:rsid w:val="006A5BD1"/>
    <w:rsid w:val="006A7374"/>
    <w:rsid w:val="006A7B8E"/>
    <w:rsid w:val="006B039A"/>
    <w:rsid w:val="006B11E0"/>
    <w:rsid w:val="006D2A5F"/>
    <w:rsid w:val="006D3237"/>
    <w:rsid w:val="006D4556"/>
    <w:rsid w:val="006D4F3A"/>
    <w:rsid w:val="006D4FD8"/>
    <w:rsid w:val="006D7C23"/>
    <w:rsid w:val="006E19A9"/>
    <w:rsid w:val="006E2696"/>
    <w:rsid w:val="006E282D"/>
    <w:rsid w:val="006E47DA"/>
    <w:rsid w:val="006E7598"/>
    <w:rsid w:val="006F0EA9"/>
    <w:rsid w:val="006F1F00"/>
    <w:rsid w:val="006F369C"/>
    <w:rsid w:val="006F3CDA"/>
    <w:rsid w:val="006F4FD0"/>
    <w:rsid w:val="007023F2"/>
    <w:rsid w:val="00704A16"/>
    <w:rsid w:val="007050F3"/>
    <w:rsid w:val="0070667B"/>
    <w:rsid w:val="007134D9"/>
    <w:rsid w:val="00713DD8"/>
    <w:rsid w:val="00715A5D"/>
    <w:rsid w:val="00715ACF"/>
    <w:rsid w:val="00715C8B"/>
    <w:rsid w:val="00717D43"/>
    <w:rsid w:val="00720486"/>
    <w:rsid w:val="00722364"/>
    <w:rsid w:val="0072312A"/>
    <w:rsid w:val="0072459F"/>
    <w:rsid w:val="00724CF1"/>
    <w:rsid w:val="00725512"/>
    <w:rsid w:val="0072578F"/>
    <w:rsid w:val="00725F3B"/>
    <w:rsid w:val="00726CD4"/>
    <w:rsid w:val="00726DBC"/>
    <w:rsid w:val="00727E16"/>
    <w:rsid w:val="007331F3"/>
    <w:rsid w:val="00734D19"/>
    <w:rsid w:val="00736034"/>
    <w:rsid w:val="00737C93"/>
    <w:rsid w:val="00741D07"/>
    <w:rsid w:val="007444F3"/>
    <w:rsid w:val="00747077"/>
    <w:rsid w:val="00747EB7"/>
    <w:rsid w:val="007514EA"/>
    <w:rsid w:val="007537C0"/>
    <w:rsid w:val="00754A02"/>
    <w:rsid w:val="00755B49"/>
    <w:rsid w:val="00757C3E"/>
    <w:rsid w:val="00757C7E"/>
    <w:rsid w:val="007618BE"/>
    <w:rsid w:val="007635F2"/>
    <w:rsid w:val="007649C2"/>
    <w:rsid w:val="00766AF8"/>
    <w:rsid w:val="00771692"/>
    <w:rsid w:val="00774867"/>
    <w:rsid w:val="00775828"/>
    <w:rsid w:val="00781B73"/>
    <w:rsid w:val="0078207D"/>
    <w:rsid w:val="0078355F"/>
    <w:rsid w:val="00784C08"/>
    <w:rsid w:val="00784CDD"/>
    <w:rsid w:val="00784F64"/>
    <w:rsid w:val="00785140"/>
    <w:rsid w:val="00786B3B"/>
    <w:rsid w:val="00787E68"/>
    <w:rsid w:val="007904B8"/>
    <w:rsid w:val="00790605"/>
    <w:rsid w:val="0079083D"/>
    <w:rsid w:val="0079275E"/>
    <w:rsid w:val="007938F4"/>
    <w:rsid w:val="00796D05"/>
    <w:rsid w:val="0079708D"/>
    <w:rsid w:val="007A78ED"/>
    <w:rsid w:val="007B1992"/>
    <w:rsid w:val="007B2272"/>
    <w:rsid w:val="007B3FAC"/>
    <w:rsid w:val="007B5DC6"/>
    <w:rsid w:val="007B635A"/>
    <w:rsid w:val="007B65C7"/>
    <w:rsid w:val="007B7CC8"/>
    <w:rsid w:val="007C35A5"/>
    <w:rsid w:val="007C394F"/>
    <w:rsid w:val="007C67EB"/>
    <w:rsid w:val="007D18D5"/>
    <w:rsid w:val="007D61C7"/>
    <w:rsid w:val="007D65DA"/>
    <w:rsid w:val="007D6786"/>
    <w:rsid w:val="007E07B4"/>
    <w:rsid w:val="007E20EA"/>
    <w:rsid w:val="007E3CBE"/>
    <w:rsid w:val="007E6238"/>
    <w:rsid w:val="007E7D49"/>
    <w:rsid w:val="007F07F0"/>
    <w:rsid w:val="007F3013"/>
    <w:rsid w:val="007F4B93"/>
    <w:rsid w:val="007F64FC"/>
    <w:rsid w:val="00801B8E"/>
    <w:rsid w:val="00803708"/>
    <w:rsid w:val="00803DAB"/>
    <w:rsid w:val="00806629"/>
    <w:rsid w:val="00806972"/>
    <w:rsid w:val="008074D3"/>
    <w:rsid w:val="00811683"/>
    <w:rsid w:val="00814B5E"/>
    <w:rsid w:val="00815AD6"/>
    <w:rsid w:val="008160C9"/>
    <w:rsid w:val="00824FDA"/>
    <w:rsid w:val="0082516F"/>
    <w:rsid w:val="00825273"/>
    <w:rsid w:val="008256BC"/>
    <w:rsid w:val="00825CC5"/>
    <w:rsid w:val="00827145"/>
    <w:rsid w:val="00827D70"/>
    <w:rsid w:val="00835FC0"/>
    <w:rsid w:val="00840A1A"/>
    <w:rsid w:val="008417F5"/>
    <w:rsid w:val="00842842"/>
    <w:rsid w:val="00843B8B"/>
    <w:rsid w:val="008479CB"/>
    <w:rsid w:val="008515DE"/>
    <w:rsid w:val="00852B15"/>
    <w:rsid w:val="008537D8"/>
    <w:rsid w:val="00853841"/>
    <w:rsid w:val="00853D09"/>
    <w:rsid w:val="008544CB"/>
    <w:rsid w:val="00855D95"/>
    <w:rsid w:val="0085601D"/>
    <w:rsid w:val="00856770"/>
    <w:rsid w:val="008567C5"/>
    <w:rsid w:val="0085685A"/>
    <w:rsid w:val="00863D25"/>
    <w:rsid w:val="008653A6"/>
    <w:rsid w:val="00866B72"/>
    <w:rsid w:val="00866C98"/>
    <w:rsid w:val="00867183"/>
    <w:rsid w:val="00872AE0"/>
    <w:rsid w:val="008773BB"/>
    <w:rsid w:val="0088082A"/>
    <w:rsid w:val="008844DC"/>
    <w:rsid w:val="00884EE6"/>
    <w:rsid w:val="0088562B"/>
    <w:rsid w:val="00885CD3"/>
    <w:rsid w:val="00887AC0"/>
    <w:rsid w:val="008903A9"/>
    <w:rsid w:val="00890D2C"/>
    <w:rsid w:val="00891E7D"/>
    <w:rsid w:val="0089297C"/>
    <w:rsid w:val="00893CC5"/>
    <w:rsid w:val="00893E6D"/>
    <w:rsid w:val="00894E8B"/>
    <w:rsid w:val="008962A7"/>
    <w:rsid w:val="0089692E"/>
    <w:rsid w:val="008A3245"/>
    <w:rsid w:val="008A4112"/>
    <w:rsid w:val="008A704D"/>
    <w:rsid w:val="008A778A"/>
    <w:rsid w:val="008B0798"/>
    <w:rsid w:val="008B27F8"/>
    <w:rsid w:val="008B2A0F"/>
    <w:rsid w:val="008B38D9"/>
    <w:rsid w:val="008B3FA1"/>
    <w:rsid w:val="008B4361"/>
    <w:rsid w:val="008B4FA0"/>
    <w:rsid w:val="008C24EA"/>
    <w:rsid w:val="008C294E"/>
    <w:rsid w:val="008C2A5A"/>
    <w:rsid w:val="008C3C58"/>
    <w:rsid w:val="008C580A"/>
    <w:rsid w:val="008D1BF8"/>
    <w:rsid w:val="008D3076"/>
    <w:rsid w:val="008D311C"/>
    <w:rsid w:val="008D5DB9"/>
    <w:rsid w:val="008D6012"/>
    <w:rsid w:val="008D66DC"/>
    <w:rsid w:val="008D72C3"/>
    <w:rsid w:val="008E160B"/>
    <w:rsid w:val="008E6443"/>
    <w:rsid w:val="008E6665"/>
    <w:rsid w:val="008E71A3"/>
    <w:rsid w:val="008F32A3"/>
    <w:rsid w:val="008F3B3E"/>
    <w:rsid w:val="008F4B0E"/>
    <w:rsid w:val="008F6298"/>
    <w:rsid w:val="0090468A"/>
    <w:rsid w:val="00911F9C"/>
    <w:rsid w:val="00913128"/>
    <w:rsid w:val="0091315C"/>
    <w:rsid w:val="00913F68"/>
    <w:rsid w:val="00915EB0"/>
    <w:rsid w:val="009262A1"/>
    <w:rsid w:val="00931622"/>
    <w:rsid w:val="009331F0"/>
    <w:rsid w:val="00934157"/>
    <w:rsid w:val="009363A1"/>
    <w:rsid w:val="009378D1"/>
    <w:rsid w:val="00940758"/>
    <w:rsid w:val="00940EAC"/>
    <w:rsid w:val="0094328F"/>
    <w:rsid w:val="009436C5"/>
    <w:rsid w:val="009436FC"/>
    <w:rsid w:val="00943D46"/>
    <w:rsid w:val="00944B65"/>
    <w:rsid w:val="00945D9F"/>
    <w:rsid w:val="0094734A"/>
    <w:rsid w:val="0095145D"/>
    <w:rsid w:val="00951849"/>
    <w:rsid w:val="00951E82"/>
    <w:rsid w:val="00952FDE"/>
    <w:rsid w:val="00954641"/>
    <w:rsid w:val="00956A77"/>
    <w:rsid w:val="009626AA"/>
    <w:rsid w:val="00964EDC"/>
    <w:rsid w:val="0096707E"/>
    <w:rsid w:val="0096755A"/>
    <w:rsid w:val="00970B89"/>
    <w:rsid w:val="009716B2"/>
    <w:rsid w:val="00971890"/>
    <w:rsid w:val="00971BA0"/>
    <w:rsid w:val="00972388"/>
    <w:rsid w:val="00973DF5"/>
    <w:rsid w:val="00974230"/>
    <w:rsid w:val="00974738"/>
    <w:rsid w:val="00974FCB"/>
    <w:rsid w:val="00975ABC"/>
    <w:rsid w:val="009819FF"/>
    <w:rsid w:val="00982093"/>
    <w:rsid w:val="00986C92"/>
    <w:rsid w:val="0098700E"/>
    <w:rsid w:val="00987A74"/>
    <w:rsid w:val="00991EFF"/>
    <w:rsid w:val="009934E6"/>
    <w:rsid w:val="0099475D"/>
    <w:rsid w:val="00995EBE"/>
    <w:rsid w:val="00997154"/>
    <w:rsid w:val="009A13FE"/>
    <w:rsid w:val="009B0D65"/>
    <w:rsid w:val="009B2AB6"/>
    <w:rsid w:val="009B4D3C"/>
    <w:rsid w:val="009B533C"/>
    <w:rsid w:val="009B5712"/>
    <w:rsid w:val="009B7A0A"/>
    <w:rsid w:val="009C0A00"/>
    <w:rsid w:val="009C1718"/>
    <w:rsid w:val="009C2391"/>
    <w:rsid w:val="009D313D"/>
    <w:rsid w:val="009D41A8"/>
    <w:rsid w:val="009D66A1"/>
    <w:rsid w:val="009E0C21"/>
    <w:rsid w:val="009E2E2D"/>
    <w:rsid w:val="009E54E7"/>
    <w:rsid w:val="009E5DE2"/>
    <w:rsid w:val="009E5ED7"/>
    <w:rsid w:val="009E6A7C"/>
    <w:rsid w:val="009F3731"/>
    <w:rsid w:val="009F5811"/>
    <w:rsid w:val="00A00BF5"/>
    <w:rsid w:val="00A0484A"/>
    <w:rsid w:val="00A07A0E"/>
    <w:rsid w:val="00A144E5"/>
    <w:rsid w:val="00A1508A"/>
    <w:rsid w:val="00A15F47"/>
    <w:rsid w:val="00A16769"/>
    <w:rsid w:val="00A167C9"/>
    <w:rsid w:val="00A16EA4"/>
    <w:rsid w:val="00A176DB"/>
    <w:rsid w:val="00A21281"/>
    <w:rsid w:val="00A22665"/>
    <w:rsid w:val="00A239F8"/>
    <w:rsid w:val="00A23D56"/>
    <w:rsid w:val="00A24049"/>
    <w:rsid w:val="00A245F9"/>
    <w:rsid w:val="00A24B9E"/>
    <w:rsid w:val="00A25080"/>
    <w:rsid w:val="00A320F6"/>
    <w:rsid w:val="00A33817"/>
    <w:rsid w:val="00A42E34"/>
    <w:rsid w:val="00A458D6"/>
    <w:rsid w:val="00A4781B"/>
    <w:rsid w:val="00A47CAD"/>
    <w:rsid w:val="00A51665"/>
    <w:rsid w:val="00A52F78"/>
    <w:rsid w:val="00A5499E"/>
    <w:rsid w:val="00A55EE6"/>
    <w:rsid w:val="00A619AF"/>
    <w:rsid w:val="00A62002"/>
    <w:rsid w:val="00A64C72"/>
    <w:rsid w:val="00A65A58"/>
    <w:rsid w:val="00A66674"/>
    <w:rsid w:val="00A71451"/>
    <w:rsid w:val="00A717CD"/>
    <w:rsid w:val="00A721B9"/>
    <w:rsid w:val="00A731BC"/>
    <w:rsid w:val="00A73993"/>
    <w:rsid w:val="00A75819"/>
    <w:rsid w:val="00A77BCD"/>
    <w:rsid w:val="00A83A96"/>
    <w:rsid w:val="00A87138"/>
    <w:rsid w:val="00A87FEF"/>
    <w:rsid w:val="00A92560"/>
    <w:rsid w:val="00A93BE9"/>
    <w:rsid w:val="00A9461A"/>
    <w:rsid w:val="00A9465D"/>
    <w:rsid w:val="00A95588"/>
    <w:rsid w:val="00A96286"/>
    <w:rsid w:val="00A9748A"/>
    <w:rsid w:val="00A97E70"/>
    <w:rsid w:val="00A97F3B"/>
    <w:rsid w:val="00AA0141"/>
    <w:rsid w:val="00AA0CA5"/>
    <w:rsid w:val="00AA2450"/>
    <w:rsid w:val="00AA3C09"/>
    <w:rsid w:val="00AA3E7E"/>
    <w:rsid w:val="00AA6A71"/>
    <w:rsid w:val="00AB2599"/>
    <w:rsid w:val="00AB2AB0"/>
    <w:rsid w:val="00AB46B2"/>
    <w:rsid w:val="00AB596E"/>
    <w:rsid w:val="00AB5AA5"/>
    <w:rsid w:val="00AB604F"/>
    <w:rsid w:val="00AB7145"/>
    <w:rsid w:val="00AC1C3B"/>
    <w:rsid w:val="00AC1F7B"/>
    <w:rsid w:val="00AC4CC5"/>
    <w:rsid w:val="00AC665A"/>
    <w:rsid w:val="00AD2571"/>
    <w:rsid w:val="00AD391C"/>
    <w:rsid w:val="00AD42EC"/>
    <w:rsid w:val="00AD55E8"/>
    <w:rsid w:val="00AD6570"/>
    <w:rsid w:val="00AE13AA"/>
    <w:rsid w:val="00AE2F19"/>
    <w:rsid w:val="00AE367C"/>
    <w:rsid w:val="00AE401E"/>
    <w:rsid w:val="00AE6031"/>
    <w:rsid w:val="00AE6192"/>
    <w:rsid w:val="00AF3600"/>
    <w:rsid w:val="00AF402D"/>
    <w:rsid w:val="00AF7085"/>
    <w:rsid w:val="00AF7B60"/>
    <w:rsid w:val="00B0043F"/>
    <w:rsid w:val="00B052B4"/>
    <w:rsid w:val="00B10B62"/>
    <w:rsid w:val="00B12970"/>
    <w:rsid w:val="00B15023"/>
    <w:rsid w:val="00B2004D"/>
    <w:rsid w:val="00B23605"/>
    <w:rsid w:val="00B24219"/>
    <w:rsid w:val="00B25204"/>
    <w:rsid w:val="00B2593E"/>
    <w:rsid w:val="00B30E98"/>
    <w:rsid w:val="00B31858"/>
    <w:rsid w:val="00B3287E"/>
    <w:rsid w:val="00B354BF"/>
    <w:rsid w:val="00B36433"/>
    <w:rsid w:val="00B36618"/>
    <w:rsid w:val="00B404CD"/>
    <w:rsid w:val="00B43702"/>
    <w:rsid w:val="00B44933"/>
    <w:rsid w:val="00B452DD"/>
    <w:rsid w:val="00B53DE4"/>
    <w:rsid w:val="00B56CA4"/>
    <w:rsid w:val="00B56D42"/>
    <w:rsid w:val="00B56DC0"/>
    <w:rsid w:val="00B620DE"/>
    <w:rsid w:val="00B63B36"/>
    <w:rsid w:val="00B64C4D"/>
    <w:rsid w:val="00B657A6"/>
    <w:rsid w:val="00B677CC"/>
    <w:rsid w:val="00B714D3"/>
    <w:rsid w:val="00B779CD"/>
    <w:rsid w:val="00B8283D"/>
    <w:rsid w:val="00B83F0D"/>
    <w:rsid w:val="00B8491D"/>
    <w:rsid w:val="00B84ADB"/>
    <w:rsid w:val="00B84DAC"/>
    <w:rsid w:val="00B85ADC"/>
    <w:rsid w:val="00B865F4"/>
    <w:rsid w:val="00B87544"/>
    <w:rsid w:val="00B87BDC"/>
    <w:rsid w:val="00B9052D"/>
    <w:rsid w:val="00B940E4"/>
    <w:rsid w:val="00B947EC"/>
    <w:rsid w:val="00B96547"/>
    <w:rsid w:val="00B973D5"/>
    <w:rsid w:val="00BA1D8D"/>
    <w:rsid w:val="00BA1F24"/>
    <w:rsid w:val="00BA2059"/>
    <w:rsid w:val="00BA3C27"/>
    <w:rsid w:val="00BA4EB5"/>
    <w:rsid w:val="00BA59C0"/>
    <w:rsid w:val="00BA78FB"/>
    <w:rsid w:val="00BA79DC"/>
    <w:rsid w:val="00BB0508"/>
    <w:rsid w:val="00BB0794"/>
    <w:rsid w:val="00BB0FA1"/>
    <w:rsid w:val="00BB1399"/>
    <w:rsid w:val="00BB14ED"/>
    <w:rsid w:val="00BB5937"/>
    <w:rsid w:val="00BB7655"/>
    <w:rsid w:val="00BC3FE9"/>
    <w:rsid w:val="00BC4D63"/>
    <w:rsid w:val="00BC59D8"/>
    <w:rsid w:val="00BC5FCE"/>
    <w:rsid w:val="00BC772E"/>
    <w:rsid w:val="00BC780A"/>
    <w:rsid w:val="00BD17CC"/>
    <w:rsid w:val="00BD1BD0"/>
    <w:rsid w:val="00BD6A99"/>
    <w:rsid w:val="00BD6F74"/>
    <w:rsid w:val="00BE0EFE"/>
    <w:rsid w:val="00BE118B"/>
    <w:rsid w:val="00BE3D18"/>
    <w:rsid w:val="00BE4B4C"/>
    <w:rsid w:val="00BE5411"/>
    <w:rsid w:val="00BE715E"/>
    <w:rsid w:val="00BE7FD0"/>
    <w:rsid w:val="00BF05F9"/>
    <w:rsid w:val="00BF1D29"/>
    <w:rsid w:val="00BF2346"/>
    <w:rsid w:val="00BF30BD"/>
    <w:rsid w:val="00BF7239"/>
    <w:rsid w:val="00BF7FFD"/>
    <w:rsid w:val="00C014CF"/>
    <w:rsid w:val="00C03140"/>
    <w:rsid w:val="00C06F43"/>
    <w:rsid w:val="00C07DA5"/>
    <w:rsid w:val="00C10BC5"/>
    <w:rsid w:val="00C10EE1"/>
    <w:rsid w:val="00C1101F"/>
    <w:rsid w:val="00C1127C"/>
    <w:rsid w:val="00C11956"/>
    <w:rsid w:val="00C12721"/>
    <w:rsid w:val="00C12FA2"/>
    <w:rsid w:val="00C1348D"/>
    <w:rsid w:val="00C13EB2"/>
    <w:rsid w:val="00C149B9"/>
    <w:rsid w:val="00C16547"/>
    <w:rsid w:val="00C16C65"/>
    <w:rsid w:val="00C16DDE"/>
    <w:rsid w:val="00C17651"/>
    <w:rsid w:val="00C21A19"/>
    <w:rsid w:val="00C23A33"/>
    <w:rsid w:val="00C24067"/>
    <w:rsid w:val="00C3015E"/>
    <w:rsid w:val="00C336B4"/>
    <w:rsid w:val="00C366E8"/>
    <w:rsid w:val="00C379E6"/>
    <w:rsid w:val="00C4123D"/>
    <w:rsid w:val="00C43491"/>
    <w:rsid w:val="00C446E1"/>
    <w:rsid w:val="00C44DDB"/>
    <w:rsid w:val="00C45721"/>
    <w:rsid w:val="00C459BB"/>
    <w:rsid w:val="00C46252"/>
    <w:rsid w:val="00C516F0"/>
    <w:rsid w:val="00C5505D"/>
    <w:rsid w:val="00C56346"/>
    <w:rsid w:val="00C6145D"/>
    <w:rsid w:val="00C63A9B"/>
    <w:rsid w:val="00C63CA2"/>
    <w:rsid w:val="00C64926"/>
    <w:rsid w:val="00C65791"/>
    <w:rsid w:val="00C65BD4"/>
    <w:rsid w:val="00C65D44"/>
    <w:rsid w:val="00C67D61"/>
    <w:rsid w:val="00C72063"/>
    <w:rsid w:val="00C732C1"/>
    <w:rsid w:val="00C73A4B"/>
    <w:rsid w:val="00C74175"/>
    <w:rsid w:val="00C7479C"/>
    <w:rsid w:val="00C76D98"/>
    <w:rsid w:val="00C7702E"/>
    <w:rsid w:val="00C77DBA"/>
    <w:rsid w:val="00C80261"/>
    <w:rsid w:val="00C821C6"/>
    <w:rsid w:val="00C8593D"/>
    <w:rsid w:val="00C87867"/>
    <w:rsid w:val="00C9103D"/>
    <w:rsid w:val="00C913D3"/>
    <w:rsid w:val="00C9147D"/>
    <w:rsid w:val="00C94411"/>
    <w:rsid w:val="00C94752"/>
    <w:rsid w:val="00C94882"/>
    <w:rsid w:val="00C961E5"/>
    <w:rsid w:val="00C962F3"/>
    <w:rsid w:val="00C967E1"/>
    <w:rsid w:val="00C96A2B"/>
    <w:rsid w:val="00C96DB3"/>
    <w:rsid w:val="00CA1333"/>
    <w:rsid w:val="00CA2236"/>
    <w:rsid w:val="00CA3613"/>
    <w:rsid w:val="00CA4671"/>
    <w:rsid w:val="00CA60C8"/>
    <w:rsid w:val="00CA745C"/>
    <w:rsid w:val="00CB0129"/>
    <w:rsid w:val="00CB3B87"/>
    <w:rsid w:val="00CB4D10"/>
    <w:rsid w:val="00CC01D5"/>
    <w:rsid w:val="00CC449F"/>
    <w:rsid w:val="00CC7660"/>
    <w:rsid w:val="00CD0817"/>
    <w:rsid w:val="00CD0A30"/>
    <w:rsid w:val="00CD2D7F"/>
    <w:rsid w:val="00CD6312"/>
    <w:rsid w:val="00CD7A5B"/>
    <w:rsid w:val="00CE095A"/>
    <w:rsid w:val="00CE2101"/>
    <w:rsid w:val="00CE2CE5"/>
    <w:rsid w:val="00CE3239"/>
    <w:rsid w:val="00CE399A"/>
    <w:rsid w:val="00CE467D"/>
    <w:rsid w:val="00CE546B"/>
    <w:rsid w:val="00CE5F35"/>
    <w:rsid w:val="00CE6F3B"/>
    <w:rsid w:val="00CF0209"/>
    <w:rsid w:val="00CF12F0"/>
    <w:rsid w:val="00CF1460"/>
    <w:rsid w:val="00CF2449"/>
    <w:rsid w:val="00CF4868"/>
    <w:rsid w:val="00CF53DF"/>
    <w:rsid w:val="00CF5AC6"/>
    <w:rsid w:val="00CF5DE2"/>
    <w:rsid w:val="00CF7B54"/>
    <w:rsid w:val="00D03756"/>
    <w:rsid w:val="00D03972"/>
    <w:rsid w:val="00D05F59"/>
    <w:rsid w:val="00D07203"/>
    <w:rsid w:val="00D07782"/>
    <w:rsid w:val="00D152E1"/>
    <w:rsid w:val="00D1571B"/>
    <w:rsid w:val="00D16725"/>
    <w:rsid w:val="00D16F11"/>
    <w:rsid w:val="00D17538"/>
    <w:rsid w:val="00D211E5"/>
    <w:rsid w:val="00D26195"/>
    <w:rsid w:val="00D27296"/>
    <w:rsid w:val="00D31064"/>
    <w:rsid w:val="00D354D4"/>
    <w:rsid w:val="00D36995"/>
    <w:rsid w:val="00D42590"/>
    <w:rsid w:val="00D44CFB"/>
    <w:rsid w:val="00D44EC7"/>
    <w:rsid w:val="00D45DF4"/>
    <w:rsid w:val="00D50A19"/>
    <w:rsid w:val="00D50F0F"/>
    <w:rsid w:val="00D5111C"/>
    <w:rsid w:val="00D52EC0"/>
    <w:rsid w:val="00D536BA"/>
    <w:rsid w:val="00D57ABF"/>
    <w:rsid w:val="00D60041"/>
    <w:rsid w:val="00D6051E"/>
    <w:rsid w:val="00D62450"/>
    <w:rsid w:val="00D64312"/>
    <w:rsid w:val="00D70236"/>
    <w:rsid w:val="00D7127D"/>
    <w:rsid w:val="00D712B0"/>
    <w:rsid w:val="00D73ADA"/>
    <w:rsid w:val="00D74662"/>
    <w:rsid w:val="00D80000"/>
    <w:rsid w:val="00D80C18"/>
    <w:rsid w:val="00D80D18"/>
    <w:rsid w:val="00D82DA6"/>
    <w:rsid w:val="00D8377F"/>
    <w:rsid w:val="00D85F2B"/>
    <w:rsid w:val="00D860B0"/>
    <w:rsid w:val="00D86DD1"/>
    <w:rsid w:val="00D923CD"/>
    <w:rsid w:val="00D92A8F"/>
    <w:rsid w:val="00D9481C"/>
    <w:rsid w:val="00D948E7"/>
    <w:rsid w:val="00D95E0B"/>
    <w:rsid w:val="00D96539"/>
    <w:rsid w:val="00DA2648"/>
    <w:rsid w:val="00DA41F2"/>
    <w:rsid w:val="00DA5069"/>
    <w:rsid w:val="00DA5F97"/>
    <w:rsid w:val="00DB48C1"/>
    <w:rsid w:val="00DB54E4"/>
    <w:rsid w:val="00DB6853"/>
    <w:rsid w:val="00DB6D72"/>
    <w:rsid w:val="00DB6DF2"/>
    <w:rsid w:val="00DB7606"/>
    <w:rsid w:val="00DC00F6"/>
    <w:rsid w:val="00DC1DC9"/>
    <w:rsid w:val="00DC2F03"/>
    <w:rsid w:val="00DC4707"/>
    <w:rsid w:val="00DC7B9D"/>
    <w:rsid w:val="00DD3BC3"/>
    <w:rsid w:val="00DD5BA1"/>
    <w:rsid w:val="00DE1203"/>
    <w:rsid w:val="00DE3A04"/>
    <w:rsid w:val="00DE53C9"/>
    <w:rsid w:val="00DE5722"/>
    <w:rsid w:val="00DE7F4F"/>
    <w:rsid w:val="00DF6B58"/>
    <w:rsid w:val="00E00A6C"/>
    <w:rsid w:val="00E0101E"/>
    <w:rsid w:val="00E0608B"/>
    <w:rsid w:val="00E06FD6"/>
    <w:rsid w:val="00E074F3"/>
    <w:rsid w:val="00E10DA3"/>
    <w:rsid w:val="00E124CE"/>
    <w:rsid w:val="00E1277C"/>
    <w:rsid w:val="00E13F4F"/>
    <w:rsid w:val="00E1638C"/>
    <w:rsid w:val="00E16908"/>
    <w:rsid w:val="00E16C99"/>
    <w:rsid w:val="00E17C0A"/>
    <w:rsid w:val="00E20A6D"/>
    <w:rsid w:val="00E23B78"/>
    <w:rsid w:val="00E23F05"/>
    <w:rsid w:val="00E24260"/>
    <w:rsid w:val="00E2428E"/>
    <w:rsid w:val="00E25799"/>
    <w:rsid w:val="00E3072C"/>
    <w:rsid w:val="00E30B13"/>
    <w:rsid w:val="00E31BD0"/>
    <w:rsid w:val="00E3653B"/>
    <w:rsid w:val="00E4090C"/>
    <w:rsid w:val="00E42379"/>
    <w:rsid w:val="00E43C22"/>
    <w:rsid w:val="00E43DF8"/>
    <w:rsid w:val="00E44421"/>
    <w:rsid w:val="00E468F2"/>
    <w:rsid w:val="00E475C6"/>
    <w:rsid w:val="00E476D0"/>
    <w:rsid w:val="00E50356"/>
    <w:rsid w:val="00E514DF"/>
    <w:rsid w:val="00E5405B"/>
    <w:rsid w:val="00E55D0D"/>
    <w:rsid w:val="00E56A6F"/>
    <w:rsid w:val="00E60AB1"/>
    <w:rsid w:val="00E62FDF"/>
    <w:rsid w:val="00E656EE"/>
    <w:rsid w:val="00E66171"/>
    <w:rsid w:val="00E674AF"/>
    <w:rsid w:val="00E71288"/>
    <w:rsid w:val="00E71467"/>
    <w:rsid w:val="00E75178"/>
    <w:rsid w:val="00E77587"/>
    <w:rsid w:val="00E7793A"/>
    <w:rsid w:val="00E77E6A"/>
    <w:rsid w:val="00E81320"/>
    <w:rsid w:val="00E849A1"/>
    <w:rsid w:val="00E84D5F"/>
    <w:rsid w:val="00E85368"/>
    <w:rsid w:val="00E85803"/>
    <w:rsid w:val="00E93D6B"/>
    <w:rsid w:val="00E959FC"/>
    <w:rsid w:val="00E96998"/>
    <w:rsid w:val="00E97392"/>
    <w:rsid w:val="00EA04C5"/>
    <w:rsid w:val="00EA221C"/>
    <w:rsid w:val="00EB0532"/>
    <w:rsid w:val="00EB2E3D"/>
    <w:rsid w:val="00EB3D61"/>
    <w:rsid w:val="00EB550B"/>
    <w:rsid w:val="00EC0502"/>
    <w:rsid w:val="00EC18E8"/>
    <w:rsid w:val="00EC1910"/>
    <w:rsid w:val="00EC3913"/>
    <w:rsid w:val="00EC4BF0"/>
    <w:rsid w:val="00EC59A1"/>
    <w:rsid w:val="00EC5AA2"/>
    <w:rsid w:val="00ED329D"/>
    <w:rsid w:val="00EE046C"/>
    <w:rsid w:val="00EE1F38"/>
    <w:rsid w:val="00EE3717"/>
    <w:rsid w:val="00EE57B2"/>
    <w:rsid w:val="00EE7375"/>
    <w:rsid w:val="00F02093"/>
    <w:rsid w:val="00F05E23"/>
    <w:rsid w:val="00F10FF8"/>
    <w:rsid w:val="00F1133E"/>
    <w:rsid w:val="00F11AB4"/>
    <w:rsid w:val="00F15790"/>
    <w:rsid w:val="00F17DE5"/>
    <w:rsid w:val="00F21125"/>
    <w:rsid w:val="00F220E9"/>
    <w:rsid w:val="00F221C5"/>
    <w:rsid w:val="00F227B8"/>
    <w:rsid w:val="00F2281D"/>
    <w:rsid w:val="00F2473A"/>
    <w:rsid w:val="00F26312"/>
    <w:rsid w:val="00F26549"/>
    <w:rsid w:val="00F26597"/>
    <w:rsid w:val="00F2659D"/>
    <w:rsid w:val="00F336E0"/>
    <w:rsid w:val="00F4421B"/>
    <w:rsid w:val="00F4556F"/>
    <w:rsid w:val="00F5243F"/>
    <w:rsid w:val="00F5287A"/>
    <w:rsid w:val="00F54CD7"/>
    <w:rsid w:val="00F55EC0"/>
    <w:rsid w:val="00F62377"/>
    <w:rsid w:val="00F62988"/>
    <w:rsid w:val="00F70A5D"/>
    <w:rsid w:val="00F70C8E"/>
    <w:rsid w:val="00F7361A"/>
    <w:rsid w:val="00F73F4A"/>
    <w:rsid w:val="00F82EAC"/>
    <w:rsid w:val="00F830F6"/>
    <w:rsid w:val="00F83848"/>
    <w:rsid w:val="00F84D83"/>
    <w:rsid w:val="00F84E9C"/>
    <w:rsid w:val="00F85E2D"/>
    <w:rsid w:val="00F91C60"/>
    <w:rsid w:val="00F95D3F"/>
    <w:rsid w:val="00FA27FF"/>
    <w:rsid w:val="00FA2CFC"/>
    <w:rsid w:val="00FA3602"/>
    <w:rsid w:val="00FA3825"/>
    <w:rsid w:val="00FA5DCC"/>
    <w:rsid w:val="00FA7501"/>
    <w:rsid w:val="00FA7E4A"/>
    <w:rsid w:val="00FB1C7B"/>
    <w:rsid w:val="00FB48FC"/>
    <w:rsid w:val="00FB545E"/>
    <w:rsid w:val="00FB6286"/>
    <w:rsid w:val="00FC162A"/>
    <w:rsid w:val="00FC1C5B"/>
    <w:rsid w:val="00FC226F"/>
    <w:rsid w:val="00FC3327"/>
    <w:rsid w:val="00FC39E4"/>
    <w:rsid w:val="00FC4C46"/>
    <w:rsid w:val="00FC5468"/>
    <w:rsid w:val="00FD0734"/>
    <w:rsid w:val="00FD152A"/>
    <w:rsid w:val="00FD5CA3"/>
    <w:rsid w:val="00FE0D2B"/>
    <w:rsid w:val="00FE2DFE"/>
    <w:rsid w:val="00FE3793"/>
    <w:rsid w:val="00FE4AD2"/>
    <w:rsid w:val="00FE5AEC"/>
    <w:rsid w:val="00FF1ACF"/>
    <w:rsid w:val="00FF1CD7"/>
    <w:rsid w:val="00FF31A3"/>
    <w:rsid w:val="00FF5B42"/>
    <w:rsid w:val="00FF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F7A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BA"/>
  </w:style>
  <w:style w:type="paragraph" w:styleId="Heading1">
    <w:name w:val="heading 1"/>
    <w:basedOn w:val="Normal"/>
    <w:next w:val="Normal"/>
    <w:link w:val="Heading1Char"/>
    <w:uiPriority w:val="9"/>
    <w:qFormat/>
    <w:rsid w:val="00A21281"/>
    <w:pPr>
      <w:spacing w:before="60" w:after="60" w:line="240" w:lineRule="auto"/>
      <w:ind w:left="-567"/>
      <w:outlineLvl w:val="0"/>
    </w:pPr>
    <w:rPr>
      <w:rFonts w:ascii="Arial" w:hAnsi="Arial" w:cs="Arial"/>
      <w:b/>
      <w:color w:val="FFFFFF" w:themeColor="background1"/>
      <w:sz w:val="40"/>
      <w:szCs w:val="40"/>
    </w:rPr>
  </w:style>
  <w:style w:type="paragraph" w:styleId="Heading2">
    <w:name w:val="heading 2"/>
    <w:basedOn w:val="Normal"/>
    <w:next w:val="Normal"/>
    <w:link w:val="Heading2Char"/>
    <w:uiPriority w:val="9"/>
    <w:unhideWhenUsed/>
    <w:qFormat/>
    <w:rsid w:val="00414140"/>
    <w:pPr>
      <w:outlineLvl w:val="1"/>
    </w:pPr>
    <w:rPr>
      <w:rFonts w:ascii="Arial" w:hAnsi="Arial" w:cs="Arial"/>
      <w:b/>
      <w:sz w:val="28"/>
      <w:szCs w:val="20"/>
      <w:u w:val="single"/>
    </w:rPr>
  </w:style>
  <w:style w:type="paragraph" w:styleId="Heading3">
    <w:name w:val="heading 3"/>
    <w:basedOn w:val="Normal"/>
    <w:next w:val="Normal"/>
    <w:link w:val="Heading3Char"/>
    <w:uiPriority w:val="9"/>
    <w:unhideWhenUsed/>
    <w:qFormat/>
    <w:rsid w:val="009E6A7C"/>
    <w:pPr>
      <w:spacing w:before="120" w:after="120"/>
      <w:outlineLvl w:val="2"/>
    </w:pPr>
    <w:rPr>
      <w:rFonts w:ascii="Arial" w:hAnsi="Arial" w:cs="Arial"/>
      <w:b/>
      <w:bCs/>
      <w:sz w:val="18"/>
      <w:szCs w:val="18"/>
    </w:rPr>
  </w:style>
  <w:style w:type="paragraph" w:styleId="Heading4">
    <w:name w:val="heading 4"/>
    <w:basedOn w:val="Normal"/>
    <w:next w:val="Normal"/>
    <w:link w:val="Heading4Char"/>
    <w:uiPriority w:val="9"/>
    <w:unhideWhenUsed/>
    <w:qFormat/>
    <w:rsid w:val="00F455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36BA"/>
    <w:rPr>
      <w:sz w:val="16"/>
      <w:szCs w:val="16"/>
    </w:rPr>
  </w:style>
  <w:style w:type="paragraph" w:styleId="CommentText">
    <w:name w:val="annotation text"/>
    <w:basedOn w:val="Normal"/>
    <w:link w:val="CommentTextChar"/>
    <w:uiPriority w:val="99"/>
    <w:unhideWhenUsed/>
    <w:rsid w:val="00D536BA"/>
    <w:pPr>
      <w:spacing w:line="240" w:lineRule="auto"/>
    </w:pPr>
    <w:rPr>
      <w:sz w:val="20"/>
      <w:szCs w:val="20"/>
    </w:rPr>
  </w:style>
  <w:style w:type="character" w:customStyle="1" w:styleId="CommentTextChar">
    <w:name w:val="Comment Text Char"/>
    <w:basedOn w:val="DefaultParagraphFont"/>
    <w:link w:val="CommentText"/>
    <w:uiPriority w:val="99"/>
    <w:rsid w:val="00D536BA"/>
    <w:rPr>
      <w:sz w:val="20"/>
      <w:szCs w:val="20"/>
    </w:rPr>
  </w:style>
  <w:style w:type="paragraph" w:customStyle="1" w:styleId="tablebodytext">
    <w:name w:val="tablebodytext"/>
    <w:basedOn w:val="Normal"/>
    <w:rsid w:val="00D536BA"/>
    <w:pPr>
      <w:spacing w:before="120" w:after="120" w:line="240" w:lineRule="atLeast"/>
    </w:pPr>
    <w:rPr>
      <w:rFonts w:ascii="Arial" w:eastAsia="Times New Roman" w:hAnsi="Arial" w:cs="Arial Unicode MS"/>
      <w:color w:val="000000"/>
      <w:sz w:val="24"/>
      <w:szCs w:val="24"/>
      <w:lang w:val="en-US" w:bidi="th-TH"/>
    </w:rPr>
  </w:style>
  <w:style w:type="paragraph" w:styleId="BalloonText">
    <w:name w:val="Balloon Text"/>
    <w:basedOn w:val="Normal"/>
    <w:link w:val="BalloonTextChar"/>
    <w:uiPriority w:val="99"/>
    <w:semiHidden/>
    <w:unhideWhenUsed/>
    <w:rsid w:val="00D5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BA"/>
    <w:rPr>
      <w:rFonts w:ascii="Segoe UI" w:hAnsi="Segoe UI" w:cs="Segoe UI"/>
      <w:sz w:val="18"/>
      <w:szCs w:val="18"/>
    </w:rPr>
  </w:style>
  <w:style w:type="paragraph" w:styleId="Header">
    <w:name w:val="header"/>
    <w:basedOn w:val="Normal"/>
    <w:link w:val="HeaderChar"/>
    <w:uiPriority w:val="99"/>
    <w:unhideWhenUsed/>
    <w:rsid w:val="00D5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6BA"/>
  </w:style>
  <w:style w:type="paragraph" w:styleId="Footer">
    <w:name w:val="footer"/>
    <w:basedOn w:val="Normal"/>
    <w:link w:val="FooterChar"/>
    <w:uiPriority w:val="99"/>
    <w:unhideWhenUsed/>
    <w:rsid w:val="00D5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6BA"/>
  </w:style>
  <w:style w:type="character" w:customStyle="1" w:styleId="Heading3Char">
    <w:name w:val="Heading 3 Char"/>
    <w:basedOn w:val="DefaultParagraphFont"/>
    <w:link w:val="Heading3"/>
    <w:uiPriority w:val="9"/>
    <w:rsid w:val="009E6A7C"/>
    <w:rPr>
      <w:rFonts w:ascii="Arial" w:hAnsi="Arial" w:cs="Arial"/>
      <w:b/>
      <w:bCs/>
      <w:sz w:val="18"/>
      <w:szCs w:val="18"/>
    </w:rPr>
  </w:style>
  <w:style w:type="character" w:customStyle="1" w:styleId="Heading1Char">
    <w:name w:val="Heading 1 Char"/>
    <w:basedOn w:val="DefaultParagraphFont"/>
    <w:link w:val="Heading1"/>
    <w:uiPriority w:val="9"/>
    <w:rsid w:val="00A21281"/>
    <w:rPr>
      <w:rFonts w:ascii="Arial" w:hAnsi="Arial" w:cs="Arial"/>
      <w:b/>
      <w:color w:val="FFFFFF" w:themeColor="background1"/>
      <w:sz w:val="40"/>
      <w:szCs w:val="40"/>
    </w:rPr>
  </w:style>
  <w:style w:type="paragraph" w:styleId="TOCHeading">
    <w:name w:val="TOC Heading"/>
    <w:basedOn w:val="Heading1"/>
    <w:next w:val="Normal"/>
    <w:uiPriority w:val="39"/>
    <w:unhideWhenUsed/>
    <w:qFormat/>
    <w:rsid w:val="00D536BA"/>
    <w:pPr>
      <w:outlineLvl w:val="9"/>
    </w:pPr>
    <w:rPr>
      <w:lang w:val="en-US"/>
    </w:rPr>
  </w:style>
  <w:style w:type="paragraph" w:styleId="TOC3">
    <w:name w:val="toc 3"/>
    <w:basedOn w:val="Normal"/>
    <w:next w:val="Normal"/>
    <w:autoRedefine/>
    <w:uiPriority w:val="39"/>
    <w:unhideWhenUsed/>
    <w:rsid w:val="00815AD6"/>
    <w:pPr>
      <w:tabs>
        <w:tab w:val="right" w:leader="dot" w:pos="13948"/>
      </w:tabs>
      <w:spacing w:after="100"/>
      <w:ind w:left="440"/>
    </w:pPr>
  </w:style>
  <w:style w:type="character" w:styleId="Hyperlink">
    <w:name w:val="Hyperlink"/>
    <w:basedOn w:val="DefaultParagraphFont"/>
    <w:uiPriority w:val="99"/>
    <w:unhideWhenUsed/>
    <w:rsid w:val="00D536BA"/>
    <w:rPr>
      <w:color w:val="0563C1" w:themeColor="hyperlink"/>
      <w:u w:val="single"/>
    </w:rPr>
  </w:style>
  <w:style w:type="character" w:customStyle="1" w:styleId="Heading2Char">
    <w:name w:val="Heading 2 Char"/>
    <w:basedOn w:val="DefaultParagraphFont"/>
    <w:link w:val="Heading2"/>
    <w:uiPriority w:val="9"/>
    <w:rsid w:val="00414140"/>
    <w:rPr>
      <w:rFonts w:ascii="Arial" w:hAnsi="Arial" w:cs="Arial"/>
      <w:b/>
      <w:sz w:val="28"/>
      <w:szCs w:val="20"/>
      <w:u w:val="single"/>
    </w:rPr>
  </w:style>
  <w:style w:type="paragraph" w:styleId="TOC2">
    <w:name w:val="toc 2"/>
    <w:basedOn w:val="Normal"/>
    <w:next w:val="Normal"/>
    <w:autoRedefine/>
    <w:uiPriority w:val="39"/>
    <w:unhideWhenUsed/>
    <w:rsid w:val="00815AD6"/>
    <w:pPr>
      <w:tabs>
        <w:tab w:val="left" w:pos="660"/>
        <w:tab w:val="right" w:leader="dot" w:pos="13948"/>
      </w:tabs>
      <w:spacing w:before="240" w:after="100"/>
      <w:ind w:left="221"/>
    </w:pPr>
  </w:style>
  <w:style w:type="paragraph" w:styleId="ListParagraph">
    <w:name w:val="List Paragraph"/>
    <w:basedOn w:val="Normal"/>
    <w:link w:val="ListParagraphChar"/>
    <w:uiPriority w:val="34"/>
    <w:qFormat/>
    <w:rsid w:val="00D536BA"/>
    <w:pPr>
      <w:ind w:left="720"/>
      <w:contextualSpacing/>
    </w:pPr>
  </w:style>
  <w:style w:type="character" w:styleId="PlaceholderText">
    <w:name w:val="Placeholder Text"/>
    <w:basedOn w:val="DefaultParagraphFont"/>
    <w:uiPriority w:val="99"/>
    <w:semiHidden/>
    <w:rsid w:val="00B2004D"/>
    <w:rPr>
      <w:color w:val="808080"/>
    </w:rPr>
  </w:style>
  <w:style w:type="paragraph" w:styleId="CommentSubject">
    <w:name w:val="annotation subject"/>
    <w:basedOn w:val="CommentText"/>
    <w:next w:val="CommentText"/>
    <w:link w:val="CommentSubjectChar"/>
    <w:uiPriority w:val="99"/>
    <w:semiHidden/>
    <w:unhideWhenUsed/>
    <w:rsid w:val="006F1F00"/>
    <w:rPr>
      <w:b/>
      <w:bCs/>
    </w:rPr>
  </w:style>
  <w:style w:type="character" w:customStyle="1" w:styleId="CommentSubjectChar">
    <w:name w:val="Comment Subject Char"/>
    <w:basedOn w:val="CommentTextChar"/>
    <w:link w:val="CommentSubject"/>
    <w:uiPriority w:val="99"/>
    <w:semiHidden/>
    <w:rsid w:val="006F1F00"/>
    <w:rPr>
      <w:b/>
      <w:bCs/>
      <w:sz w:val="20"/>
      <w:szCs w:val="20"/>
    </w:rPr>
  </w:style>
  <w:style w:type="paragraph" w:styleId="Caption">
    <w:name w:val="caption"/>
    <w:basedOn w:val="Normal"/>
    <w:next w:val="Normal"/>
    <w:uiPriority w:val="35"/>
    <w:unhideWhenUsed/>
    <w:qFormat/>
    <w:rsid w:val="001946F8"/>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37F68"/>
    <w:rPr>
      <w:color w:val="954F72" w:themeColor="followedHyperlink"/>
      <w:u w:val="single"/>
    </w:rPr>
  </w:style>
  <w:style w:type="paragraph" w:customStyle="1" w:styleId="Default">
    <w:name w:val="Default"/>
    <w:rsid w:val="000F7A5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B2599"/>
    <w:pPr>
      <w:spacing w:after="0" w:line="240" w:lineRule="auto"/>
    </w:pPr>
    <w:rPr>
      <w:sz w:val="20"/>
      <w:szCs w:val="20"/>
    </w:rPr>
  </w:style>
  <w:style w:type="character" w:customStyle="1" w:styleId="FootnoteTextChar">
    <w:name w:val="Footnote Text Char"/>
    <w:basedOn w:val="DefaultParagraphFont"/>
    <w:link w:val="FootnoteText"/>
    <w:uiPriority w:val="99"/>
    <w:rsid w:val="00AB2599"/>
    <w:rPr>
      <w:sz w:val="20"/>
      <w:szCs w:val="20"/>
    </w:rPr>
  </w:style>
  <w:style w:type="character" w:styleId="FootnoteReference">
    <w:name w:val="footnote reference"/>
    <w:basedOn w:val="DefaultParagraphFont"/>
    <w:uiPriority w:val="99"/>
    <w:unhideWhenUsed/>
    <w:rsid w:val="00AB2599"/>
    <w:rPr>
      <w:vertAlign w:val="superscript"/>
    </w:rPr>
  </w:style>
  <w:style w:type="character" w:customStyle="1" w:styleId="ListParagraphChar">
    <w:name w:val="List Paragraph Char"/>
    <w:basedOn w:val="DefaultParagraphFont"/>
    <w:link w:val="ListParagraph"/>
    <w:uiPriority w:val="34"/>
    <w:locked/>
    <w:rsid w:val="00C65BD4"/>
  </w:style>
  <w:style w:type="character" w:styleId="Emphasis">
    <w:name w:val="Emphasis"/>
    <w:basedOn w:val="DefaultParagraphFont"/>
    <w:uiPriority w:val="20"/>
    <w:qFormat/>
    <w:rsid w:val="00F73F4A"/>
    <w:rPr>
      <w:i/>
      <w:iCs/>
    </w:rPr>
  </w:style>
  <w:style w:type="paragraph" w:styleId="NoSpacing">
    <w:name w:val="No Spacing"/>
    <w:link w:val="NoSpacingChar"/>
    <w:uiPriority w:val="1"/>
    <w:qFormat/>
    <w:rsid w:val="00A77B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BCD"/>
    <w:rPr>
      <w:rFonts w:eastAsiaTheme="minorEastAsia"/>
      <w:lang w:val="en-US"/>
    </w:rPr>
  </w:style>
  <w:style w:type="character" w:customStyle="1" w:styleId="UnresolvedMention1">
    <w:name w:val="Unresolved Mention1"/>
    <w:basedOn w:val="DefaultParagraphFont"/>
    <w:uiPriority w:val="99"/>
    <w:semiHidden/>
    <w:unhideWhenUsed/>
    <w:rsid w:val="00495063"/>
    <w:rPr>
      <w:color w:val="605E5C"/>
      <w:shd w:val="clear" w:color="auto" w:fill="E1DFDD"/>
    </w:rPr>
  </w:style>
  <w:style w:type="paragraph" w:customStyle="1" w:styleId="TableParagraph">
    <w:name w:val="Table Paragraph"/>
    <w:basedOn w:val="Normal"/>
    <w:uiPriority w:val="1"/>
    <w:qFormat/>
    <w:rsid w:val="00CF0209"/>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3D065A"/>
    <w:pPr>
      <w:widowControl w:val="0"/>
      <w:autoSpaceDE w:val="0"/>
      <w:autoSpaceDN w:val="0"/>
      <w:adjustRightInd w:val="0"/>
      <w:spacing w:after="0" w:line="240" w:lineRule="auto"/>
      <w:ind w:left="20"/>
    </w:pPr>
    <w:rPr>
      <w:rFonts w:ascii="Calibri" w:eastAsiaTheme="minorEastAsia" w:hAnsi="Calibri" w:cs="Calibri"/>
      <w:sz w:val="16"/>
      <w:szCs w:val="16"/>
      <w:lang w:eastAsia="en-AU"/>
    </w:rPr>
  </w:style>
  <w:style w:type="character" w:customStyle="1" w:styleId="BodyTextChar">
    <w:name w:val="Body Text Char"/>
    <w:basedOn w:val="DefaultParagraphFont"/>
    <w:link w:val="BodyText"/>
    <w:uiPriority w:val="99"/>
    <w:rsid w:val="003D065A"/>
    <w:rPr>
      <w:rFonts w:ascii="Calibri" w:eastAsiaTheme="minorEastAsia" w:hAnsi="Calibri" w:cs="Calibri"/>
      <w:sz w:val="16"/>
      <w:szCs w:val="16"/>
      <w:lang w:eastAsia="en-AU"/>
    </w:rPr>
  </w:style>
  <w:style w:type="table" w:styleId="GridTable4">
    <w:name w:val="Grid Table 4"/>
    <w:basedOn w:val="TableNormal"/>
    <w:uiPriority w:val="49"/>
    <w:rsid w:val="001154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11548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61C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D800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A2C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3D1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786B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BE118B"/>
    <w:rPr>
      <w:color w:val="605E5C"/>
      <w:shd w:val="clear" w:color="auto" w:fill="E1DFDD"/>
    </w:rPr>
  </w:style>
  <w:style w:type="character" w:customStyle="1" w:styleId="Heading4Char">
    <w:name w:val="Heading 4 Char"/>
    <w:basedOn w:val="DefaultParagraphFont"/>
    <w:link w:val="Heading4"/>
    <w:uiPriority w:val="9"/>
    <w:rsid w:val="00F4556F"/>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E64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48"/>
    <w:rPr>
      <w:rFonts w:asciiTheme="majorHAnsi" w:eastAsiaTheme="majorEastAsia" w:hAnsiTheme="majorHAnsi" w:cstheme="majorBidi"/>
      <w:spacing w:val="-10"/>
      <w:kern w:val="28"/>
      <w:sz w:val="56"/>
      <w:szCs w:val="56"/>
    </w:rPr>
  </w:style>
  <w:style w:type="paragraph" w:styleId="Revision">
    <w:name w:val="Revision"/>
    <w:hidden/>
    <w:uiPriority w:val="99"/>
    <w:semiHidden/>
    <w:rsid w:val="00303921"/>
    <w:pPr>
      <w:spacing w:after="0" w:line="240" w:lineRule="auto"/>
    </w:pPr>
  </w:style>
  <w:style w:type="paragraph" w:customStyle="1" w:styleId="Standard">
    <w:name w:val="Standard"/>
    <w:rsid w:val="001F0AE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Indent1">
    <w:name w:val="Indent 1"/>
    <w:basedOn w:val="Normal"/>
    <w:rsid w:val="00D86DD1"/>
    <w:pPr>
      <w:numPr>
        <w:ilvl w:val="1"/>
        <w:numId w:val="18"/>
      </w:numPr>
      <w:kinsoku w:val="0"/>
      <w:overflowPunct w:val="0"/>
      <w:autoSpaceDE w:val="0"/>
      <w:autoSpaceDN w:val="0"/>
      <w:adjustRightInd w:val="0"/>
      <w:snapToGrid w:val="0"/>
      <w:spacing w:before="100" w:after="100" w:line="240" w:lineRule="auto"/>
    </w:pPr>
    <w:rPr>
      <w:rFonts w:ascii="Arial" w:eastAsia="Times New Roman" w:hAnsi="Arial" w:cs="Times New Roman"/>
      <w:snapToGrid w:val="0"/>
      <w:sz w:val="20"/>
      <w:szCs w:val="20"/>
    </w:rPr>
  </w:style>
  <w:style w:type="paragraph" w:customStyle="1" w:styleId="Indent2">
    <w:name w:val="Indent 2"/>
    <w:basedOn w:val="Indent1"/>
    <w:rsid w:val="00D86DD1"/>
    <w:pPr>
      <w:numPr>
        <w:ilvl w:val="2"/>
      </w:numPr>
    </w:pPr>
  </w:style>
  <w:style w:type="paragraph" w:customStyle="1" w:styleId="Indent3">
    <w:name w:val="Indent 3"/>
    <w:basedOn w:val="Indent2"/>
    <w:rsid w:val="00D86DD1"/>
    <w:pPr>
      <w:numPr>
        <w:ilvl w:val="3"/>
      </w:numPr>
    </w:pPr>
  </w:style>
  <w:style w:type="paragraph" w:customStyle="1" w:styleId="Indent5">
    <w:name w:val="Indent 5"/>
    <w:basedOn w:val="Indent4"/>
    <w:rsid w:val="00D86DD1"/>
    <w:pPr>
      <w:numPr>
        <w:ilvl w:val="5"/>
      </w:numPr>
    </w:pPr>
  </w:style>
  <w:style w:type="paragraph" w:customStyle="1" w:styleId="Indent6">
    <w:name w:val="Indent 6"/>
    <w:basedOn w:val="Indent5"/>
    <w:rsid w:val="00D86DD1"/>
    <w:pPr>
      <w:numPr>
        <w:ilvl w:val="6"/>
      </w:numPr>
    </w:pPr>
  </w:style>
  <w:style w:type="paragraph" w:customStyle="1" w:styleId="Indent7">
    <w:name w:val="Indent 7"/>
    <w:basedOn w:val="Indent6"/>
    <w:rsid w:val="00D86DD1"/>
    <w:pPr>
      <w:numPr>
        <w:ilvl w:val="7"/>
      </w:numPr>
    </w:pPr>
  </w:style>
  <w:style w:type="paragraph" w:customStyle="1" w:styleId="Indent4">
    <w:name w:val="Indent 4"/>
    <w:basedOn w:val="Indent3"/>
    <w:rsid w:val="00D86DD1"/>
    <w:pPr>
      <w:numPr>
        <w:ilvl w:val="4"/>
      </w:numPr>
    </w:pPr>
  </w:style>
  <w:style w:type="paragraph" w:customStyle="1" w:styleId="BellchambersNormal">
    <w:name w:val="Bellchambers Normal"/>
    <w:basedOn w:val="Normal"/>
    <w:link w:val="BellchambersNormalChar"/>
    <w:rsid w:val="00D86DD1"/>
    <w:pPr>
      <w:numPr>
        <w:numId w:val="18"/>
      </w:numPr>
      <w:kinsoku w:val="0"/>
      <w:overflowPunct w:val="0"/>
      <w:autoSpaceDE w:val="0"/>
      <w:autoSpaceDN w:val="0"/>
      <w:adjustRightInd w:val="0"/>
      <w:snapToGrid w:val="0"/>
      <w:spacing w:after="240" w:line="240" w:lineRule="auto"/>
    </w:pPr>
    <w:rPr>
      <w:rFonts w:ascii="Arial" w:eastAsia="Times New Roman" w:hAnsi="Arial" w:cs="Arial"/>
      <w:snapToGrid w:val="0"/>
      <w:sz w:val="20"/>
      <w:szCs w:val="20"/>
    </w:rPr>
  </w:style>
  <w:style w:type="character" w:customStyle="1" w:styleId="BellchambersNormalChar">
    <w:name w:val="Bellchambers Normal Char"/>
    <w:link w:val="BellchambersNormal"/>
    <w:rsid w:val="00D86DD1"/>
    <w:rPr>
      <w:rFonts w:ascii="Arial" w:eastAsia="Times New Roman" w:hAnsi="Arial" w:cs="Arial"/>
      <w:snapToGrid w:val="0"/>
      <w:sz w:val="20"/>
      <w:szCs w:val="20"/>
    </w:rPr>
  </w:style>
  <w:style w:type="paragraph" w:customStyle="1" w:styleId="Indent8">
    <w:name w:val="Indent 8"/>
    <w:basedOn w:val="Indent7"/>
    <w:rsid w:val="00D86DD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2332">
      <w:bodyDiv w:val="1"/>
      <w:marLeft w:val="0"/>
      <w:marRight w:val="0"/>
      <w:marTop w:val="0"/>
      <w:marBottom w:val="0"/>
      <w:divBdr>
        <w:top w:val="none" w:sz="0" w:space="0" w:color="auto"/>
        <w:left w:val="none" w:sz="0" w:space="0" w:color="auto"/>
        <w:bottom w:val="none" w:sz="0" w:space="0" w:color="auto"/>
        <w:right w:val="none" w:sz="0" w:space="0" w:color="auto"/>
      </w:divBdr>
    </w:div>
    <w:div w:id="41560885">
      <w:bodyDiv w:val="1"/>
      <w:marLeft w:val="0"/>
      <w:marRight w:val="0"/>
      <w:marTop w:val="0"/>
      <w:marBottom w:val="0"/>
      <w:divBdr>
        <w:top w:val="none" w:sz="0" w:space="0" w:color="auto"/>
        <w:left w:val="none" w:sz="0" w:space="0" w:color="auto"/>
        <w:bottom w:val="none" w:sz="0" w:space="0" w:color="auto"/>
        <w:right w:val="none" w:sz="0" w:space="0" w:color="auto"/>
      </w:divBdr>
    </w:div>
    <w:div w:id="44959454">
      <w:bodyDiv w:val="1"/>
      <w:marLeft w:val="0"/>
      <w:marRight w:val="0"/>
      <w:marTop w:val="0"/>
      <w:marBottom w:val="0"/>
      <w:divBdr>
        <w:top w:val="none" w:sz="0" w:space="0" w:color="auto"/>
        <w:left w:val="none" w:sz="0" w:space="0" w:color="auto"/>
        <w:bottom w:val="none" w:sz="0" w:space="0" w:color="auto"/>
        <w:right w:val="none" w:sz="0" w:space="0" w:color="auto"/>
      </w:divBdr>
    </w:div>
    <w:div w:id="62995512">
      <w:bodyDiv w:val="1"/>
      <w:marLeft w:val="0"/>
      <w:marRight w:val="0"/>
      <w:marTop w:val="0"/>
      <w:marBottom w:val="0"/>
      <w:divBdr>
        <w:top w:val="none" w:sz="0" w:space="0" w:color="auto"/>
        <w:left w:val="none" w:sz="0" w:space="0" w:color="auto"/>
        <w:bottom w:val="none" w:sz="0" w:space="0" w:color="auto"/>
        <w:right w:val="none" w:sz="0" w:space="0" w:color="auto"/>
      </w:divBdr>
    </w:div>
    <w:div w:id="224410514">
      <w:bodyDiv w:val="1"/>
      <w:marLeft w:val="0"/>
      <w:marRight w:val="0"/>
      <w:marTop w:val="0"/>
      <w:marBottom w:val="0"/>
      <w:divBdr>
        <w:top w:val="none" w:sz="0" w:space="0" w:color="auto"/>
        <w:left w:val="none" w:sz="0" w:space="0" w:color="auto"/>
        <w:bottom w:val="none" w:sz="0" w:space="0" w:color="auto"/>
        <w:right w:val="none" w:sz="0" w:space="0" w:color="auto"/>
      </w:divBdr>
    </w:div>
    <w:div w:id="266818292">
      <w:bodyDiv w:val="1"/>
      <w:marLeft w:val="0"/>
      <w:marRight w:val="0"/>
      <w:marTop w:val="0"/>
      <w:marBottom w:val="0"/>
      <w:divBdr>
        <w:top w:val="none" w:sz="0" w:space="0" w:color="auto"/>
        <w:left w:val="none" w:sz="0" w:space="0" w:color="auto"/>
        <w:bottom w:val="none" w:sz="0" w:space="0" w:color="auto"/>
        <w:right w:val="none" w:sz="0" w:space="0" w:color="auto"/>
      </w:divBdr>
    </w:div>
    <w:div w:id="297686879">
      <w:bodyDiv w:val="1"/>
      <w:marLeft w:val="0"/>
      <w:marRight w:val="0"/>
      <w:marTop w:val="0"/>
      <w:marBottom w:val="0"/>
      <w:divBdr>
        <w:top w:val="none" w:sz="0" w:space="0" w:color="auto"/>
        <w:left w:val="none" w:sz="0" w:space="0" w:color="auto"/>
        <w:bottom w:val="none" w:sz="0" w:space="0" w:color="auto"/>
        <w:right w:val="none" w:sz="0" w:space="0" w:color="auto"/>
      </w:divBdr>
      <w:divsChild>
        <w:div w:id="579558901">
          <w:marLeft w:val="360"/>
          <w:marRight w:val="0"/>
          <w:marTop w:val="0"/>
          <w:marBottom w:val="0"/>
          <w:divBdr>
            <w:top w:val="none" w:sz="0" w:space="0" w:color="auto"/>
            <w:left w:val="none" w:sz="0" w:space="0" w:color="auto"/>
            <w:bottom w:val="none" w:sz="0" w:space="0" w:color="auto"/>
            <w:right w:val="none" w:sz="0" w:space="0" w:color="auto"/>
          </w:divBdr>
        </w:div>
      </w:divsChild>
    </w:div>
    <w:div w:id="386954636">
      <w:bodyDiv w:val="1"/>
      <w:marLeft w:val="0"/>
      <w:marRight w:val="0"/>
      <w:marTop w:val="0"/>
      <w:marBottom w:val="0"/>
      <w:divBdr>
        <w:top w:val="none" w:sz="0" w:space="0" w:color="auto"/>
        <w:left w:val="none" w:sz="0" w:space="0" w:color="auto"/>
        <w:bottom w:val="none" w:sz="0" w:space="0" w:color="auto"/>
        <w:right w:val="none" w:sz="0" w:space="0" w:color="auto"/>
      </w:divBdr>
      <w:divsChild>
        <w:div w:id="334185264">
          <w:marLeft w:val="547"/>
          <w:marRight w:val="0"/>
          <w:marTop w:val="0"/>
          <w:marBottom w:val="0"/>
          <w:divBdr>
            <w:top w:val="none" w:sz="0" w:space="0" w:color="auto"/>
            <w:left w:val="none" w:sz="0" w:space="0" w:color="auto"/>
            <w:bottom w:val="none" w:sz="0" w:space="0" w:color="auto"/>
            <w:right w:val="none" w:sz="0" w:space="0" w:color="auto"/>
          </w:divBdr>
        </w:div>
        <w:div w:id="788936992">
          <w:marLeft w:val="1166"/>
          <w:marRight w:val="0"/>
          <w:marTop w:val="0"/>
          <w:marBottom w:val="0"/>
          <w:divBdr>
            <w:top w:val="none" w:sz="0" w:space="0" w:color="auto"/>
            <w:left w:val="none" w:sz="0" w:space="0" w:color="auto"/>
            <w:bottom w:val="none" w:sz="0" w:space="0" w:color="auto"/>
            <w:right w:val="none" w:sz="0" w:space="0" w:color="auto"/>
          </w:divBdr>
        </w:div>
      </w:divsChild>
    </w:div>
    <w:div w:id="387923111">
      <w:bodyDiv w:val="1"/>
      <w:marLeft w:val="0"/>
      <w:marRight w:val="0"/>
      <w:marTop w:val="0"/>
      <w:marBottom w:val="0"/>
      <w:divBdr>
        <w:top w:val="none" w:sz="0" w:space="0" w:color="auto"/>
        <w:left w:val="none" w:sz="0" w:space="0" w:color="auto"/>
        <w:bottom w:val="none" w:sz="0" w:space="0" w:color="auto"/>
        <w:right w:val="none" w:sz="0" w:space="0" w:color="auto"/>
      </w:divBdr>
    </w:div>
    <w:div w:id="428701103">
      <w:bodyDiv w:val="1"/>
      <w:marLeft w:val="0"/>
      <w:marRight w:val="0"/>
      <w:marTop w:val="0"/>
      <w:marBottom w:val="0"/>
      <w:divBdr>
        <w:top w:val="none" w:sz="0" w:space="0" w:color="auto"/>
        <w:left w:val="none" w:sz="0" w:space="0" w:color="auto"/>
        <w:bottom w:val="none" w:sz="0" w:space="0" w:color="auto"/>
        <w:right w:val="none" w:sz="0" w:space="0" w:color="auto"/>
      </w:divBdr>
    </w:div>
    <w:div w:id="454103427">
      <w:bodyDiv w:val="1"/>
      <w:marLeft w:val="0"/>
      <w:marRight w:val="0"/>
      <w:marTop w:val="0"/>
      <w:marBottom w:val="0"/>
      <w:divBdr>
        <w:top w:val="none" w:sz="0" w:space="0" w:color="auto"/>
        <w:left w:val="none" w:sz="0" w:space="0" w:color="auto"/>
        <w:bottom w:val="none" w:sz="0" w:space="0" w:color="auto"/>
        <w:right w:val="none" w:sz="0" w:space="0" w:color="auto"/>
      </w:divBdr>
      <w:divsChild>
        <w:div w:id="233903658">
          <w:marLeft w:val="360"/>
          <w:marRight w:val="0"/>
          <w:marTop w:val="0"/>
          <w:marBottom w:val="60"/>
          <w:divBdr>
            <w:top w:val="none" w:sz="0" w:space="0" w:color="auto"/>
            <w:left w:val="none" w:sz="0" w:space="0" w:color="auto"/>
            <w:bottom w:val="none" w:sz="0" w:space="0" w:color="auto"/>
            <w:right w:val="none" w:sz="0" w:space="0" w:color="auto"/>
          </w:divBdr>
        </w:div>
        <w:div w:id="851605543">
          <w:marLeft w:val="360"/>
          <w:marRight w:val="0"/>
          <w:marTop w:val="0"/>
          <w:marBottom w:val="60"/>
          <w:divBdr>
            <w:top w:val="none" w:sz="0" w:space="0" w:color="auto"/>
            <w:left w:val="none" w:sz="0" w:space="0" w:color="auto"/>
            <w:bottom w:val="none" w:sz="0" w:space="0" w:color="auto"/>
            <w:right w:val="none" w:sz="0" w:space="0" w:color="auto"/>
          </w:divBdr>
        </w:div>
        <w:div w:id="1324309307">
          <w:marLeft w:val="360"/>
          <w:marRight w:val="0"/>
          <w:marTop w:val="0"/>
          <w:marBottom w:val="60"/>
          <w:divBdr>
            <w:top w:val="none" w:sz="0" w:space="0" w:color="auto"/>
            <w:left w:val="none" w:sz="0" w:space="0" w:color="auto"/>
            <w:bottom w:val="none" w:sz="0" w:space="0" w:color="auto"/>
            <w:right w:val="none" w:sz="0" w:space="0" w:color="auto"/>
          </w:divBdr>
        </w:div>
        <w:div w:id="1448695448">
          <w:marLeft w:val="360"/>
          <w:marRight w:val="0"/>
          <w:marTop w:val="0"/>
          <w:marBottom w:val="60"/>
          <w:divBdr>
            <w:top w:val="none" w:sz="0" w:space="0" w:color="auto"/>
            <w:left w:val="none" w:sz="0" w:space="0" w:color="auto"/>
            <w:bottom w:val="none" w:sz="0" w:space="0" w:color="auto"/>
            <w:right w:val="none" w:sz="0" w:space="0" w:color="auto"/>
          </w:divBdr>
        </w:div>
        <w:div w:id="1532305186">
          <w:marLeft w:val="360"/>
          <w:marRight w:val="0"/>
          <w:marTop w:val="0"/>
          <w:marBottom w:val="60"/>
          <w:divBdr>
            <w:top w:val="none" w:sz="0" w:space="0" w:color="auto"/>
            <w:left w:val="none" w:sz="0" w:space="0" w:color="auto"/>
            <w:bottom w:val="none" w:sz="0" w:space="0" w:color="auto"/>
            <w:right w:val="none" w:sz="0" w:space="0" w:color="auto"/>
          </w:divBdr>
        </w:div>
        <w:div w:id="1630089707">
          <w:marLeft w:val="360"/>
          <w:marRight w:val="0"/>
          <w:marTop w:val="0"/>
          <w:marBottom w:val="60"/>
          <w:divBdr>
            <w:top w:val="none" w:sz="0" w:space="0" w:color="auto"/>
            <w:left w:val="none" w:sz="0" w:space="0" w:color="auto"/>
            <w:bottom w:val="none" w:sz="0" w:space="0" w:color="auto"/>
            <w:right w:val="none" w:sz="0" w:space="0" w:color="auto"/>
          </w:divBdr>
        </w:div>
        <w:div w:id="1679843121">
          <w:marLeft w:val="360"/>
          <w:marRight w:val="0"/>
          <w:marTop w:val="0"/>
          <w:marBottom w:val="60"/>
          <w:divBdr>
            <w:top w:val="none" w:sz="0" w:space="0" w:color="auto"/>
            <w:left w:val="none" w:sz="0" w:space="0" w:color="auto"/>
            <w:bottom w:val="none" w:sz="0" w:space="0" w:color="auto"/>
            <w:right w:val="none" w:sz="0" w:space="0" w:color="auto"/>
          </w:divBdr>
        </w:div>
      </w:divsChild>
    </w:div>
    <w:div w:id="559706981">
      <w:bodyDiv w:val="1"/>
      <w:marLeft w:val="0"/>
      <w:marRight w:val="0"/>
      <w:marTop w:val="0"/>
      <w:marBottom w:val="0"/>
      <w:divBdr>
        <w:top w:val="none" w:sz="0" w:space="0" w:color="auto"/>
        <w:left w:val="none" w:sz="0" w:space="0" w:color="auto"/>
        <w:bottom w:val="none" w:sz="0" w:space="0" w:color="auto"/>
        <w:right w:val="none" w:sz="0" w:space="0" w:color="auto"/>
      </w:divBdr>
    </w:div>
    <w:div w:id="581304846">
      <w:bodyDiv w:val="1"/>
      <w:marLeft w:val="0"/>
      <w:marRight w:val="0"/>
      <w:marTop w:val="0"/>
      <w:marBottom w:val="0"/>
      <w:divBdr>
        <w:top w:val="none" w:sz="0" w:space="0" w:color="auto"/>
        <w:left w:val="none" w:sz="0" w:space="0" w:color="auto"/>
        <w:bottom w:val="none" w:sz="0" w:space="0" w:color="auto"/>
        <w:right w:val="none" w:sz="0" w:space="0" w:color="auto"/>
      </w:divBdr>
    </w:div>
    <w:div w:id="761218132">
      <w:bodyDiv w:val="1"/>
      <w:marLeft w:val="0"/>
      <w:marRight w:val="0"/>
      <w:marTop w:val="0"/>
      <w:marBottom w:val="0"/>
      <w:divBdr>
        <w:top w:val="none" w:sz="0" w:space="0" w:color="auto"/>
        <w:left w:val="none" w:sz="0" w:space="0" w:color="auto"/>
        <w:bottom w:val="none" w:sz="0" w:space="0" w:color="auto"/>
        <w:right w:val="none" w:sz="0" w:space="0" w:color="auto"/>
      </w:divBdr>
    </w:div>
    <w:div w:id="869803455">
      <w:bodyDiv w:val="1"/>
      <w:marLeft w:val="0"/>
      <w:marRight w:val="0"/>
      <w:marTop w:val="0"/>
      <w:marBottom w:val="0"/>
      <w:divBdr>
        <w:top w:val="none" w:sz="0" w:space="0" w:color="auto"/>
        <w:left w:val="none" w:sz="0" w:space="0" w:color="auto"/>
        <w:bottom w:val="none" w:sz="0" w:space="0" w:color="auto"/>
        <w:right w:val="none" w:sz="0" w:space="0" w:color="auto"/>
      </w:divBdr>
      <w:divsChild>
        <w:div w:id="1417938932">
          <w:marLeft w:val="360"/>
          <w:marRight w:val="0"/>
          <w:marTop w:val="0"/>
          <w:marBottom w:val="0"/>
          <w:divBdr>
            <w:top w:val="none" w:sz="0" w:space="0" w:color="auto"/>
            <w:left w:val="none" w:sz="0" w:space="0" w:color="auto"/>
            <w:bottom w:val="none" w:sz="0" w:space="0" w:color="auto"/>
            <w:right w:val="none" w:sz="0" w:space="0" w:color="auto"/>
          </w:divBdr>
        </w:div>
      </w:divsChild>
    </w:div>
    <w:div w:id="928850799">
      <w:bodyDiv w:val="1"/>
      <w:marLeft w:val="0"/>
      <w:marRight w:val="0"/>
      <w:marTop w:val="0"/>
      <w:marBottom w:val="0"/>
      <w:divBdr>
        <w:top w:val="none" w:sz="0" w:space="0" w:color="auto"/>
        <w:left w:val="none" w:sz="0" w:space="0" w:color="auto"/>
        <w:bottom w:val="none" w:sz="0" w:space="0" w:color="auto"/>
        <w:right w:val="none" w:sz="0" w:space="0" w:color="auto"/>
      </w:divBdr>
      <w:divsChild>
        <w:div w:id="1583879221">
          <w:marLeft w:val="360"/>
          <w:marRight w:val="0"/>
          <w:marTop w:val="0"/>
          <w:marBottom w:val="0"/>
          <w:divBdr>
            <w:top w:val="none" w:sz="0" w:space="0" w:color="auto"/>
            <w:left w:val="none" w:sz="0" w:space="0" w:color="auto"/>
            <w:bottom w:val="none" w:sz="0" w:space="0" w:color="auto"/>
            <w:right w:val="none" w:sz="0" w:space="0" w:color="auto"/>
          </w:divBdr>
        </w:div>
      </w:divsChild>
    </w:div>
    <w:div w:id="944459915">
      <w:bodyDiv w:val="1"/>
      <w:marLeft w:val="0"/>
      <w:marRight w:val="0"/>
      <w:marTop w:val="0"/>
      <w:marBottom w:val="0"/>
      <w:divBdr>
        <w:top w:val="none" w:sz="0" w:space="0" w:color="auto"/>
        <w:left w:val="none" w:sz="0" w:space="0" w:color="auto"/>
        <w:bottom w:val="none" w:sz="0" w:space="0" w:color="auto"/>
        <w:right w:val="none" w:sz="0" w:space="0" w:color="auto"/>
      </w:divBdr>
      <w:divsChild>
        <w:div w:id="1023702372">
          <w:marLeft w:val="547"/>
          <w:marRight w:val="0"/>
          <w:marTop w:val="0"/>
          <w:marBottom w:val="0"/>
          <w:divBdr>
            <w:top w:val="none" w:sz="0" w:space="0" w:color="auto"/>
            <w:left w:val="none" w:sz="0" w:space="0" w:color="auto"/>
            <w:bottom w:val="none" w:sz="0" w:space="0" w:color="auto"/>
            <w:right w:val="none" w:sz="0" w:space="0" w:color="auto"/>
          </w:divBdr>
        </w:div>
      </w:divsChild>
    </w:div>
    <w:div w:id="1010722561">
      <w:bodyDiv w:val="1"/>
      <w:marLeft w:val="0"/>
      <w:marRight w:val="0"/>
      <w:marTop w:val="0"/>
      <w:marBottom w:val="0"/>
      <w:divBdr>
        <w:top w:val="none" w:sz="0" w:space="0" w:color="auto"/>
        <w:left w:val="none" w:sz="0" w:space="0" w:color="auto"/>
        <w:bottom w:val="none" w:sz="0" w:space="0" w:color="auto"/>
        <w:right w:val="none" w:sz="0" w:space="0" w:color="auto"/>
      </w:divBdr>
    </w:div>
    <w:div w:id="1080179733">
      <w:bodyDiv w:val="1"/>
      <w:marLeft w:val="0"/>
      <w:marRight w:val="0"/>
      <w:marTop w:val="0"/>
      <w:marBottom w:val="0"/>
      <w:divBdr>
        <w:top w:val="none" w:sz="0" w:space="0" w:color="auto"/>
        <w:left w:val="none" w:sz="0" w:space="0" w:color="auto"/>
        <w:bottom w:val="none" w:sz="0" w:space="0" w:color="auto"/>
        <w:right w:val="none" w:sz="0" w:space="0" w:color="auto"/>
      </w:divBdr>
      <w:divsChild>
        <w:div w:id="197664056">
          <w:marLeft w:val="360"/>
          <w:marRight w:val="0"/>
          <w:marTop w:val="0"/>
          <w:marBottom w:val="60"/>
          <w:divBdr>
            <w:top w:val="none" w:sz="0" w:space="0" w:color="auto"/>
            <w:left w:val="none" w:sz="0" w:space="0" w:color="auto"/>
            <w:bottom w:val="none" w:sz="0" w:space="0" w:color="auto"/>
            <w:right w:val="none" w:sz="0" w:space="0" w:color="auto"/>
          </w:divBdr>
        </w:div>
        <w:div w:id="458307450">
          <w:marLeft w:val="360"/>
          <w:marRight w:val="0"/>
          <w:marTop w:val="0"/>
          <w:marBottom w:val="60"/>
          <w:divBdr>
            <w:top w:val="none" w:sz="0" w:space="0" w:color="auto"/>
            <w:left w:val="none" w:sz="0" w:space="0" w:color="auto"/>
            <w:bottom w:val="none" w:sz="0" w:space="0" w:color="auto"/>
            <w:right w:val="none" w:sz="0" w:space="0" w:color="auto"/>
          </w:divBdr>
        </w:div>
        <w:div w:id="642581739">
          <w:marLeft w:val="360"/>
          <w:marRight w:val="0"/>
          <w:marTop w:val="0"/>
          <w:marBottom w:val="60"/>
          <w:divBdr>
            <w:top w:val="none" w:sz="0" w:space="0" w:color="auto"/>
            <w:left w:val="none" w:sz="0" w:space="0" w:color="auto"/>
            <w:bottom w:val="none" w:sz="0" w:space="0" w:color="auto"/>
            <w:right w:val="none" w:sz="0" w:space="0" w:color="auto"/>
          </w:divBdr>
        </w:div>
        <w:div w:id="849023184">
          <w:marLeft w:val="360"/>
          <w:marRight w:val="0"/>
          <w:marTop w:val="0"/>
          <w:marBottom w:val="60"/>
          <w:divBdr>
            <w:top w:val="none" w:sz="0" w:space="0" w:color="auto"/>
            <w:left w:val="none" w:sz="0" w:space="0" w:color="auto"/>
            <w:bottom w:val="none" w:sz="0" w:space="0" w:color="auto"/>
            <w:right w:val="none" w:sz="0" w:space="0" w:color="auto"/>
          </w:divBdr>
        </w:div>
        <w:div w:id="1241600516">
          <w:marLeft w:val="360"/>
          <w:marRight w:val="0"/>
          <w:marTop w:val="0"/>
          <w:marBottom w:val="60"/>
          <w:divBdr>
            <w:top w:val="none" w:sz="0" w:space="0" w:color="auto"/>
            <w:left w:val="none" w:sz="0" w:space="0" w:color="auto"/>
            <w:bottom w:val="none" w:sz="0" w:space="0" w:color="auto"/>
            <w:right w:val="none" w:sz="0" w:space="0" w:color="auto"/>
          </w:divBdr>
        </w:div>
        <w:div w:id="1555265398">
          <w:marLeft w:val="360"/>
          <w:marRight w:val="0"/>
          <w:marTop w:val="0"/>
          <w:marBottom w:val="60"/>
          <w:divBdr>
            <w:top w:val="none" w:sz="0" w:space="0" w:color="auto"/>
            <w:left w:val="none" w:sz="0" w:space="0" w:color="auto"/>
            <w:bottom w:val="none" w:sz="0" w:space="0" w:color="auto"/>
            <w:right w:val="none" w:sz="0" w:space="0" w:color="auto"/>
          </w:divBdr>
        </w:div>
        <w:div w:id="1716930316">
          <w:marLeft w:val="360"/>
          <w:marRight w:val="0"/>
          <w:marTop w:val="0"/>
          <w:marBottom w:val="60"/>
          <w:divBdr>
            <w:top w:val="none" w:sz="0" w:space="0" w:color="auto"/>
            <w:left w:val="none" w:sz="0" w:space="0" w:color="auto"/>
            <w:bottom w:val="none" w:sz="0" w:space="0" w:color="auto"/>
            <w:right w:val="none" w:sz="0" w:space="0" w:color="auto"/>
          </w:divBdr>
        </w:div>
      </w:divsChild>
    </w:div>
    <w:div w:id="1515338504">
      <w:bodyDiv w:val="1"/>
      <w:marLeft w:val="0"/>
      <w:marRight w:val="0"/>
      <w:marTop w:val="0"/>
      <w:marBottom w:val="0"/>
      <w:divBdr>
        <w:top w:val="none" w:sz="0" w:space="0" w:color="auto"/>
        <w:left w:val="none" w:sz="0" w:space="0" w:color="auto"/>
        <w:bottom w:val="none" w:sz="0" w:space="0" w:color="auto"/>
        <w:right w:val="none" w:sz="0" w:space="0" w:color="auto"/>
      </w:divBdr>
      <w:divsChild>
        <w:div w:id="31030681">
          <w:marLeft w:val="144"/>
          <w:marRight w:val="0"/>
          <w:marTop w:val="0"/>
          <w:marBottom w:val="120"/>
          <w:divBdr>
            <w:top w:val="none" w:sz="0" w:space="0" w:color="auto"/>
            <w:left w:val="none" w:sz="0" w:space="0" w:color="auto"/>
            <w:bottom w:val="none" w:sz="0" w:space="0" w:color="auto"/>
            <w:right w:val="none" w:sz="0" w:space="0" w:color="auto"/>
          </w:divBdr>
        </w:div>
        <w:div w:id="44254043">
          <w:marLeft w:val="144"/>
          <w:marRight w:val="0"/>
          <w:marTop w:val="0"/>
          <w:marBottom w:val="120"/>
          <w:divBdr>
            <w:top w:val="none" w:sz="0" w:space="0" w:color="auto"/>
            <w:left w:val="none" w:sz="0" w:space="0" w:color="auto"/>
            <w:bottom w:val="none" w:sz="0" w:space="0" w:color="auto"/>
            <w:right w:val="none" w:sz="0" w:space="0" w:color="auto"/>
          </w:divBdr>
        </w:div>
        <w:div w:id="64307391">
          <w:marLeft w:val="144"/>
          <w:marRight w:val="0"/>
          <w:marTop w:val="0"/>
          <w:marBottom w:val="120"/>
          <w:divBdr>
            <w:top w:val="none" w:sz="0" w:space="0" w:color="auto"/>
            <w:left w:val="none" w:sz="0" w:space="0" w:color="auto"/>
            <w:bottom w:val="none" w:sz="0" w:space="0" w:color="auto"/>
            <w:right w:val="none" w:sz="0" w:space="0" w:color="auto"/>
          </w:divBdr>
        </w:div>
        <w:div w:id="79377336">
          <w:marLeft w:val="144"/>
          <w:marRight w:val="0"/>
          <w:marTop w:val="0"/>
          <w:marBottom w:val="120"/>
          <w:divBdr>
            <w:top w:val="none" w:sz="0" w:space="0" w:color="auto"/>
            <w:left w:val="none" w:sz="0" w:space="0" w:color="auto"/>
            <w:bottom w:val="none" w:sz="0" w:space="0" w:color="auto"/>
            <w:right w:val="none" w:sz="0" w:space="0" w:color="auto"/>
          </w:divBdr>
        </w:div>
        <w:div w:id="123929521">
          <w:marLeft w:val="144"/>
          <w:marRight w:val="0"/>
          <w:marTop w:val="0"/>
          <w:marBottom w:val="120"/>
          <w:divBdr>
            <w:top w:val="none" w:sz="0" w:space="0" w:color="auto"/>
            <w:left w:val="none" w:sz="0" w:space="0" w:color="auto"/>
            <w:bottom w:val="none" w:sz="0" w:space="0" w:color="auto"/>
            <w:right w:val="none" w:sz="0" w:space="0" w:color="auto"/>
          </w:divBdr>
        </w:div>
        <w:div w:id="212159000">
          <w:marLeft w:val="144"/>
          <w:marRight w:val="0"/>
          <w:marTop w:val="0"/>
          <w:marBottom w:val="120"/>
          <w:divBdr>
            <w:top w:val="none" w:sz="0" w:space="0" w:color="auto"/>
            <w:left w:val="none" w:sz="0" w:space="0" w:color="auto"/>
            <w:bottom w:val="none" w:sz="0" w:space="0" w:color="auto"/>
            <w:right w:val="none" w:sz="0" w:space="0" w:color="auto"/>
          </w:divBdr>
        </w:div>
        <w:div w:id="222374573">
          <w:marLeft w:val="144"/>
          <w:marRight w:val="0"/>
          <w:marTop w:val="0"/>
          <w:marBottom w:val="120"/>
          <w:divBdr>
            <w:top w:val="none" w:sz="0" w:space="0" w:color="auto"/>
            <w:left w:val="none" w:sz="0" w:space="0" w:color="auto"/>
            <w:bottom w:val="none" w:sz="0" w:space="0" w:color="auto"/>
            <w:right w:val="none" w:sz="0" w:space="0" w:color="auto"/>
          </w:divBdr>
        </w:div>
        <w:div w:id="342056014">
          <w:marLeft w:val="144"/>
          <w:marRight w:val="0"/>
          <w:marTop w:val="0"/>
          <w:marBottom w:val="120"/>
          <w:divBdr>
            <w:top w:val="none" w:sz="0" w:space="0" w:color="auto"/>
            <w:left w:val="none" w:sz="0" w:space="0" w:color="auto"/>
            <w:bottom w:val="none" w:sz="0" w:space="0" w:color="auto"/>
            <w:right w:val="none" w:sz="0" w:space="0" w:color="auto"/>
          </w:divBdr>
        </w:div>
        <w:div w:id="375814421">
          <w:marLeft w:val="144"/>
          <w:marRight w:val="0"/>
          <w:marTop w:val="0"/>
          <w:marBottom w:val="120"/>
          <w:divBdr>
            <w:top w:val="none" w:sz="0" w:space="0" w:color="auto"/>
            <w:left w:val="none" w:sz="0" w:space="0" w:color="auto"/>
            <w:bottom w:val="none" w:sz="0" w:space="0" w:color="auto"/>
            <w:right w:val="none" w:sz="0" w:space="0" w:color="auto"/>
          </w:divBdr>
        </w:div>
        <w:div w:id="422803404">
          <w:marLeft w:val="144"/>
          <w:marRight w:val="0"/>
          <w:marTop w:val="0"/>
          <w:marBottom w:val="120"/>
          <w:divBdr>
            <w:top w:val="none" w:sz="0" w:space="0" w:color="auto"/>
            <w:left w:val="none" w:sz="0" w:space="0" w:color="auto"/>
            <w:bottom w:val="none" w:sz="0" w:space="0" w:color="auto"/>
            <w:right w:val="none" w:sz="0" w:space="0" w:color="auto"/>
          </w:divBdr>
        </w:div>
        <w:div w:id="502816928">
          <w:marLeft w:val="144"/>
          <w:marRight w:val="0"/>
          <w:marTop w:val="0"/>
          <w:marBottom w:val="120"/>
          <w:divBdr>
            <w:top w:val="none" w:sz="0" w:space="0" w:color="auto"/>
            <w:left w:val="none" w:sz="0" w:space="0" w:color="auto"/>
            <w:bottom w:val="none" w:sz="0" w:space="0" w:color="auto"/>
            <w:right w:val="none" w:sz="0" w:space="0" w:color="auto"/>
          </w:divBdr>
        </w:div>
        <w:div w:id="523250264">
          <w:marLeft w:val="144"/>
          <w:marRight w:val="0"/>
          <w:marTop w:val="0"/>
          <w:marBottom w:val="120"/>
          <w:divBdr>
            <w:top w:val="none" w:sz="0" w:space="0" w:color="auto"/>
            <w:left w:val="none" w:sz="0" w:space="0" w:color="auto"/>
            <w:bottom w:val="none" w:sz="0" w:space="0" w:color="auto"/>
            <w:right w:val="none" w:sz="0" w:space="0" w:color="auto"/>
          </w:divBdr>
        </w:div>
        <w:div w:id="712191865">
          <w:marLeft w:val="144"/>
          <w:marRight w:val="0"/>
          <w:marTop w:val="0"/>
          <w:marBottom w:val="120"/>
          <w:divBdr>
            <w:top w:val="none" w:sz="0" w:space="0" w:color="auto"/>
            <w:left w:val="none" w:sz="0" w:space="0" w:color="auto"/>
            <w:bottom w:val="none" w:sz="0" w:space="0" w:color="auto"/>
            <w:right w:val="none" w:sz="0" w:space="0" w:color="auto"/>
          </w:divBdr>
        </w:div>
        <w:div w:id="897477052">
          <w:marLeft w:val="144"/>
          <w:marRight w:val="0"/>
          <w:marTop w:val="0"/>
          <w:marBottom w:val="120"/>
          <w:divBdr>
            <w:top w:val="none" w:sz="0" w:space="0" w:color="auto"/>
            <w:left w:val="none" w:sz="0" w:space="0" w:color="auto"/>
            <w:bottom w:val="none" w:sz="0" w:space="0" w:color="auto"/>
            <w:right w:val="none" w:sz="0" w:space="0" w:color="auto"/>
          </w:divBdr>
        </w:div>
        <w:div w:id="930697461">
          <w:marLeft w:val="144"/>
          <w:marRight w:val="0"/>
          <w:marTop w:val="0"/>
          <w:marBottom w:val="120"/>
          <w:divBdr>
            <w:top w:val="none" w:sz="0" w:space="0" w:color="auto"/>
            <w:left w:val="none" w:sz="0" w:space="0" w:color="auto"/>
            <w:bottom w:val="none" w:sz="0" w:space="0" w:color="auto"/>
            <w:right w:val="none" w:sz="0" w:space="0" w:color="auto"/>
          </w:divBdr>
        </w:div>
        <w:div w:id="1163664590">
          <w:marLeft w:val="144"/>
          <w:marRight w:val="0"/>
          <w:marTop w:val="0"/>
          <w:marBottom w:val="120"/>
          <w:divBdr>
            <w:top w:val="none" w:sz="0" w:space="0" w:color="auto"/>
            <w:left w:val="none" w:sz="0" w:space="0" w:color="auto"/>
            <w:bottom w:val="none" w:sz="0" w:space="0" w:color="auto"/>
            <w:right w:val="none" w:sz="0" w:space="0" w:color="auto"/>
          </w:divBdr>
        </w:div>
        <w:div w:id="1246499629">
          <w:marLeft w:val="144"/>
          <w:marRight w:val="0"/>
          <w:marTop w:val="0"/>
          <w:marBottom w:val="120"/>
          <w:divBdr>
            <w:top w:val="none" w:sz="0" w:space="0" w:color="auto"/>
            <w:left w:val="none" w:sz="0" w:space="0" w:color="auto"/>
            <w:bottom w:val="none" w:sz="0" w:space="0" w:color="auto"/>
            <w:right w:val="none" w:sz="0" w:space="0" w:color="auto"/>
          </w:divBdr>
        </w:div>
        <w:div w:id="1339384443">
          <w:marLeft w:val="144"/>
          <w:marRight w:val="0"/>
          <w:marTop w:val="0"/>
          <w:marBottom w:val="120"/>
          <w:divBdr>
            <w:top w:val="none" w:sz="0" w:space="0" w:color="auto"/>
            <w:left w:val="none" w:sz="0" w:space="0" w:color="auto"/>
            <w:bottom w:val="none" w:sz="0" w:space="0" w:color="auto"/>
            <w:right w:val="none" w:sz="0" w:space="0" w:color="auto"/>
          </w:divBdr>
        </w:div>
        <w:div w:id="1378242655">
          <w:marLeft w:val="144"/>
          <w:marRight w:val="0"/>
          <w:marTop w:val="0"/>
          <w:marBottom w:val="120"/>
          <w:divBdr>
            <w:top w:val="none" w:sz="0" w:space="0" w:color="auto"/>
            <w:left w:val="none" w:sz="0" w:space="0" w:color="auto"/>
            <w:bottom w:val="none" w:sz="0" w:space="0" w:color="auto"/>
            <w:right w:val="none" w:sz="0" w:space="0" w:color="auto"/>
          </w:divBdr>
        </w:div>
        <w:div w:id="1469669665">
          <w:marLeft w:val="144"/>
          <w:marRight w:val="0"/>
          <w:marTop w:val="0"/>
          <w:marBottom w:val="120"/>
          <w:divBdr>
            <w:top w:val="none" w:sz="0" w:space="0" w:color="auto"/>
            <w:left w:val="none" w:sz="0" w:space="0" w:color="auto"/>
            <w:bottom w:val="none" w:sz="0" w:space="0" w:color="auto"/>
            <w:right w:val="none" w:sz="0" w:space="0" w:color="auto"/>
          </w:divBdr>
        </w:div>
        <w:div w:id="1559627796">
          <w:marLeft w:val="144"/>
          <w:marRight w:val="0"/>
          <w:marTop w:val="0"/>
          <w:marBottom w:val="120"/>
          <w:divBdr>
            <w:top w:val="none" w:sz="0" w:space="0" w:color="auto"/>
            <w:left w:val="none" w:sz="0" w:space="0" w:color="auto"/>
            <w:bottom w:val="none" w:sz="0" w:space="0" w:color="auto"/>
            <w:right w:val="none" w:sz="0" w:space="0" w:color="auto"/>
          </w:divBdr>
        </w:div>
        <w:div w:id="1628924477">
          <w:marLeft w:val="144"/>
          <w:marRight w:val="0"/>
          <w:marTop w:val="0"/>
          <w:marBottom w:val="120"/>
          <w:divBdr>
            <w:top w:val="none" w:sz="0" w:space="0" w:color="auto"/>
            <w:left w:val="none" w:sz="0" w:space="0" w:color="auto"/>
            <w:bottom w:val="none" w:sz="0" w:space="0" w:color="auto"/>
            <w:right w:val="none" w:sz="0" w:space="0" w:color="auto"/>
          </w:divBdr>
        </w:div>
        <w:div w:id="1644310663">
          <w:marLeft w:val="144"/>
          <w:marRight w:val="0"/>
          <w:marTop w:val="0"/>
          <w:marBottom w:val="120"/>
          <w:divBdr>
            <w:top w:val="none" w:sz="0" w:space="0" w:color="auto"/>
            <w:left w:val="none" w:sz="0" w:space="0" w:color="auto"/>
            <w:bottom w:val="none" w:sz="0" w:space="0" w:color="auto"/>
            <w:right w:val="none" w:sz="0" w:space="0" w:color="auto"/>
          </w:divBdr>
        </w:div>
        <w:div w:id="1672369123">
          <w:marLeft w:val="144"/>
          <w:marRight w:val="0"/>
          <w:marTop w:val="0"/>
          <w:marBottom w:val="120"/>
          <w:divBdr>
            <w:top w:val="none" w:sz="0" w:space="0" w:color="auto"/>
            <w:left w:val="none" w:sz="0" w:space="0" w:color="auto"/>
            <w:bottom w:val="none" w:sz="0" w:space="0" w:color="auto"/>
            <w:right w:val="none" w:sz="0" w:space="0" w:color="auto"/>
          </w:divBdr>
        </w:div>
        <w:div w:id="1846705074">
          <w:marLeft w:val="144"/>
          <w:marRight w:val="0"/>
          <w:marTop w:val="0"/>
          <w:marBottom w:val="120"/>
          <w:divBdr>
            <w:top w:val="none" w:sz="0" w:space="0" w:color="auto"/>
            <w:left w:val="none" w:sz="0" w:space="0" w:color="auto"/>
            <w:bottom w:val="none" w:sz="0" w:space="0" w:color="auto"/>
            <w:right w:val="none" w:sz="0" w:space="0" w:color="auto"/>
          </w:divBdr>
        </w:div>
      </w:divsChild>
    </w:div>
    <w:div w:id="1807812404">
      <w:bodyDiv w:val="1"/>
      <w:marLeft w:val="0"/>
      <w:marRight w:val="0"/>
      <w:marTop w:val="0"/>
      <w:marBottom w:val="0"/>
      <w:divBdr>
        <w:top w:val="none" w:sz="0" w:space="0" w:color="auto"/>
        <w:left w:val="none" w:sz="0" w:space="0" w:color="auto"/>
        <w:bottom w:val="none" w:sz="0" w:space="0" w:color="auto"/>
        <w:right w:val="none" w:sz="0" w:space="0" w:color="auto"/>
      </w:divBdr>
    </w:div>
    <w:div w:id="1941527073">
      <w:bodyDiv w:val="1"/>
      <w:marLeft w:val="0"/>
      <w:marRight w:val="0"/>
      <w:marTop w:val="0"/>
      <w:marBottom w:val="0"/>
      <w:divBdr>
        <w:top w:val="none" w:sz="0" w:space="0" w:color="auto"/>
        <w:left w:val="none" w:sz="0" w:space="0" w:color="auto"/>
        <w:bottom w:val="none" w:sz="0" w:space="0" w:color="auto"/>
        <w:right w:val="none" w:sz="0" w:space="0" w:color="auto"/>
      </w:divBdr>
    </w:div>
    <w:div w:id="1953785957">
      <w:bodyDiv w:val="1"/>
      <w:marLeft w:val="0"/>
      <w:marRight w:val="0"/>
      <w:marTop w:val="0"/>
      <w:marBottom w:val="0"/>
      <w:divBdr>
        <w:top w:val="none" w:sz="0" w:space="0" w:color="auto"/>
        <w:left w:val="none" w:sz="0" w:space="0" w:color="auto"/>
        <w:bottom w:val="none" w:sz="0" w:space="0" w:color="auto"/>
        <w:right w:val="none" w:sz="0" w:space="0" w:color="auto"/>
      </w:divBdr>
    </w:div>
    <w:div w:id="1967464868">
      <w:bodyDiv w:val="1"/>
      <w:marLeft w:val="0"/>
      <w:marRight w:val="0"/>
      <w:marTop w:val="0"/>
      <w:marBottom w:val="0"/>
      <w:divBdr>
        <w:top w:val="none" w:sz="0" w:space="0" w:color="auto"/>
        <w:left w:val="none" w:sz="0" w:space="0" w:color="auto"/>
        <w:bottom w:val="none" w:sz="0" w:space="0" w:color="auto"/>
        <w:right w:val="none" w:sz="0" w:space="0" w:color="auto"/>
      </w:divBdr>
      <w:divsChild>
        <w:div w:id="122772701">
          <w:marLeft w:val="144"/>
          <w:marRight w:val="0"/>
          <w:marTop w:val="0"/>
          <w:marBottom w:val="120"/>
          <w:divBdr>
            <w:top w:val="none" w:sz="0" w:space="0" w:color="auto"/>
            <w:left w:val="none" w:sz="0" w:space="0" w:color="auto"/>
            <w:bottom w:val="none" w:sz="0" w:space="0" w:color="auto"/>
            <w:right w:val="none" w:sz="0" w:space="0" w:color="auto"/>
          </w:divBdr>
        </w:div>
        <w:div w:id="139882177">
          <w:marLeft w:val="144"/>
          <w:marRight w:val="0"/>
          <w:marTop w:val="0"/>
          <w:marBottom w:val="120"/>
          <w:divBdr>
            <w:top w:val="none" w:sz="0" w:space="0" w:color="auto"/>
            <w:left w:val="none" w:sz="0" w:space="0" w:color="auto"/>
            <w:bottom w:val="none" w:sz="0" w:space="0" w:color="auto"/>
            <w:right w:val="none" w:sz="0" w:space="0" w:color="auto"/>
          </w:divBdr>
        </w:div>
        <w:div w:id="232542309">
          <w:marLeft w:val="144"/>
          <w:marRight w:val="0"/>
          <w:marTop w:val="0"/>
          <w:marBottom w:val="120"/>
          <w:divBdr>
            <w:top w:val="none" w:sz="0" w:space="0" w:color="auto"/>
            <w:left w:val="none" w:sz="0" w:space="0" w:color="auto"/>
            <w:bottom w:val="none" w:sz="0" w:space="0" w:color="auto"/>
            <w:right w:val="none" w:sz="0" w:space="0" w:color="auto"/>
          </w:divBdr>
        </w:div>
        <w:div w:id="317225094">
          <w:marLeft w:val="144"/>
          <w:marRight w:val="0"/>
          <w:marTop w:val="0"/>
          <w:marBottom w:val="120"/>
          <w:divBdr>
            <w:top w:val="none" w:sz="0" w:space="0" w:color="auto"/>
            <w:left w:val="none" w:sz="0" w:space="0" w:color="auto"/>
            <w:bottom w:val="none" w:sz="0" w:space="0" w:color="auto"/>
            <w:right w:val="none" w:sz="0" w:space="0" w:color="auto"/>
          </w:divBdr>
        </w:div>
        <w:div w:id="346173967">
          <w:marLeft w:val="144"/>
          <w:marRight w:val="0"/>
          <w:marTop w:val="0"/>
          <w:marBottom w:val="120"/>
          <w:divBdr>
            <w:top w:val="none" w:sz="0" w:space="0" w:color="auto"/>
            <w:left w:val="none" w:sz="0" w:space="0" w:color="auto"/>
            <w:bottom w:val="none" w:sz="0" w:space="0" w:color="auto"/>
            <w:right w:val="none" w:sz="0" w:space="0" w:color="auto"/>
          </w:divBdr>
        </w:div>
        <w:div w:id="479542576">
          <w:marLeft w:val="144"/>
          <w:marRight w:val="0"/>
          <w:marTop w:val="0"/>
          <w:marBottom w:val="120"/>
          <w:divBdr>
            <w:top w:val="none" w:sz="0" w:space="0" w:color="auto"/>
            <w:left w:val="none" w:sz="0" w:space="0" w:color="auto"/>
            <w:bottom w:val="none" w:sz="0" w:space="0" w:color="auto"/>
            <w:right w:val="none" w:sz="0" w:space="0" w:color="auto"/>
          </w:divBdr>
        </w:div>
        <w:div w:id="633297152">
          <w:marLeft w:val="144"/>
          <w:marRight w:val="0"/>
          <w:marTop w:val="0"/>
          <w:marBottom w:val="120"/>
          <w:divBdr>
            <w:top w:val="none" w:sz="0" w:space="0" w:color="auto"/>
            <w:left w:val="none" w:sz="0" w:space="0" w:color="auto"/>
            <w:bottom w:val="none" w:sz="0" w:space="0" w:color="auto"/>
            <w:right w:val="none" w:sz="0" w:space="0" w:color="auto"/>
          </w:divBdr>
        </w:div>
        <w:div w:id="660082632">
          <w:marLeft w:val="144"/>
          <w:marRight w:val="0"/>
          <w:marTop w:val="0"/>
          <w:marBottom w:val="120"/>
          <w:divBdr>
            <w:top w:val="none" w:sz="0" w:space="0" w:color="auto"/>
            <w:left w:val="none" w:sz="0" w:space="0" w:color="auto"/>
            <w:bottom w:val="none" w:sz="0" w:space="0" w:color="auto"/>
            <w:right w:val="none" w:sz="0" w:space="0" w:color="auto"/>
          </w:divBdr>
        </w:div>
        <w:div w:id="741634410">
          <w:marLeft w:val="144"/>
          <w:marRight w:val="0"/>
          <w:marTop w:val="0"/>
          <w:marBottom w:val="120"/>
          <w:divBdr>
            <w:top w:val="none" w:sz="0" w:space="0" w:color="auto"/>
            <w:left w:val="none" w:sz="0" w:space="0" w:color="auto"/>
            <w:bottom w:val="none" w:sz="0" w:space="0" w:color="auto"/>
            <w:right w:val="none" w:sz="0" w:space="0" w:color="auto"/>
          </w:divBdr>
        </w:div>
        <w:div w:id="795832414">
          <w:marLeft w:val="144"/>
          <w:marRight w:val="0"/>
          <w:marTop w:val="0"/>
          <w:marBottom w:val="120"/>
          <w:divBdr>
            <w:top w:val="none" w:sz="0" w:space="0" w:color="auto"/>
            <w:left w:val="none" w:sz="0" w:space="0" w:color="auto"/>
            <w:bottom w:val="none" w:sz="0" w:space="0" w:color="auto"/>
            <w:right w:val="none" w:sz="0" w:space="0" w:color="auto"/>
          </w:divBdr>
        </w:div>
        <w:div w:id="809128679">
          <w:marLeft w:val="144"/>
          <w:marRight w:val="0"/>
          <w:marTop w:val="0"/>
          <w:marBottom w:val="120"/>
          <w:divBdr>
            <w:top w:val="none" w:sz="0" w:space="0" w:color="auto"/>
            <w:left w:val="none" w:sz="0" w:space="0" w:color="auto"/>
            <w:bottom w:val="none" w:sz="0" w:space="0" w:color="auto"/>
            <w:right w:val="none" w:sz="0" w:space="0" w:color="auto"/>
          </w:divBdr>
        </w:div>
        <w:div w:id="879246679">
          <w:marLeft w:val="144"/>
          <w:marRight w:val="0"/>
          <w:marTop w:val="0"/>
          <w:marBottom w:val="120"/>
          <w:divBdr>
            <w:top w:val="none" w:sz="0" w:space="0" w:color="auto"/>
            <w:left w:val="none" w:sz="0" w:space="0" w:color="auto"/>
            <w:bottom w:val="none" w:sz="0" w:space="0" w:color="auto"/>
            <w:right w:val="none" w:sz="0" w:space="0" w:color="auto"/>
          </w:divBdr>
        </w:div>
        <w:div w:id="933979510">
          <w:marLeft w:val="144"/>
          <w:marRight w:val="0"/>
          <w:marTop w:val="0"/>
          <w:marBottom w:val="120"/>
          <w:divBdr>
            <w:top w:val="none" w:sz="0" w:space="0" w:color="auto"/>
            <w:left w:val="none" w:sz="0" w:space="0" w:color="auto"/>
            <w:bottom w:val="none" w:sz="0" w:space="0" w:color="auto"/>
            <w:right w:val="none" w:sz="0" w:space="0" w:color="auto"/>
          </w:divBdr>
        </w:div>
        <w:div w:id="1004817417">
          <w:marLeft w:val="144"/>
          <w:marRight w:val="0"/>
          <w:marTop w:val="0"/>
          <w:marBottom w:val="120"/>
          <w:divBdr>
            <w:top w:val="none" w:sz="0" w:space="0" w:color="auto"/>
            <w:left w:val="none" w:sz="0" w:space="0" w:color="auto"/>
            <w:bottom w:val="none" w:sz="0" w:space="0" w:color="auto"/>
            <w:right w:val="none" w:sz="0" w:space="0" w:color="auto"/>
          </w:divBdr>
        </w:div>
        <w:div w:id="1031489206">
          <w:marLeft w:val="144"/>
          <w:marRight w:val="0"/>
          <w:marTop w:val="0"/>
          <w:marBottom w:val="120"/>
          <w:divBdr>
            <w:top w:val="none" w:sz="0" w:space="0" w:color="auto"/>
            <w:left w:val="none" w:sz="0" w:space="0" w:color="auto"/>
            <w:bottom w:val="none" w:sz="0" w:space="0" w:color="auto"/>
            <w:right w:val="none" w:sz="0" w:space="0" w:color="auto"/>
          </w:divBdr>
        </w:div>
        <w:div w:id="1151866416">
          <w:marLeft w:val="144"/>
          <w:marRight w:val="0"/>
          <w:marTop w:val="0"/>
          <w:marBottom w:val="120"/>
          <w:divBdr>
            <w:top w:val="none" w:sz="0" w:space="0" w:color="auto"/>
            <w:left w:val="none" w:sz="0" w:space="0" w:color="auto"/>
            <w:bottom w:val="none" w:sz="0" w:space="0" w:color="auto"/>
            <w:right w:val="none" w:sz="0" w:space="0" w:color="auto"/>
          </w:divBdr>
        </w:div>
        <w:div w:id="1333218004">
          <w:marLeft w:val="144"/>
          <w:marRight w:val="0"/>
          <w:marTop w:val="0"/>
          <w:marBottom w:val="120"/>
          <w:divBdr>
            <w:top w:val="none" w:sz="0" w:space="0" w:color="auto"/>
            <w:left w:val="none" w:sz="0" w:space="0" w:color="auto"/>
            <w:bottom w:val="none" w:sz="0" w:space="0" w:color="auto"/>
            <w:right w:val="none" w:sz="0" w:space="0" w:color="auto"/>
          </w:divBdr>
        </w:div>
        <w:div w:id="1368481640">
          <w:marLeft w:val="144"/>
          <w:marRight w:val="0"/>
          <w:marTop w:val="0"/>
          <w:marBottom w:val="120"/>
          <w:divBdr>
            <w:top w:val="none" w:sz="0" w:space="0" w:color="auto"/>
            <w:left w:val="none" w:sz="0" w:space="0" w:color="auto"/>
            <w:bottom w:val="none" w:sz="0" w:space="0" w:color="auto"/>
            <w:right w:val="none" w:sz="0" w:space="0" w:color="auto"/>
          </w:divBdr>
        </w:div>
        <w:div w:id="1758820747">
          <w:marLeft w:val="144"/>
          <w:marRight w:val="0"/>
          <w:marTop w:val="0"/>
          <w:marBottom w:val="120"/>
          <w:divBdr>
            <w:top w:val="none" w:sz="0" w:space="0" w:color="auto"/>
            <w:left w:val="none" w:sz="0" w:space="0" w:color="auto"/>
            <w:bottom w:val="none" w:sz="0" w:space="0" w:color="auto"/>
            <w:right w:val="none" w:sz="0" w:space="0" w:color="auto"/>
          </w:divBdr>
        </w:div>
        <w:div w:id="1787193274">
          <w:marLeft w:val="144"/>
          <w:marRight w:val="0"/>
          <w:marTop w:val="0"/>
          <w:marBottom w:val="120"/>
          <w:divBdr>
            <w:top w:val="none" w:sz="0" w:space="0" w:color="auto"/>
            <w:left w:val="none" w:sz="0" w:space="0" w:color="auto"/>
            <w:bottom w:val="none" w:sz="0" w:space="0" w:color="auto"/>
            <w:right w:val="none" w:sz="0" w:space="0" w:color="auto"/>
          </w:divBdr>
        </w:div>
        <w:div w:id="1791321524">
          <w:marLeft w:val="144"/>
          <w:marRight w:val="0"/>
          <w:marTop w:val="0"/>
          <w:marBottom w:val="120"/>
          <w:divBdr>
            <w:top w:val="none" w:sz="0" w:space="0" w:color="auto"/>
            <w:left w:val="none" w:sz="0" w:space="0" w:color="auto"/>
            <w:bottom w:val="none" w:sz="0" w:space="0" w:color="auto"/>
            <w:right w:val="none" w:sz="0" w:space="0" w:color="auto"/>
          </w:divBdr>
        </w:div>
        <w:div w:id="1793595889">
          <w:marLeft w:val="144"/>
          <w:marRight w:val="0"/>
          <w:marTop w:val="0"/>
          <w:marBottom w:val="120"/>
          <w:divBdr>
            <w:top w:val="none" w:sz="0" w:space="0" w:color="auto"/>
            <w:left w:val="none" w:sz="0" w:space="0" w:color="auto"/>
            <w:bottom w:val="none" w:sz="0" w:space="0" w:color="auto"/>
            <w:right w:val="none" w:sz="0" w:space="0" w:color="auto"/>
          </w:divBdr>
        </w:div>
        <w:div w:id="1805270079">
          <w:marLeft w:val="144"/>
          <w:marRight w:val="0"/>
          <w:marTop w:val="0"/>
          <w:marBottom w:val="120"/>
          <w:divBdr>
            <w:top w:val="none" w:sz="0" w:space="0" w:color="auto"/>
            <w:left w:val="none" w:sz="0" w:space="0" w:color="auto"/>
            <w:bottom w:val="none" w:sz="0" w:space="0" w:color="auto"/>
            <w:right w:val="none" w:sz="0" w:space="0" w:color="auto"/>
          </w:divBdr>
        </w:div>
        <w:div w:id="1868788849">
          <w:marLeft w:val="144"/>
          <w:marRight w:val="0"/>
          <w:marTop w:val="0"/>
          <w:marBottom w:val="120"/>
          <w:divBdr>
            <w:top w:val="none" w:sz="0" w:space="0" w:color="auto"/>
            <w:left w:val="none" w:sz="0" w:space="0" w:color="auto"/>
            <w:bottom w:val="none" w:sz="0" w:space="0" w:color="auto"/>
            <w:right w:val="none" w:sz="0" w:space="0" w:color="auto"/>
          </w:divBdr>
        </w:div>
        <w:div w:id="2066099938">
          <w:marLeft w:val="144"/>
          <w:marRight w:val="0"/>
          <w:marTop w:val="0"/>
          <w:marBottom w:val="120"/>
          <w:divBdr>
            <w:top w:val="none" w:sz="0" w:space="0" w:color="auto"/>
            <w:left w:val="none" w:sz="0" w:space="0" w:color="auto"/>
            <w:bottom w:val="none" w:sz="0" w:space="0" w:color="auto"/>
            <w:right w:val="none" w:sz="0" w:space="0" w:color="auto"/>
          </w:divBdr>
        </w:div>
      </w:divsChild>
    </w:div>
    <w:div w:id="21163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Labour Mobility Accommodation Review - Key findings and recommendations</dc:title>
  <dc:subject/>
  <dc:creator/>
  <cp:keywords/>
  <dc:description/>
  <cp:lastModifiedBy/>
  <cp:revision>1</cp:revision>
  <dcterms:created xsi:type="dcterms:W3CDTF">2021-03-23T20:34:00Z</dcterms:created>
  <dcterms:modified xsi:type="dcterms:W3CDTF">2021-03-23T20:37:00Z</dcterms:modified>
</cp:coreProperties>
</file>